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82"/>
        <w:spacing w:after="0"/>
        <w:rPr>
          <w:sz w:val="20"/>
          <w:szCs w:val="20"/>
          <w:color w:val="auto"/>
        </w:rPr>
      </w:pPr>
      <w:r>
        <w:rPr>
          <w:rFonts w:ascii="Courier New" w:cs="Courier New" w:eastAsia="Courier New" w:hAnsi="Courier New"/>
          <w:sz w:val="16"/>
          <w:szCs w:val="16"/>
          <w:color w:val="auto"/>
        </w:rPr>
        <w:t>AS FILED WITH THE SECURITIES AND EXCHANGE COMMISSION ON MAY 31, 1996</w:t>
      </w:r>
    </w:p>
    <w:p>
      <w:pPr>
        <w:spacing w:after="0" w:line="200" w:lineRule="exact"/>
        <w:rPr>
          <w:sz w:val="24"/>
          <w:szCs w:val="24"/>
          <w:color w:val="auto"/>
        </w:rPr>
      </w:pPr>
    </w:p>
    <w:p>
      <w:pPr>
        <w:spacing w:after="0" w:line="352" w:lineRule="exact"/>
        <w:rPr>
          <w:sz w:val="24"/>
          <w:szCs w:val="24"/>
          <w:color w:val="auto"/>
        </w:rPr>
      </w:pPr>
    </w:p>
    <w:p>
      <w:pPr>
        <w:ind w:left="5142"/>
        <w:spacing w:after="0"/>
        <w:rPr>
          <w:sz w:val="20"/>
          <w:szCs w:val="20"/>
          <w:color w:val="auto"/>
        </w:rPr>
      </w:pPr>
      <w:r>
        <w:rPr>
          <w:rFonts w:ascii="Courier New" w:cs="Courier New" w:eastAsia="Courier New" w:hAnsi="Courier New"/>
          <w:sz w:val="16"/>
          <w:szCs w:val="16"/>
          <w:color w:val="auto"/>
        </w:rPr>
        <w:t>REGISTRATION NO. 333-04445</w:t>
      </w:r>
    </w:p>
    <w:p>
      <w:pPr>
        <w:spacing w:after="0" w:line="186" w:lineRule="exact"/>
        <w:rPr>
          <w:sz w:val="24"/>
          <w:szCs w:val="24"/>
          <w:color w:val="auto"/>
        </w:rPr>
      </w:pPr>
    </w:p>
    <w:p>
      <w:pPr>
        <w:ind w:left="182" w:hanging="182"/>
        <w:spacing w:after="0"/>
        <w:tabs>
          <w:tab w:leader="none" w:pos="18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182" w:hanging="182"/>
        <w:spacing w:after="0"/>
        <w:tabs>
          <w:tab w:leader="none" w:pos="18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220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AND EXCHANGE COMMISSION</w:t>
      </w:r>
    </w:p>
    <w:p>
      <w:pPr>
        <w:spacing w:after="0" w:line="2" w:lineRule="exact"/>
        <w:rPr>
          <w:rFonts w:ascii="Courier New" w:cs="Courier New" w:eastAsia="Courier New" w:hAnsi="Courier New"/>
          <w:sz w:val="16"/>
          <w:szCs w:val="16"/>
          <w:color w:val="auto"/>
        </w:rPr>
      </w:pPr>
    </w:p>
    <w:p>
      <w:pPr>
        <w:ind w:left="276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WASHINGTON, D.C. 20549</w:t>
      </w:r>
    </w:p>
    <w:p>
      <w:pPr>
        <w:spacing w:after="0" w:line="2" w:lineRule="exact"/>
        <w:rPr>
          <w:rFonts w:ascii="Courier New" w:cs="Courier New" w:eastAsia="Courier New" w:hAnsi="Courier New"/>
          <w:sz w:val="16"/>
          <w:szCs w:val="16"/>
          <w:color w:val="auto"/>
        </w:rPr>
      </w:pPr>
    </w:p>
    <w:p>
      <w:pPr>
        <w:ind w:left="286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6" w:lineRule="exact"/>
        <w:rPr>
          <w:sz w:val="24"/>
          <w:szCs w:val="24"/>
          <w:color w:val="auto"/>
        </w:rPr>
      </w:pPr>
    </w:p>
    <w:p>
      <w:pPr>
        <w:ind w:left="3042"/>
        <w:spacing w:after="0"/>
        <w:rPr>
          <w:sz w:val="20"/>
          <w:szCs w:val="20"/>
          <w:color w:val="auto"/>
        </w:rPr>
      </w:pPr>
      <w:r>
        <w:rPr>
          <w:rFonts w:ascii="Courier New" w:cs="Courier New" w:eastAsia="Courier New" w:hAnsi="Courier New"/>
          <w:sz w:val="16"/>
          <w:szCs w:val="16"/>
          <w:color w:val="auto"/>
        </w:rPr>
        <w:t>AMENDMENT NO. 1</w:t>
      </w:r>
    </w:p>
    <w:p>
      <w:pPr>
        <w:spacing w:after="0" w:line="2" w:lineRule="exact"/>
        <w:rPr>
          <w:sz w:val="24"/>
          <w:szCs w:val="24"/>
          <w:color w:val="auto"/>
        </w:rPr>
      </w:pPr>
    </w:p>
    <w:p>
      <w:pPr>
        <w:ind w:left="3722"/>
        <w:spacing w:after="0"/>
        <w:rPr>
          <w:sz w:val="20"/>
          <w:szCs w:val="20"/>
          <w:color w:val="auto"/>
        </w:rPr>
      </w:pPr>
      <w:r>
        <w:rPr>
          <w:rFonts w:ascii="Courier New" w:cs="Courier New" w:eastAsia="Courier New" w:hAnsi="Courier New"/>
          <w:sz w:val="16"/>
          <w:szCs w:val="16"/>
          <w:color w:val="auto"/>
        </w:rPr>
        <w:t>TO</w:t>
      </w:r>
    </w:p>
    <w:p>
      <w:pPr>
        <w:spacing w:after="0" w:line="2" w:lineRule="exact"/>
        <w:rPr>
          <w:sz w:val="24"/>
          <w:szCs w:val="24"/>
          <w:color w:val="auto"/>
        </w:rPr>
      </w:pPr>
    </w:p>
    <w:p>
      <w:pPr>
        <w:ind w:left="3442"/>
        <w:spacing w:after="0"/>
        <w:rPr>
          <w:sz w:val="20"/>
          <w:szCs w:val="20"/>
          <w:color w:val="auto"/>
        </w:rPr>
      </w:pPr>
      <w:r>
        <w:rPr>
          <w:rFonts w:ascii="Courier New" w:cs="Courier New" w:eastAsia="Courier New" w:hAnsi="Courier New"/>
          <w:sz w:val="16"/>
          <w:szCs w:val="16"/>
          <w:color w:val="auto"/>
        </w:rPr>
        <w:t>FORM S-3</w:t>
      </w:r>
    </w:p>
    <w:p>
      <w:pPr>
        <w:spacing w:after="0" w:line="2" w:lineRule="exact"/>
        <w:rPr>
          <w:sz w:val="24"/>
          <w:szCs w:val="24"/>
          <w:color w:val="auto"/>
        </w:rPr>
      </w:pPr>
    </w:p>
    <w:p>
      <w:pPr>
        <w:ind w:left="2762"/>
        <w:spacing w:after="0"/>
        <w:rPr>
          <w:sz w:val="20"/>
          <w:szCs w:val="20"/>
          <w:color w:val="auto"/>
        </w:rPr>
      </w:pPr>
      <w:r>
        <w:rPr>
          <w:rFonts w:ascii="Courier New" w:cs="Courier New" w:eastAsia="Courier New" w:hAnsi="Courier New"/>
          <w:sz w:val="16"/>
          <w:szCs w:val="16"/>
          <w:color w:val="auto"/>
        </w:rPr>
        <w:t>REGISTRATION STATEMENT</w:t>
      </w:r>
    </w:p>
    <w:p>
      <w:pPr>
        <w:spacing w:after="0" w:line="2" w:lineRule="exact"/>
        <w:rPr>
          <w:sz w:val="24"/>
          <w:szCs w:val="24"/>
          <w:color w:val="auto"/>
        </w:rPr>
      </w:pPr>
    </w:p>
    <w:p>
      <w:pPr>
        <w:ind w:left="3522"/>
        <w:spacing w:after="0"/>
        <w:rPr>
          <w:sz w:val="20"/>
          <w:szCs w:val="20"/>
          <w:color w:val="auto"/>
        </w:rPr>
      </w:pPr>
      <w:r>
        <w:rPr>
          <w:rFonts w:ascii="Courier New" w:cs="Courier New" w:eastAsia="Courier New" w:hAnsi="Courier New"/>
          <w:sz w:val="16"/>
          <w:szCs w:val="16"/>
          <w:color w:val="auto"/>
        </w:rPr>
        <w:t>UNDER</w:t>
      </w:r>
    </w:p>
    <w:p>
      <w:pPr>
        <w:spacing w:after="0" w:line="2" w:lineRule="exact"/>
        <w:rPr>
          <w:sz w:val="24"/>
          <w:szCs w:val="24"/>
          <w:color w:val="auto"/>
        </w:rPr>
      </w:pPr>
    </w:p>
    <w:p>
      <w:pPr>
        <w:ind w:left="2582"/>
        <w:spacing w:after="0"/>
        <w:rPr>
          <w:sz w:val="20"/>
          <w:szCs w:val="20"/>
          <w:color w:val="auto"/>
        </w:rPr>
      </w:pPr>
      <w:r>
        <w:rPr>
          <w:rFonts w:ascii="Courier New" w:cs="Courier New" w:eastAsia="Courier New" w:hAnsi="Courier New"/>
          <w:sz w:val="16"/>
          <w:szCs w:val="16"/>
          <w:color w:val="auto"/>
        </w:rPr>
        <w:t>THE SECURITIES ACT OF 1933</w:t>
      </w:r>
    </w:p>
    <w:p>
      <w:pPr>
        <w:spacing w:after="0" w:line="2" w:lineRule="exact"/>
        <w:rPr>
          <w:sz w:val="24"/>
          <w:szCs w:val="24"/>
          <w:color w:val="auto"/>
        </w:rPr>
      </w:pPr>
    </w:p>
    <w:p>
      <w:pPr>
        <w:ind w:left="2862"/>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4"/>
          <w:szCs w:val="24"/>
          <w:color w:val="auto"/>
        </w:rPr>
      </w:pPr>
    </w:p>
    <w:p>
      <w:pPr>
        <w:jc w:val="center"/>
        <w:ind w:right="2677"/>
        <w:spacing w:after="0"/>
        <w:rPr>
          <w:sz w:val="20"/>
          <w:szCs w:val="20"/>
          <w:color w:val="auto"/>
        </w:rPr>
      </w:pPr>
      <w:r>
        <w:rPr>
          <w:rFonts w:ascii="Courier New" w:cs="Courier New" w:eastAsia="Courier New" w:hAnsi="Courier New"/>
          <w:sz w:val="16"/>
          <w:szCs w:val="16"/>
          <w:color w:val="auto"/>
        </w:rPr>
        <w:t>UNIVERSAL HEALTH SERVICES, INC.</w:t>
      </w:r>
    </w:p>
    <w:p>
      <w:pPr>
        <w:spacing w:after="0" w:line="2" w:lineRule="exact"/>
        <w:rPr>
          <w:sz w:val="24"/>
          <w:szCs w:val="24"/>
          <w:color w:val="auto"/>
        </w:rPr>
      </w:pPr>
    </w:p>
    <w:p>
      <w:pPr>
        <w:jc w:val="center"/>
        <w:ind w:right="2597"/>
        <w:spacing w:after="0"/>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200" w:lineRule="exact"/>
        <w:rPr>
          <w:sz w:val="24"/>
          <w:szCs w:val="24"/>
          <w:color w:val="auto"/>
        </w:rPr>
      </w:pPr>
    </w:p>
    <w:p>
      <w:pPr>
        <w:spacing w:after="0" w:line="352" w:lineRule="exact"/>
        <w:rPr>
          <w:sz w:val="24"/>
          <w:szCs w:val="24"/>
          <w:color w:val="auto"/>
        </w:rPr>
      </w:pPr>
    </w:p>
    <w:tbl>
      <w:tblPr>
        <w:tblLayout w:type="fixed"/>
        <w:tblInd w:w="862" w:type="dxa"/>
        <w:tblCellMar>
          <w:top w:w="0" w:type="dxa"/>
          <w:left w:w="0" w:type="dxa"/>
          <w:bottom w:w="0" w:type="dxa"/>
          <w:right w:w="0" w:type="dxa"/>
        </w:tblCellMar>
      </w:tblPr>
      <w:tr>
        <w:trPr>
          <w:trHeight w:val="181"/>
        </w:trPr>
        <w:tc>
          <w:tcPr>
            <w:tcW w:w="4200" w:type="dxa"/>
            <w:vAlign w:val="bottom"/>
          </w:tcPr>
          <w:p>
            <w:pPr>
              <w:jc w:val="right"/>
              <w:ind w:right="2221"/>
              <w:spacing w:after="0"/>
              <w:rPr>
                <w:sz w:val="20"/>
                <w:szCs w:val="20"/>
                <w:color w:val="auto"/>
              </w:rPr>
            </w:pPr>
            <w:r>
              <w:rPr>
                <w:rFonts w:ascii="Courier New" w:cs="Courier New" w:eastAsia="Courier New" w:hAnsi="Courier New"/>
                <w:sz w:val="16"/>
                <w:szCs w:val="16"/>
                <w:color w:val="auto"/>
              </w:rPr>
              <w:t>DELAWARE</w:t>
            </w:r>
          </w:p>
        </w:tc>
        <w:tc>
          <w:tcPr>
            <w:tcW w:w="3340" w:type="dxa"/>
            <w:vAlign w:val="bottom"/>
          </w:tcPr>
          <w:p>
            <w:pPr>
              <w:jc w:val="center"/>
              <w:ind w:left="1141"/>
              <w:spacing w:after="0"/>
              <w:rPr>
                <w:sz w:val="20"/>
                <w:szCs w:val="20"/>
                <w:color w:val="auto"/>
              </w:rPr>
            </w:pPr>
            <w:r>
              <w:rPr>
                <w:rFonts w:ascii="Courier New" w:cs="Courier New" w:eastAsia="Courier New" w:hAnsi="Courier New"/>
                <w:sz w:val="16"/>
                <w:szCs w:val="16"/>
                <w:color w:val="auto"/>
                <w:w w:val="99"/>
              </w:rPr>
              <w:t>23-2077891</w:t>
            </w:r>
          </w:p>
        </w:tc>
      </w:tr>
      <w:tr>
        <w:trPr>
          <w:trHeight w:val="183"/>
        </w:trPr>
        <w:tc>
          <w:tcPr>
            <w:tcW w:w="4200" w:type="dxa"/>
            <w:vAlign w:val="bottom"/>
          </w:tcPr>
          <w:p>
            <w:pPr>
              <w:jc w:val="right"/>
              <w:ind w:right="1161"/>
              <w:spacing w:after="0"/>
              <w:rPr>
                <w:sz w:val="20"/>
                <w:szCs w:val="20"/>
                <w:color w:val="auto"/>
              </w:rPr>
            </w:pPr>
            <w:r>
              <w:rPr>
                <w:rFonts w:ascii="Courier New" w:cs="Courier New" w:eastAsia="Courier New" w:hAnsi="Courier New"/>
                <w:sz w:val="16"/>
                <w:szCs w:val="16"/>
                <w:color w:val="auto"/>
                <w:w w:val="98"/>
              </w:rPr>
              <w:t>(State or other jurisdiction of</w:t>
            </w:r>
          </w:p>
        </w:tc>
        <w:tc>
          <w:tcPr>
            <w:tcW w:w="3340" w:type="dxa"/>
            <w:vAlign w:val="bottom"/>
          </w:tcPr>
          <w:p>
            <w:pPr>
              <w:jc w:val="center"/>
              <w:ind w:left="1141"/>
              <w:spacing w:after="0"/>
              <w:rPr>
                <w:sz w:val="20"/>
                <w:szCs w:val="20"/>
                <w:color w:val="auto"/>
              </w:rPr>
            </w:pPr>
            <w:r>
              <w:rPr>
                <w:rFonts w:ascii="Courier New" w:cs="Courier New" w:eastAsia="Courier New" w:hAnsi="Courier New"/>
                <w:sz w:val="16"/>
                <w:szCs w:val="16"/>
                <w:color w:val="auto"/>
                <w:w w:val="98"/>
              </w:rPr>
              <w:t>(I.R.S. Employer</w:t>
            </w:r>
          </w:p>
        </w:tc>
      </w:tr>
      <w:tr>
        <w:trPr>
          <w:trHeight w:val="183"/>
        </w:trPr>
        <w:tc>
          <w:tcPr>
            <w:tcW w:w="4200" w:type="dxa"/>
            <w:vAlign w:val="bottom"/>
          </w:tcPr>
          <w:p>
            <w:pPr>
              <w:jc w:val="right"/>
              <w:ind w:right="1161"/>
              <w:spacing w:after="0"/>
              <w:rPr>
                <w:sz w:val="20"/>
                <w:szCs w:val="20"/>
                <w:color w:val="auto"/>
              </w:rPr>
            </w:pPr>
            <w:r>
              <w:rPr>
                <w:rFonts w:ascii="Courier New" w:cs="Courier New" w:eastAsia="Courier New" w:hAnsi="Courier New"/>
                <w:sz w:val="16"/>
                <w:szCs w:val="16"/>
                <w:color w:val="auto"/>
              </w:rPr>
              <w:t>incorporation or organization)</w:t>
            </w:r>
          </w:p>
        </w:tc>
        <w:tc>
          <w:tcPr>
            <w:tcW w:w="3340" w:type="dxa"/>
            <w:vAlign w:val="bottom"/>
          </w:tcPr>
          <w:p>
            <w:pPr>
              <w:jc w:val="center"/>
              <w:ind w:left="1161"/>
              <w:spacing w:after="0"/>
              <w:rPr>
                <w:sz w:val="20"/>
                <w:szCs w:val="20"/>
                <w:color w:val="auto"/>
              </w:rPr>
            </w:pPr>
            <w:r>
              <w:rPr>
                <w:rFonts w:ascii="Courier New" w:cs="Courier New" w:eastAsia="Courier New" w:hAnsi="Courier New"/>
                <w:sz w:val="16"/>
                <w:szCs w:val="16"/>
                <w:color w:val="auto"/>
                <w:w w:val="99"/>
              </w:rPr>
              <w:t>Identification Number)</w:t>
            </w:r>
          </w:p>
        </w:tc>
      </w:tr>
    </w:tbl>
    <w:p>
      <w:pPr>
        <w:spacing w:after="0" w:line="369" w:lineRule="exact"/>
        <w:rPr>
          <w:sz w:val="24"/>
          <w:szCs w:val="24"/>
          <w:color w:val="auto"/>
        </w:rPr>
      </w:pPr>
    </w:p>
    <w:p>
      <w:pPr>
        <w:ind w:left="2862"/>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4"/>
          <w:szCs w:val="24"/>
          <w:color w:val="auto"/>
        </w:rPr>
      </w:pPr>
    </w:p>
    <w:p>
      <w:pPr>
        <w:ind w:left="2582"/>
        <w:spacing w:after="0"/>
        <w:rPr>
          <w:sz w:val="20"/>
          <w:szCs w:val="20"/>
          <w:color w:val="auto"/>
        </w:rPr>
      </w:pPr>
      <w:r>
        <w:rPr>
          <w:rFonts w:ascii="Courier New" w:cs="Courier New" w:eastAsia="Courier New" w:hAnsi="Courier New"/>
          <w:sz w:val="16"/>
          <w:szCs w:val="16"/>
          <w:color w:val="auto"/>
        </w:rPr>
        <w:t>UNIVERSAL CORPORATE CENTER</w:t>
      </w:r>
    </w:p>
    <w:p>
      <w:pPr>
        <w:spacing w:after="0" w:line="2" w:lineRule="exact"/>
        <w:rPr>
          <w:sz w:val="24"/>
          <w:szCs w:val="24"/>
          <w:color w:val="auto"/>
        </w:rPr>
      </w:pPr>
    </w:p>
    <w:p>
      <w:pPr>
        <w:ind w:left="2862"/>
        <w:spacing w:after="0"/>
        <w:rPr>
          <w:sz w:val="20"/>
          <w:szCs w:val="20"/>
          <w:color w:val="auto"/>
        </w:rPr>
      </w:pPr>
      <w:r>
        <w:rPr>
          <w:rFonts w:ascii="Courier New" w:cs="Courier New" w:eastAsia="Courier New" w:hAnsi="Courier New"/>
          <w:sz w:val="16"/>
          <w:szCs w:val="16"/>
          <w:color w:val="auto"/>
        </w:rPr>
        <w:t>367 SOUTH GULPH ROAD</w:t>
      </w:r>
    </w:p>
    <w:p>
      <w:pPr>
        <w:spacing w:after="0" w:line="2" w:lineRule="exact"/>
        <w:rPr>
          <w:sz w:val="24"/>
          <w:szCs w:val="24"/>
          <w:color w:val="auto"/>
        </w:rPr>
      </w:pPr>
    </w:p>
    <w:p>
      <w:pPr>
        <w:ind w:left="2102"/>
        <w:spacing w:after="0"/>
        <w:rPr>
          <w:sz w:val="20"/>
          <w:szCs w:val="20"/>
          <w:color w:val="auto"/>
        </w:rPr>
      </w:pPr>
      <w:r>
        <w:rPr>
          <w:rFonts w:ascii="Courier New" w:cs="Courier New" w:eastAsia="Courier New" w:hAnsi="Courier New"/>
          <w:sz w:val="16"/>
          <w:szCs w:val="16"/>
          <w:color w:val="auto"/>
        </w:rPr>
        <w:t>KING OF PRUSSIA, PENNSYLVANIA 19406</w:t>
      </w:r>
    </w:p>
    <w:p>
      <w:pPr>
        <w:spacing w:after="0" w:line="2" w:lineRule="exact"/>
        <w:rPr>
          <w:sz w:val="24"/>
          <w:szCs w:val="24"/>
          <w:color w:val="auto"/>
        </w:rPr>
      </w:pPr>
    </w:p>
    <w:p>
      <w:pPr>
        <w:ind w:left="3142"/>
        <w:spacing w:after="0"/>
        <w:rPr>
          <w:sz w:val="20"/>
          <w:szCs w:val="20"/>
          <w:color w:val="auto"/>
        </w:rPr>
      </w:pPr>
      <w:r>
        <w:rPr>
          <w:rFonts w:ascii="Courier New" w:cs="Courier New" w:eastAsia="Courier New" w:hAnsi="Courier New"/>
          <w:sz w:val="16"/>
          <w:szCs w:val="16"/>
          <w:color w:val="auto"/>
        </w:rPr>
        <w:t>(610) 768-3300</w:t>
      </w:r>
    </w:p>
    <w:p>
      <w:pPr>
        <w:spacing w:after="0" w:line="2" w:lineRule="exact"/>
        <w:rPr>
          <w:sz w:val="24"/>
          <w:szCs w:val="24"/>
          <w:color w:val="auto"/>
        </w:rPr>
      </w:pPr>
    </w:p>
    <w:p>
      <w:pPr>
        <w:ind w:left="862"/>
        <w:spacing w:after="0"/>
        <w:rPr>
          <w:sz w:val="20"/>
          <w:szCs w:val="20"/>
          <w:color w:val="auto"/>
        </w:rPr>
      </w:pPr>
      <w:r>
        <w:rPr>
          <w:rFonts w:ascii="Courier New" w:cs="Courier New" w:eastAsia="Courier New" w:hAnsi="Courier New"/>
          <w:sz w:val="16"/>
          <w:szCs w:val="16"/>
          <w:color w:val="auto"/>
        </w:rPr>
        <w:t>(Address, including zip code, and telephone number, including</w:t>
      </w:r>
    </w:p>
    <w:p>
      <w:pPr>
        <w:spacing w:after="0" w:line="2" w:lineRule="exact"/>
        <w:rPr>
          <w:sz w:val="24"/>
          <w:szCs w:val="24"/>
          <w:color w:val="auto"/>
        </w:rPr>
      </w:pPr>
    </w:p>
    <w:p>
      <w:pPr>
        <w:ind w:left="1142"/>
        <w:spacing w:after="0"/>
        <w:rPr>
          <w:sz w:val="20"/>
          <w:szCs w:val="20"/>
          <w:color w:val="auto"/>
        </w:rPr>
      </w:pPr>
      <w:r>
        <w:rPr>
          <w:rFonts w:ascii="Courier New" w:cs="Courier New" w:eastAsia="Courier New" w:hAnsi="Courier New"/>
          <w:sz w:val="16"/>
          <w:szCs w:val="16"/>
          <w:color w:val="auto"/>
        </w:rPr>
        <w:t>area code, of registrant's principal executive offices)</w:t>
      </w:r>
    </w:p>
    <w:p>
      <w:pPr>
        <w:spacing w:after="0" w:line="2" w:lineRule="exact"/>
        <w:rPr>
          <w:sz w:val="24"/>
          <w:szCs w:val="24"/>
          <w:color w:val="auto"/>
        </w:rPr>
      </w:pPr>
    </w:p>
    <w:p>
      <w:pPr>
        <w:ind w:left="2862"/>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4"/>
          <w:szCs w:val="24"/>
          <w:color w:val="auto"/>
        </w:rPr>
      </w:pPr>
    </w:p>
    <w:p>
      <w:pPr>
        <w:ind w:left="2582"/>
        <w:spacing w:after="0"/>
        <w:rPr>
          <w:sz w:val="20"/>
          <w:szCs w:val="20"/>
          <w:color w:val="auto"/>
        </w:rPr>
      </w:pPr>
      <w:r>
        <w:rPr>
          <w:rFonts w:ascii="Courier New" w:cs="Courier New" w:eastAsia="Courier New" w:hAnsi="Courier New"/>
          <w:sz w:val="16"/>
          <w:szCs w:val="16"/>
          <w:color w:val="auto"/>
        </w:rPr>
        <w:t>ALAN B. MILLER, PRESIDENT</w:t>
      </w:r>
    </w:p>
    <w:p>
      <w:pPr>
        <w:spacing w:after="0" w:line="2" w:lineRule="exact"/>
        <w:rPr>
          <w:sz w:val="24"/>
          <w:szCs w:val="24"/>
          <w:color w:val="auto"/>
        </w:rPr>
      </w:pPr>
    </w:p>
    <w:p>
      <w:pPr>
        <w:ind w:left="2282"/>
        <w:spacing w:after="0"/>
        <w:rPr>
          <w:sz w:val="20"/>
          <w:szCs w:val="20"/>
          <w:color w:val="auto"/>
        </w:rPr>
      </w:pPr>
      <w:r>
        <w:rPr>
          <w:rFonts w:ascii="Courier New" w:cs="Courier New" w:eastAsia="Courier New" w:hAnsi="Courier New"/>
          <w:sz w:val="16"/>
          <w:szCs w:val="16"/>
          <w:color w:val="auto"/>
        </w:rPr>
        <w:t>UNIVERSAL HEALTH SERVICES, INC.</w:t>
      </w:r>
    </w:p>
    <w:p>
      <w:pPr>
        <w:spacing w:after="0" w:line="2" w:lineRule="exact"/>
        <w:rPr>
          <w:sz w:val="24"/>
          <w:szCs w:val="24"/>
          <w:color w:val="auto"/>
        </w:rPr>
      </w:pPr>
    </w:p>
    <w:p>
      <w:pPr>
        <w:ind w:left="2582"/>
        <w:spacing w:after="0"/>
        <w:rPr>
          <w:sz w:val="20"/>
          <w:szCs w:val="20"/>
          <w:color w:val="auto"/>
        </w:rPr>
      </w:pPr>
      <w:r>
        <w:rPr>
          <w:rFonts w:ascii="Courier New" w:cs="Courier New" w:eastAsia="Courier New" w:hAnsi="Courier New"/>
          <w:sz w:val="16"/>
          <w:szCs w:val="16"/>
          <w:color w:val="auto"/>
        </w:rPr>
        <w:t>UNIVERSAL CORPORATE CENTER</w:t>
      </w:r>
    </w:p>
    <w:p>
      <w:pPr>
        <w:spacing w:after="0" w:line="2" w:lineRule="exact"/>
        <w:rPr>
          <w:sz w:val="24"/>
          <w:szCs w:val="24"/>
          <w:color w:val="auto"/>
        </w:rPr>
      </w:pPr>
    </w:p>
    <w:p>
      <w:pPr>
        <w:ind w:left="2862"/>
        <w:spacing w:after="0"/>
        <w:rPr>
          <w:sz w:val="20"/>
          <w:szCs w:val="20"/>
          <w:color w:val="auto"/>
        </w:rPr>
      </w:pPr>
      <w:r>
        <w:rPr>
          <w:rFonts w:ascii="Courier New" w:cs="Courier New" w:eastAsia="Courier New" w:hAnsi="Courier New"/>
          <w:sz w:val="16"/>
          <w:szCs w:val="16"/>
          <w:color w:val="auto"/>
        </w:rPr>
        <w:t>367 SOUTH GULPH ROAD</w:t>
      </w:r>
    </w:p>
    <w:p>
      <w:pPr>
        <w:spacing w:after="0" w:line="2" w:lineRule="exact"/>
        <w:rPr>
          <w:sz w:val="24"/>
          <w:szCs w:val="24"/>
          <w:color w:val="auto"/>
        </w:rPr>
      </w:pPr>
    </w:p>
    <w:p>
      <w:pPr>
        <w:ind w:left="2102"/>
        <w:spacing w:after="0"/>
        <w:rPr>
          <w:sz w:val="20"/>
          <w:szCs w:val="20"/>
          <w:color w:val="auto"/>
        </w:rPr>
      </w:pPr>
      <w:r>
        <w:rPr>
          <w:rFonts w:ascii="Courier New" w:cs="Courier New" w:eastAsia="Courier New" w:hAnsi="Courier New"/>
          <w:sz w:val="16"/>
          <w:szCs w:val="16"/>
          <w:color w:val="auto"/>
        </w:rPr>
        <w:t>KING OF PRUSSIA, PENNSYLVANIA 19406</w:t>
      </w:r>
    </w:p>
    <w:p>
      <w:pPr>
        <w:spacing w:after="0" w:line="2" w:lineRule="exact"/>
        <w:rPr>
          <w:sz w:val="24"/>
          <w:szCs w:val="24"/>
          <w:color w:val="auto"/>
        </w:rPr>
      </w:pPr>
    </w:p>
    <w:p>
      <w:pPr>
        <w:ind w:left="3142"/>
        <w:spacing w:after="0"/>
        <w:rPr>
          <w:sz w:val="20"/>
          <w:szCs w:val="20"/>
          <w:color w:val="auto"/>
        </w:rPr>
      </w:pPr>
      <w:r>
        <w:rPr>
          <w:rFonts w:ascii="Courier New" w:cs="Courier New" w:eastAsia="Courier New" w:hAnsi="Courier New"/>
          <w:sz w:val="16"/>
          <w:szCs w:val="16"/>
          <w:color w:val="auto"/>
        </w:rPr>
        <w:t>(610) 768-3300</w:t>
      </w:r>
    </w:p>
    <w:p>
      <w:pPr>
        <w:spacing w:after="0" w:line="2" w:lineRule="exact"/>
        <w:rPr>
          <w:sz w:val="24"/>
          <w:szCs w:val="24"/>
          <w:color w:val="auto"/>
        </w:rPr>
      </w:pPr>
    </w:p>
    <w:p>
      <w:pPr>
        <w:ind w:left="1042"/>
        <w:spacing w:after="0"/>
        <w:rPr>
          <w:sz w:val="20"/>
          <w:szCs w:val="20"/>
          <w:color w:val="auto"/>
        </w:rPr>
      </w:pPr>
      <w:r>
        <w:rPr>
          <w:rFonts w:ascii="Courier New" w:cs="Courier New" w:eastAsia="Courier New" w:hAnsi="Courier New"/>
          <w:sz w:val="16"/>
          <w:szCs w:val="16"/>
          <w:color w:val="auto"/>
        </w:rPr>
        <w:t>(Name, address and telephone number of Agent for Service)</w:t>
      </w:r>
    </w:p>
    <w:p>
      <w:pPr>
        <w:spacing w:after="0" w:line="188" w:lineRule="exact"/>
        <w:rPr>
          <w:sz w:val="24"/>
          <w:szCs w:val="24"/>
          <w:color w:val="auto"/>
        </w:rPr>
      </w:pPr>
    </w:p>
    <w:p>
      <w:pPr>
        <w:ind w:left="1422" w:right="3639" w:hanging="380"/>
        <w:spacing w:after="0" w:line="271" w:lineRule="auto"/>
        <w:rPr>
          <w:sz w:val="20"/>
          <w:szCs w:val="20"/>
          <w:color w:val="auto"/>
        </w:rPr>
      </w:pPr>
      <w:r>
        <w:rPr>
          <w:rFonts w:ascii="Courier New" w:cs="Courier New" w:eastAsia="Courier New" w:hAnsi="Courier New"/>
          <w:sz w:val="15"/>
          <w:szCs w:val="15"/>
          <w:color w:val="auto"/>
        </w:rPr>
        <w:t>Copies of all communications, including all communications sent to the agent for service, should be sent to:</w:t>
      </w:r>
    </w:p>
    <w:p>
      <w:pPr>
        <w:sectPr>
          <w:pgSz w:w="11900" w:h="16838" w:orient="portrait"/>
          <w:cols w:equalWidth="0" w:num="1">
            <w:col w:w="10221"/>
          </w:cols>
          <w:pgMar w:left="238" w:top="420" w:right="1440" w:bottom="0" w:gutter="0" w:footer="0" w:header="0"/>
        </w:sectPr>
      </w:pPr>
    </w:p>
    <w:p>
      <w:pPr>
        <w:spacing w:after="0" w:line="200" w:lineRule="exact"/>
        <w:rPr>
          <w:sz w:val="24"/>
          <w:szCs w:val="24"/>
          <w:color w:val="auto"/>
        </w:rPr>
      </w:pPr>
    </w:p>
    <w:p>
      <w:pPr>
        <w:spacing w:after="0" w:line="330" w:lineRule="exact"/>
        <w:rPr>
          <w:sz w:val="24"/>
          <w:szCs w:val="24"/>
          <w:color w:val="auto"/>
        </w:rPr>
      </w:pPr>
    </w:p>
    <w:p>
      <w:pPr>
        <w:ind w:left="1242"/>
        <w:spacing w:after="0"/>
        <w:rPr>
          <w:sz w:val="20"/>
          <w:szCs w:val="20"/>
          <w:color w:val="auto"/>
        </w:rPr>
      </w:pPr>
      <w:r>
        <w:rPr>
          <w:rFonts w:ascii="Courier New" w:cs="Courier New" w:eastAsia="Courier New" w:hAnsi="Courier New"/>
          <w:sz w:val="16"/>
          <w:szCs w:val="16"/>
          <w:color w:val="auto"/>
        </w:rPr>
        <w:t>ANTHONY PANTALEONI, ESQ.</w:t>
      </w:r>
    </w:p>
    <w:p>
      <w:pPr>
        <w:spacing w:after="0" w:line="5" w:lineRule="exact"/>
        <w:rPr>
          <w:sz w:val="24"/>
          <w:szCs w:val="24"/>
          <w:color w:val="auto"/>
        </w:rPr>
      </w:pPr>
    </w:p>
    <w:p>
      <w:pPr>
        <w:ind w:left="1042"/>
        <w:spacing w:after="0"/>
        <w:rPr>
          <w:sz w:val="20"/>
          <w:szCs w:val="20"/>
          <w:color w:val="auto"/>
        </w:rPr>
      </w:pPr>
      <w:r>
        <w:rPr>
          <w:rFonts w:ascii="Courier New" w:cs="Courier New" w:eastAsia="Courier New" w:hAnsi="Courier New"/>
          <w:sz w:val="15"/>
          <w:szCs w:val="15"/>
          <w:color w:val="auto"/>
        </w:rPr>
        <w:t>FULBRIGHT &amp; JAWORSKI L.L.P.</w:t>
      </w:r>
    </w:p>
    <w:p>
      <w:pPr>
        <w:spacing w:after="0" w:line="11" w:lineRule="exact"/>
        <w:rPr>
          <w:sz w:val="24"/>
          <w:szCs w:val="24"/>
          <w:color w:val="auto"/>
        </w:rPr>
      </w:pPr>
    </w:p>
    <w:p>
      <w:pPr>
        <w:ind w:left="1622"/>
        <w:spacing w:after="0"/>
        <w:rPr>
          <w:sz w:val="20"/>
          <w:szCs w:val="20"/>
          <w:color w:val="auto"/>
        </w:rPr>
      </w:pPr>
      <w:r>
        <w:rPr>
          <w:rFonts w:ascii="Courier New" w:cs="Courier New" w:eastAsia="Courier New" w:hAnsi="Courier New"/>
          <w:sz w:val="16"/>
          <w:szCs w:val="16"/>
          <w:color w:val="auto"/>
        </w:rPr>
        <w:t>666 FIFTH AVENUE</w:t>
      </w:r>
    </w:p>
    <w:p>
      <w:pPr>
        <w:spacing w:after="0" w:line="2" w:lineRule="exact"/>
        <w:rPr>
          <w:sz w:val="24"/>
          <w:szCs w:val="24"/>
          <w:color w:val="auto"/>
        </w:rPr>
      </w:pPr>
    </w:p>
    <w:p>
      <w:pPr>
        <w:ind w:left="1242"/>
        <w:spacing w:after="0"/>
        <w:rPr>
          <w:sz w:val="20"/>
          <w:szCs w:val="20"/>
          <w:color w:val="auto"/>
        </w:rPr>
      </w:pPr>
      <w:r>
        <w:rPr>
          <w:rFonts w:ascii="Courier New" w:cs="Courier New" w:eastAsia="Courier New" w:hAnsi="Courier New"/>
          <w:sz w:val="16"/>
          <w:szCs w:val="16"/>
          <w:color w:val="auto"/>
        </w:rPr>
        <w:t>NEW YORK, NEW YORK 10103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0"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FREDERICK W. KANNER, ESQ.</w:t>
      </w:r>
    </w:p>
    <w:p>
      <w:pPr>
        <w:spacing w:after="0" w:line="2" w:lineRule="exact"/>
        <w:rPr>
          <w:sz w:val="24"/>
          <w:szCs w:val="24"/>
          <w:color w:val="auto"/>
        </w:rPr>
      </w:pPr>
    </w:p>
    <w:p>
      <w:pPr>
        <w:ind w:left="580"/>
        <w:spacing w:after="0"/>
        <w:rPr>
          <w:sz w:val="20"/>
          <w:szCs w:val="20"/>
          <w:color w:val="auto"/>
        </w:rPr>
      </w:pPr>
      <w:r>
        <w:rPr>
          <w:rFonts w:ascii="Courier New" w:cs="Courier New" w:eastAsia="Courier New" w:hAnsi="Courier New"/>
          <w:sz w:val="16"/>
          <w:szCs w:val="16"/>
          <w:color w:val="auto"/>
        </w:rPr>
        <w:t>DEWEY BALLANTINE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1301 AVENUE OF THE AMERICAS</w:t>
      </w:r>
    </w:p>
    <w:p>
      <w:pPr>
        <w:spacing w:after="0" w:line="11"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NEW YORK, NEW YORK 10019</w:t>
      </w:r>
    </w:p>
    <w:p>
      <w:pPr>
        <w:spacing w:after="0" w:line="200" w:lineRule="exact"/>
        <w:rPr>
          <w:sz w:val="24"/>
          <w:szCs w:val="24"/>
          <w:color w:val="auto"/>
        </w:rPr>
      </w:pPr>
    </w:p>
    <w:p>
      <w:pPr>
        <w:sectPr>
          <w:pgSz w:w="11900" w:h="16838" w:orient="portrait"/>
          <w:cols w:equalWidth="0" w:num="2">
            <w:col w:w="5282" w:space="720"/>
            <w:col w:w="4219"/>
          </w:cols>
          <w:pgMar w:left="238" w:top="420" w:right="1440" w:bottom="0" w:gutter="0" w:footer="0" w:header="0"/>
          <w:type w:val="continuous"/>
        </w:sectPr>
      </w:pPr>
    </w:p>
    <w:p>
      <w:pPr>
        <w:spacing w:after="0" w:line="169" w:lineRule="exact"/>
        <w:rPr>
          <w:sz w:val="24"/>
          <w:szCs w:val="24"/>
          <w:color w:val="auto"/>
        </w:rPr>
      </w:pPr>
    </w:p>
    <w:p>
      <w:pPr>
        <w:ind w:left="2862"/>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4"/>
          <w:szCs w:val="24"/>
          <w:color w:val="auto"/>
        </w:rPr>
      </w:pPr>
    </w:p>
    <w:p>
      <w:pPr>
        <w:ind w:left="2" w:right="2679" w:firstLine="382"/>
        <w:spacing w:after="0" w:line="239" w:lineRule="auto"/>
        <w:rPr>
          <w:sz w:val="20"/>
          <w:szCs w:val="20"/>
          <w:color w:val="auto"/>
        </w:rPr>
      </w:pPr>
      <w:r>
        <w:rPr>
          <w:rFonts w:ascii="Courier New" w:cs="Courier New" w:eastAsia="Courier New" w:hAnsi="Courier New"/>
          <w:sz w:val="16"/>
          <w:szCs w:val="16"/>
          <w:color w:val="auto"/>
        </w:rPr>
        <w:t>APPROXIMATE DATE OF COMMENCEMENT OF PROPOSED SALE TO THE PUBLIC: As soon as practicable after the effective date of this Registration Statement.</w:t>
      </w:r>
    </w:p>
    <w:p>
      <w:pPr>
        <w:spacing w:after="0" w:line="189" w:lineRule="exact"/>
        <w:rPr>
          <w:sz w:val="24"/>
          <w:szCs w:val="24"/>
          <w:color w:val="auto"/>
        </w:rPr>
      </w:pPr>
    </w:p>
    <w:p>
      <w:pPr>
        <w:ind w:left="2" w:right="3159" w:firstLine="382"/>
        <w:spacing w:after="0"/>
        <w:rPr>
          <w:sz w:val="20"/>
          <w:szCs w:val="20"/>
          <w:color w:val="auto"/>
        </w:rPr>
      </w:pPr>
      <w:r>
        <w:rPr>
          <w:rFonts w:ascii="Courier New" w:cs="Courier New" w:eastAsia="Courier New" w:hAnsi="Courier New"/>
          <w:sz w:val="16"/>
          <w:szCs w:val="16"/>
          <w:color w:val="auto"/>
        </w:rPr>
        <w:t>If the only securities being registered on this Form are being offered pursuant to dividend or interest reinvestment plans, check the following box: / /</w:t>
      </w:r>
    </w:p>
    <w:p>
      <w:pPr>
        <w:spacing w:after="0" w:line="190" w:lineRule="exact"/>
        <w:rPr>
          <w:sz w:val="24"/>
          <w:szCs w:val="24"/>
          <w:color w:val="auto"/>
        </w:rPr>
      </w:pPr>
    </w:p>
    <w:p>
      <w:pPr>
        <w:ind w:left="2" w:right="2599" w:firstLine="382"/>
        <w:spacing w:after="0" w:line="241" w:lineRule="auto"/>
        <w:rPr>
          <w:sz w:val="20"/>
          <w:szCs w:val="20"/>
          <w:color w:val="auto"/>
        </w:rPr>
      </w:pPr>
      <w:r>
        <w:rPr>
          <w:rFonts w:ascii="Courier New" w:cs="Courier New" w:eastAsia="Courier New" w:hAnsi="Courier New"/>
          <w:sz w:val="16"/>
          <w:szCs w:val="16"/>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spacing w:after="0" w:line="189" w:lineRule="exact"/>
        <w:rPr>
          <w:sz w:val="24"/>
          <w:szCs w:val="24"/>
          <w:color w:val="auto"/>
        </w:rPr>
      </w:pPr>
    </w:p>
    <w:p>
      <w:pPr>
        <w:ind w:left="2" w:right="2599" w:firstLine="382"/>
        <w:spacing w:after="0" w:line="241" w:lineRule="auto"/>
        <w:rPr>
          <w:sz w:val="20"/>
          <w:szCs w:val="20"/>
          <w:color w:val="auto"/>
        </w:rPr>
      </w:pPr>
      <w:r>
        <w:rPr>
          <w:rFonts w:ascii="Courier New" w:cs="Courier New" w:eastAsia="Courier New" w:hAnsi="Courier New"/>
          <w:sz w:val="16"/>
          <w:szCs w:val="16"/>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line="189" w:lineRule="exact"/>
        <w:rPr>
          <w:sz w:val="24"/>
          <w:szCs w:val="24"/>
          <w:color w:val="auto"/>
        </w:rPr>
      </w:pPr>
    </w:p>
    <w:p>
      <w:pPr>
        <w:ind w:left="2" w:right="2879" w:firstLine="382"/>
        <w:spacing w:after="0" w:line="241" w:lineRule="auto"/>
        <w:rPr>
          <w:sz w:val="20"/>
          <w:szCs w:val="20"/>
          <w:color w:val="auto"/>
        </w:rPr>
      </w:pPr>
      <w:r>
        <w:rPr>
          <w:rFonts w:ascii="Courier New" w:cs="Courier New" w:eastAsia="Courier New" w:hAnsi="Courier New"/>
          <w:sz w:val="16"/>
          <w:szCs w:val="16"/>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189" w:lineRule="exact"/>
        <w:rPr>
          <w:sz w:val="24"/>
          <w:szCs w:val="24"/>
          <w:color w:val="auto"/>
        </w:rPr>
      </w:pPr>
    </w:p>
    <w:p>
      <w:pPr>
        <w:ind w:left="2" w:right="2779" w:firstLine="382"/>
        <w:spacing w:after="0" w:line="239" w:lineRule="auto"/>
        <w:rPr>
          <w:sz w:val="20"/>
          <w:szCs w:val="20"/>
          <w:color w:val="auto"/>
        </w:rPr>
      </w:pPr>
      <w:r>
        <w:rPr>
          <w:rFonts w:ascii="Courier New" w:cs="Courier New" w:eastAsia="Courier New" w:hAnsi="Courier New"/>
          <w:sz w:val="16"/>
          <w:szCs w:val="16"/>
          <w:color w:val="auto"/>
        </w:rPr>
        <w:t>If delivery of the prospectus is expected to be made pursuant to Rule 434, please check the following box: /X/</w:t>
      </w:r>
    </w:p>
    <w:p>
      <w:pPr>
        <w:spacing w:after="0" w:line="3" w:lineRule="exact"/>
        <w:rPr>
          <w:sz w:val="24"/>
          <w:szCs w:val="24"/>
          <w:color w:val="auto"/>
        </w:rPr>
      </w:pPr>
    </w:p>
    <w:p>
      <w:pPr>
        <w:ind w:left="2862"/>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4"/>
          <w:szCs w:val="24"/>
          <w:color w:val="auto"/>
        </w:rPr>
      </w:pPr>
    </w:p>
    <w:p>
      <w:pPr>
        <w:ind w:left="2282"/>
        <w:spacing w:after="0"/>
        <w:rPr>
          <w:sz w:val="20"/>
          <w:szCs w:val="20"/>
          <w:color w:val="auto"/>
        </w:rPr>
      </w:pPr>
      <w:r>
        <w:rPr>
          <w:rFonts w:ascii="Courier New" w:cs="Courier New" w:eastAsia="Courier New" w:hAnsi="Courier New"/>
          <w:sz w:val="16"/>
          <w:szCs w:val="16"/>
          <w:color w:val="auto"/>
        </w:rPr>
        <w:t>CALCULATION OF REGISTRATION FEE</w:t>
      </w:r>
    </w:p>
    <w:p>
      <w:pPr>
        <w:sectPr>
          <w:pgSz w:w="11900" w:h="16838" w:orient="portrait"/>
          <w:cols w:equalWidth="0" w:num="1">
            <w:col w:w="10221"/>
          </w:cols>
          <w:pgMar w:left="238" w:top="420" w:right="1440" w:bottom="0" w:gutter="0" w:footer="0" w:header="0"/>
          <w:type w:val="continuous"/>
        </w:sectPr>
      </w:pPr>
    </w:p>
    <w:bookmarkStart w:id="1" w:name="page2"/>
    <w:bookmarkEnd w:id="1"/>
    <w:p>
      <w:pPr>
        <w:ind w:left="2"/>
        <w:spacing w:after="0"/>
        <w:rPr>
          <w:sz w:val="20"/>
          <w:szCs w:val="20"/>
          <w:color w:val="auto"/>
        </w:rPr>
      </w:pPr>
      <w:r>
        <w:rPr>
          <w:rFonts w:ascii="Courier New" w:cs="Courier New" w:eastAsia="Courier New" w:hAnsi="Courier New"/>
          <w:sz w:val="16"/>
          <w:szCs w:val="16"/>
          <w:color w:val="auto"/>
        </w:rPr>
        <w:t>[CAPTION]</w:t>
      </w:r>
    </w:p>
    <w:p>
      <w:pPr>
        <w:spacing w:after="0" w:line="200" w:lineRule="exact"/>
        <w:rPr>
          <w:sz w:val="20"/>
          <w:szCs w:val="20"/>
          <w:color w:val="auto"/>
        </w:rPr>
      </w:pPr>
    </w:p>
    <w:p>
      <w:pPr>
        <w:spacing w:after="0" w:line="35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3240" w:type="dxa"/>
            <w:vAlign w:val="bottom"/>
          </w:tcPr>
          <w:p>
            <w:pPr>
              <w:spacing w:after="0"/>
              <w:rPr>
                <w:sz w:val="15"/>
                <w:szCs w:val="15"/>
                <w:color w:val="auto"/>
              </w:rPr>
            </w:pPr>
          </w:p>
        </w:tc>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AMOUNT OF SHARES</w:t>
            </w:r>
          </w:p>
        </w:tc>
        <w:tc>
          <w:tcPr>
            <w:tcW w:w="1660" w:type="dxa"/>
            <w:vAlign w:val="bottom"/>
          </w:tcPr>
          <w:p>
            <w:pPr>
              <w:ind w:left="100"/>
              <w:spacing w:after="0"/>
              <w:rPr>
                <w:sz w:val="20"/>
                <w:szCs w:val="20"/>
                <w:color w:val="auto"/>
              </w:rPr>
            </w:pPr>
            <w:r>
              <w:rPr>
                <w:rFonts w:ascii="Courier New" w:cs="Courier New" w:eastAsia="Courier New" w:hAnsi="Courier New"/>
                <w:sz w:val="16"/>
                <w:szCs w:val="16"/>
                <w:color w:val="auto"/>
              </w:rPr>
              <w:t>PROPOSED MAXIMUM</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PROPOSED</w:t>
            </w:r>
          </w:p>
        </w:tc>
        <w:tc>
          <w:tcPr>
            <w:tcW w:w="860" w:type="dxa"/>
            <w:vAlign w:val="bottom"/>
          </w:tcPr>
          <w:p>
            <w:pPr>
              <w:ind w:left="40"/>
              <w:spacing w:after="0"/>
              <w:rPr>
                <w:sz w:val="20"/>
                <w:szCs w:val="20"/>
                <w:color w:val="auto"/>
              </w:rPr>
            </w:pPr>
            <w:r>
              <w:rPr>
                <w:rFonts w:ascii="Courier New" w:cs="Courier New" w:eastAsia="Courier New" w:hAnsi="Courier New"/>
                <w:sz w:val="16"/>
                <w:szCs w:val="16"/>
                <w:color w:val="auto"/>
              </w:rPr>
              <w:t>MAXIMUM</w:t>
            </w:r>
          </w:p>
        </w:tc>
        <w:tc>
          <w:tcPr>
            <w:tcW w:w="1580" w:type="dxa"/>
            <w:vAlign w:val="bottom"/>
          </w:tcPr>
          <w:p>
            <w:pPr>
              <w:spacing w:after="0"/>
              <w:rPr>
                <w:sz w:val="15"/>
                <w:szCs w:val="15"/>
                <w:color w:val="auto"/>
              </w:rPr>
            </w:pPr>
          </w:p>
        </w:tc>
      </w:tr>
      <w:tr>
        <w:trPr>
          <w:trHeight w:val="183"/>
        </w:trPr>
        <w:tc>
          <w:tcPr>
            <w:tcW w:w="3240" w:type="dxa"/>
            <w:vAlign w:val="bottom"/>
          </w:tcPr>
          <w:p>
            <w:pPr>
              <w:spacing w:after="0"/>
              <w:rPr>
                <w:sz w:val="20"/>
                <w:szCs w:val="20"/>
                <w:color w:val="auto"/>
              </w:rPr>
            </w:pPr>
            <w:r>
              <w:rPr>
                <w:rFonts w:ascii="Courier New" w:cs="Courier New" w:eastAsia="Courier New" w:hAnsi="Courier New"/>
                <w:sz w:val="16"/>
                <w:szCs w:val="16"/>
                <w:color w:val="auto"/>
              </w:rPr>
              <w:t>TITLE OF EACH CLASS OF SECURITIES</w:t>
            </w:r>
          </w:p>
        </w:tc>
        <w:tc>
          <w:tcPr>
            <w:tcW w:w="1720" w:type="dxa"/>
            <w:vAlign w:val="bottom"/>
          </w:tcPr>
          <w:p>
            <w:pPr>
              <w:jc w:val="center"/>
              <w:ind w:right="21"/>
              <w:spacing w:after="0"/>
              <w:rPr>
                <w:sz w:val="20"/>
                <w:szCs w:val="20"/>
                <w:color w:val="auto"/>
              </w:rPr>
            </w:pPr>
            <w:r>
              <w:rPr>
                <w:rFonts w:ascii="Courier New" w:cs="Courier New" w:eastAsia="Courier New" w:hAnsi="Courier New"/>
                <w:sz w:val="16"/>
                <w:szCs w:val="16"/>
                <w:color w:val="auto"/>
                <w:w w:val="95"/>
              </w:rPr>
              <w:t>TO BE</w:t>
            </w:r>
          </w:p>
        </w:tc>
        <w:tc>
          <w:tcPr>
            <w:tcW w:w="1660" w:type="dxa"/>
            <w:vAlign w:val="bottom"/>
          </w:tcPr>
          <w:p>
            <w:pPr>
              <w:ind w:left="100"/>
              <w:spacing w:after="0"/>
              <w:rPr>
                <w:sz w:val="20"/>
                <w:szCs w:val="20"/>
                <w:color w:val="auto"/>
              </w:rPr>
            </w:pPr>
            <w:r>
              <w:rPr>
                <w:rFonts w:ascii="Courier New" w:cs="Courier New" w:eastAsia="Courier New" w:hAnsi="Courier New"/>
                <w:sz w:val="16"/>
                <w:szCs w:val="16"/>
                <w:color w:val="auto"/>
              </w:rPr>
              <w:t>AGGREGATE PRICE</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AGGREGATE</w:t>
            </w:r>
          </w:p>
        </w:tc>
        <w:tc>
          <w:tcPr>
            <w:tcW w:w="860" w:type="dxa"/>
            <w:vAlign w:val="bottom"/>
          </w:tcPr>
          <w:p>
            <w:pPr>
              <w:ind w:left="40"/>
              <w:spacing w:after="0"/>
              <w:rPr>
                <w:sz w:val="20"/>
                <w:szCs w:val="20"/>
                <w:color w:val="auto"/>
              </w:rPr>
            </w:pPr>
            <w:r>
              <w:rPr>
                <w:rFonts w:ascii="Courier New" w:cs="Courier New" w:eastAsia="Courier New" w:hAnsi="Courier New"/>
                <w:sz w:val="16"/>
                <w:szCs w:val="16"/>
                <w:color w:val="auto"/>
              </w:rPr>
              <w:t>OFFERING</w:t>
            </w:r>
          </w:p>
        </w:tc>
        <w:tc>
          <w:tcPr>
            <w:tcW w:w="1580" w:type="dxa"/>
            <w:vAlign w:val="bottom"/>
          </w:tcPr>
          <w:p>
            <w:pPr>
              <w:ind w:left="420"/>
              <w:spacing w:after="0"/>
              <w:rPr>
                <w:sz w:val="20"/>
                <w:szCs w:val="20"/>
                <w:color w:val="auto"/>
              </w:rPr>
            </w:pPr>
            <w:r>
              <w:rPr>
                <w:rFonts w:ascii="Courier New" w:cs="Courier New" w:eastAsia="Courier New" w:hAnsi="Courier New"/>
                <w:sz w:val="16"/>
                <w:szCs w:val="16"/>
                <w:color w:val="auto"/>
              </w:rPr>
              <w:t>AMOUNT OF</w:t>
            </w:r>
          </w:p>
        </w:tc>
      </w:tr>
      <w:tr>
        <w:trPr>
          <w:trHeight w:val="183"/>
        </w:trPr>
        <w:tc>
          <w:tcPr>
            <w:tcW w:w="3240" w:type="dxa"/>
            <w:vAlign w:val="bottom"/>
          </w:tcPr>
          <w:p>
            <w:pPr>
              <w:ind w:left="860"/>
              <w:spacing w:after="0"/>
              <w:rPr>
                <w:sz w:val="20"/>
                <w:szCs w:val="20"/>
                <w:color w:val="auto"/>
              </w:rPr>
            </w:pPr>
            <w:r>
              <w:rPr>
                <w:rFonts w:ascii="Courier New" w:cs="Courier New" w:eastAsia="Courier New" w:hAnsi="Courier New"/>
                <w:sz w:val="16"/>
                <w:szCs w:val="16"/>
                <w:color w:val="auto"/>
              </w:rPr>
              <w:t>TO BE REGISTERED</w:t>
            </w:r>
          </w:p>
        </w:tc>
        <w:tc>
          <w:tcPr>
            <w:tcW w:w="1720" w:type="dxa"/>
            <w:vAlign w:val="bottom"/>
          </w:tcPr>
          <w:p>
            <w:pPr>
              <w:jc w:val="center"/>
              <w:ind w:right="1"/>
              <w:spacing w:after="0"/>
              <w:rPr>
                <w:sz w:val="20"/>
                <w:szCs w:val="20"/>
                <w:color w:val="auto"/>
              </w:rPr>
            </w:pPr>
            <w:r>
              <w:rPr>
                <w:rFonts w:ascii="Courier New" w:cs="Courier New" w:eastAsia="Courier New" w:hAnsi="Courier New"/>
                <w:sz w:val="16"/>
                <w:szCs w:val="16"/>
                <w:color w:val="auto"/>
                <w:w w:val="99"/>
              </w:rPr>
              <w:t>REGISTERED(1)</w:t>
            </w:r>
          </w:p>
        </w:tc>
        <w:tc>
          <w:tcPr>
            <w:tcW w:w="1660" w:type="dxa"/>
            <w:vAlign w:val="bottom"/>
          </w:tcPr>
          <w:p>
            <w:pPr>
              <w:ind w:left="280"/>
              <w:spacing w:after="0"/>
              <w:rPr>
                <w:sz w:val="20"/>
                <w:szCs w:val="20"/>
                <w:color w:val="auto"/>
              </w:rPr>
            </w:pPr>
            <w:r>
              <w:rPr>
                <w:rFonts w:ascii="Courier New" w:cs="Courier New" w:eastAsia="Courier New" w:hAnsi="Courier New"/>
                <w:sz w:val="16"/>
                <w:szCs w:val="16"/>
                <w:color w:val="auto"/>
              </w:rPr>
              <w:t>PER SHARE(2)</w:t>
            </w:r>
          </w:p>
        </w:tc>
        <w:tc>
          <w:tcPr>
            <w:tcW w:w="1820" w:type="dxa"/>
            <w:vAlign w:val="bottom"/>
            <w:gridSpan w:val="2"/>
          </w:tcPr>
          <w:p>
            <w:pPr>
              <w:ind w:left="540"/>
              <w:spacing w:after="0"/>
              <w:rPr>
                <w:sz w:val="20"/>
                <w:szCs w:val="20"/>
                <w:color w:val="auto"/>
              </w:rPr>
            </w:pPr>
            <w:r>
              <w:rPr>
                <w:rFonts w:ascii="Courier New" w:cs="Courier New" w:eastAsia="Courier New" w:hAnsi="Courier New"/>
                <w:sz w:val="16"/>
                <w:szCs w:val="16"/>
                <w:color w:val="auto"/>
              </w:rPr>
              <w:t>PRICE(2)</w:t>
            </w:r>
          </w:p>
        </w:tc>
        <w:tc>
          <w:tcPr>
            <w:tcW w:w="1580" w:type="dxa"/>
            <w:vAlign w:val="bottom"/>
          </w:tcPr>
          <w:p>
            <w:pPr>
              <w:ind w:left="40"/>
              <w:spacing w:after="0"/>
              <w:rPr>
                <w:sz w:val="20"/>
                <w:szCs w:val="20"/>
                <w:color w:val="auto"/>
              </w:rPr>
            </w:pPr>
            <w:r>
              <w:rPr>
                <w:rFonts w:ascii="Courier New" w:cs="Courier New" w:eastAsia="Courier New" w:hAnsi="Courier New"/>
                <w:sz w:val="16"/>
                <w:szCs w:val="16"/>
                <w:color w:val="auto"/>
                <w:w w:val="98"/>
              </w:rPr>
              <w:t>REGISTRATION FEE</w:t>
            </w:r>
          </w:p>
        </w:tc>
      </w:tr>
    </w:tbl>
    <w:p>
      <w:pPr>
        <w:spacing w:after="0" w:line="188" w:lineRule="exact"/>
        <w:rPr>
          <w:sz w:val="20"/>
          <w:szCs w:val="20"/>
          <w:color w:val="auto"/>
        </w:rPr>
      </w:pPr>
    </w:p>
    <w:p>
      <w:pPr>
        <w:ind w:left="182" w:hanging="182"/>
        <w:spacing w:after="0"/>
        <w:tabs>
          <w:tab w:leader="none" w:pos="182"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0" w:lineRule="exact"/>
        <w:rPr>
          <w:rFonts w:ascii="Courier New" w:cs="Courier New" w:eastAsia="Courier New" w:hAnsi="Courier New"/>
          <w:sz w:val="15"/>
          <w:szCs w:val="15"/>
          <w:color w:val="auto"/>
        </w:rPr>
      </w:pPr>
    </w:p>
    <w:p>
      <w:pPr>
        <w:ind w:left="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Class B Common Stock, $.01 par</w:t>
      </w:r>
    </w:p>
    <w:p>
      <w:pPr>
        <w:spacing w:after="0" w:line="2" w:lineRule="exact"/>
        <w:rPr>
          <w:sz w:val="20"/>
          <w:szCs w:val="20"/>
          <w:color w:val="auto"/>
        </w:rPr>
      </w:pPr>
    </w:p>
    <w:tbl>
      <w:tblPr>
        <w:tblLayout w:type="fixed"/>
        <w:tblInd w:w="182" w:type="dxa"/>
        <w:tblCellMar>
          <w:top w:w="0" w:type="dxa"/>
          <w:left w:w="0" w:type="dxa"/>
          <w:bottom w:w="0" w:type="dxa"/>
          <w:right w:w="0" w:type="dxa"/>
        </w:tblCellMar>
      </w:tblPr>
      <w:tr>
        <w:trPr>
          <w:trHeight w:val="181"/>
        </w:trPr>
        <w:tc>
          <w:tcPr>
            <w:tcW w:w="3300" w:type="dxa"/>
            <w:vAlign w:val="bottom"/>
          </w:tcPr>
          <w:p>
            <w:pPr>
              <w:spacing w:after="0"/>
              <w:rPr>
                <w:sz w:val="20"/>
                <w:szCs w:val="20"/>
                <w:color w:val="auto"/>
              </w:rPr>
            </w:pPr>
            <w:r>
              <w:rPr>
                <w:rFonts w:ascii="Courier New" w:cs="Courier New" w:eastAsia="Courier New" w:hAnsi="Courier New"/>
                <w:sz w:val="16"/>
                <w:szCs w:val="16"/>
                <w:color w:val="auto"/>
              </w:rPr>
              <w:t>value...........................</w:t>
            </w:r>
          </w:p>
        </w:tc>
        <w:tc>
          <w:tcPr>
            <w:tcW w:w="15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5,060,000</w:t>
            </w:r>
          </w:p>
        </w:tc>
        <w:tc>
          <w:tcPr>
            <w:tcW w:w="14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$28.00</w:t>
            </w:r>
          </w:p>
        </w:tc>
        <w:tc>
          <w:tcPr>
            <w:tcW w:w="18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$141,680,000</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$48,855.17(3)</w:t>
            </w:r>
          </w:p>
        </w:tc>
      </w:tr>
    </w:tbl>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55" w:lineRule="exact"/>
        <w:rPr>
          <w:sz w:val="20"/>
          <w:szCs w:val="20"/>
          <w:color w:val="auto"/>
        </w:rPr>
      </w:pPr>
    </w:p>
    <w:p>
      <w:pPr>
        <w:ind w:left="382" w:right="2779" w:hanging="382"/>
        <w:spacing w:after="0" w:line="239" w:lineRule="auto"/>
        <w:tabs>
          <w:tab w:leader="none" w:pos="38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660,000 shares which the Underwriters have the option to purchase from the Company to cover over-allotments, if any.</w:t>
      </w:r>
    </w:p>
    <w:p>
      <w:pPr>
        <w:spacing w:after="0" w:line="189" w:lineRule="exact"/>
        <w:rPr>
          <w:rFonts w:ascii="Courier New" w:cs="Courier New" w:eastAsia="Courier New" w:hAnsi="Courier New"/>
          <w:sz w:val="16"/>
          <w:szCs w:val="16"/>
          <w:color w:val="auto"/>
        </w:rPr>
      </w:pPr>
    </w:p>
    <w:p>
      <w:pPr>
        <w:ind w:left="382" w:right="2679" w:hanging="382"/>
        <w:spacing w:after="0" w:line="241" w:lineRule="auto"/>
        <w:tabs>
          <w:tab w:leader="none" w:pos="38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Pursuant to Rule 457(c), the Proposed Maximum Aggregate Price per Share and the Proposed Maximum Aggregate Offering Price have been calculated on the basis of the average of the high and low sale prices of the Class B Common Stock as reported by the New York Stock Exchange on May 20, 1996.</w:t>
      </w:r>
    </w:p>
    <w:p>
      <w:pPr>
        <w:spacing w:after="0" w:line="369" w:lineRule="exact"/>
        <w:rPr>
          <w:rFonts w:ascii="Courier New" w:cs="Courier New" w:eastAsia="Courier New" w:hAnsi="Courier New"/>
          <w:sz w:val="16"/>
          <w:szCs w:val="16"/>
          <w:color w:val="auto"/>
        </w:rPr>
      </w:pPr>
    </w:p>
    <w:p>
      <w:pPr>
        <w:ind w:left="382" w:hanging="382"/>
        <w:spacing w:after="0"/>
        <w:tabs>
          <w:tab w:leader="none" w:pos="38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registration fee has previously been paid.</w:t>
      </w:r>
    </w:p>
    <w:p>
      <w:pPr>
        <w:spacing w:after="0" w:line="186" w:lineRule="exact"/>
        <w:rPr>
          <w:sz w:val="20"/>
          <w:szCs w:val="20"/>
          <w:color w:val="auto"/>
        </w:rPr>
      </w:pPr>
    </w:p>
    <w:p>
      <w:pPr>
        <w:ind w:left="2862"/>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ind w:left="2" w:right="2599" w:firstLine="382"/>
        <w:spacing w:after="0" w:line="242" w:lineRule="auto"/>
        <w:rPr>
          <w:sz w:val="20"/>
          <w:szCs w:val="20"/>
          <w:color w:val="auto"/>
        </w:rPr>
      </w:pPr>
      <w:r>
        <w:rPr>
          <w:rFonts w:ascii="Courier New" w:cs="Courier New" w:eastAsia="Courier New" w:hAnsi="Courier New"/>
          <w:sz w:val="16"/>
          <w:szCs w:val="16"/>
          <w:color w:val="auto"/>
        </w:rPr>
        <w:t>THE REGISTRANT HEREBY AMENDS THIS REGISTRATION STATEMENT ON SUCH DATE OR DATES AS MAY BE NECESSARY TO DELAY ITS EFFECTIVE DATE UNTIL THE REGISTRANT SHALL FILE A FURTHER AMENDMENT WHICH SPECIFICALLY STATES THAT THE REGISTRATION STATEMENT SHALL THEREAFTER BECOME EFFECTIVE IN ACCORDANCE WITH SECTION 8(A) OF THE SECURITIES ACT OF 1933 OR UNTIL THE REGISTRATION STATEMENT SHALL BECOME EFFECTIVE ON SUCH DATE AS THE COMMISSION, ACTING PURSUANT TO SECTION 8(A), MAY DETERMINE.</w:t>
      </w:r>
    </w:p>
    <w:p>
      <w:pPr>
        <w:spacing w:after="0" w:line="2" w:lineRule="exact"/>
        <w:rPr>
          <w:sz w:val="20"/>
          <w:szCs w:val="20"/>
          <w:color w:val="auto"/>
        </w:rPr>
      </w:pPr>
    </w:p>
    <w:p>
      <w:pPr>
        <w:ind w:left="182" w:hanging="182"/>
        <w:spacing w:after="0"/>
        <w:tabs>
          <w:tab w:leader="none" w:pos="18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182" w:hanging="182"/>
        <w:spacing w:after="0"/>
        <w:tabs>
          <w:tab w:leader="none" w:pos="18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28" w:lineRule="exact"/>
        <w:rPr>
          <w:sz w:val="20"/>
          <w:szCs w:val="20"/>
          <w:color w:val="auto"/>
        </w:rPr>
      </w:pPr>
    </w:p>
    <w:p>
      <w:pPr>
        <w:ind w:left="1802"/>
        <w:spacing w:after="0"/>
        <w:rPr>
          <w:sz w:val="20"/>
          <w:szCs w:val="20"/>
          <w:color w:val="auto"/>
        </w:rPr>
      </w:pPr>
      <w:r>
        <w:rPr>
          <w:rFonts w:ascii="Courier New" w:cs="Courier New" w:eastAsia="Courier New" w:hAnsi="Courier New"/>
          <w:sz w:val="16"/>
          <w:szCs w:val="16"/>
          <w:color w:val="auto"/>
        </w:rPr>
        <w:t>SUBJECT TO COMPLETION, DATED MAY 31, 1996</w:t>
      </w:r>
    </w:p>
    <w:p>
      <w:pPr>
        <w:spacing w:after="0" w:line="369"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PROSPECTUS</w:t>
      </w:r>
    </w:p>
    <w:p>
      <w:pPr>
        <w:spacing w:after="0" w:line="2" w:lineRule="exact"/>
        <w:rPr>
          <w:sz w:val="20"/>
          <w:szCs w:val="20"/>
          <w:color w:val="auto"/>
        </w:rPr>
      </w:pPr>
    </w:p>
    <w:p>
      <w:pPr>
        <w:ind w:left="3042"/>
        <w:spacing w:after="0"/>
        <w:rPr>
          <w:sz w:val="20"/>
          <w:szCs w:val="20"/>
          <w:color w:val="auto"/>
        </w:rPr>
      </w:pPr>
      <w:r>
        <w:rPr>
          <w:rFonts w:ascii="Courier New" w:cs="Courier New" w:eastAsia="Courier New" w:hAnsi="Courier New"/>
          <w:sz w:val="16"/>
          <w:szCs w:val="16"/>
          <w:color w:val="auto"/>
        </w:rPr>
        <w:t>4,400,000 SHARES</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[UHS LOGO]</w:t>
      </w:r>
    </w:p>
    <w:p>
      <w:pPr>
        <w:spacing w:after="0" w:line="369" w:lineRule="exact"/>
        <w:rPr>
          <w:sz w:val="20"/>
          <w:szCs w:val="20"/>
          <w:color w:val="auto"/>
        </w:rPr>
      </w:pPr>
    </w:p>
    <w:p>
      <w:pPr>
        <w:ind w:left="2282"/>
        <w:spacing w:after="0"/>
        <w:rPr>
          <w:sz w:val="20"/>
          <w:szCs w:val="20"/>
          <w:color w:val="auto"/>
        </w:rPr>
      </w:pPr>
      <w:r>
        <w:rPr>
          <w:rFonts w:ascii="Courier New" w:cs="Courier New" w:eastAsia="Courier New" w:hAnsi="Courier New"/>
          <w:sz w:val="16"/>
          <w:szCs w:val="16"/>
          <w:color w:val="auto"/>
        </w:rPr>
        <w:t>UNIVERSAL HEALTH SERVICES, INC.</w:t>
      </w:r>
    </w:p>
    <w:p>
      <w:pPr>
        <w:spacing w:after="0" w:line="186" w:lineRule="exact"/>
        <w:rPr>
          <w:sz w:val="20"/>
          <w:szCs w:val="20"/>
          <w:color w:val="auto"/>
        </w:rPr>
      </w:pPr>
    </w:p>
    <w:p>
      <w:pPr>
        <w:ind w:left="2862"/>
        <w:spacing w:after="0"/>
        <w:rPr>
          <w:sz w:val="20"/>
          <w:szCs w:val="20"/>
          <w:color w:val="auto"/>
        </w:rPr>
      </w:pPr>
      <w:r>
        <w:rPr>
          <w:rFonts w:ascii="Courier New" w:cs="Courier New" w:eastAsia="Courier New" w:hAnsi="Courier New"/>
          <w:sz w:val="16"/>
          <w:szCs w:val="16"/>
          <w:color w:val="auto"/>
        </w:rPr>
        <w:t>CLASS B COMMON STOCK</w:t>
      </w:r>
    </w:p>
    <w:p>
      <w:pPr>
        <w:spacing w:after="0" w:line="2" w:lineRule="exact"/>
        <w:rPr>
          <w:sz w:val="20"/>
          <w:szCs w:val="20"/>
          <w:color w:val="auto"/>
        </w:rPr>
      </w:pPr>
    </w:p>
    <w:p>
      <w:pPr>
        <w:ind w:left="2862"/>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ind w:left="2" w:right="2599" w:firstLine="382"/>
        <w:spacing w:after="0" w:line="261" w:lineRule="auto"/>
        <w:rPr>
          <w:sz w:val="20"/>
          <w:szCs w:val="20"/>
          <w:color w:val="auto"/>
        </w:rPr>
      </w:pPr>
      <w:r>
        <w:rPr>
          <w:rFonts w:ascii="Courier New" w:cs="Courier New" w:eastAsia="Courier New" w:hAnsi="Courier New"/>
          <w:sz w:val="15"/>
          <w:szCs w:val="15"/>
          <w:color w:val="auto"/>
        </w:rPr>
        <w:t>Of the 4,400,000 shares of Class B Common Stock, $.01 par value per share ("Class B Common Stock" or the "Shares") offered hereby (the "Offering"), 4,000,000 are being sold by Universal Health Services, Inc. ("UHS" or the "Company") and 400,000 are being sold by Alan B. Miller (the "Selling Stockholder"). The Company will not receive any of the proceeds from the sale of Shares by the Selling Stockholder. The Class B Common Stock has limited voting rights with respect to the election of directors and certain other matters.</w:t>
      </w:r>
    </w:p>
    <w:p>
      <w:pPr>
        <w:spacing w:after="0" w:line="357" w:lineRule="exact"/>
        <w:rPr>
          <w:sz w:val="20"/>
          <w:szCs w:val="20"/>
          <w:color w:val="auto"/>
        </w:rPr>
      </w:pPr>
    </w:p>
    <w:p>
      <w:pPr>
        <w:ind w:left="2" w:right="3159" w:firstLine="382"/>
        <w:spacing w:after="0"/>
        <w:rPr>
          <w:sz w:val="20"/>
          <w:szCs w:val="20"/>
          <w:color w:val="auto"/>
        </w:rPr>
      </w:pPr>
      <w:r>
        <w:rPr>
          <w:rFonts w:ascii="Courier New" w:cs="Courier New" w:eastAsia="Courier New" w:hAnsi="Courier New"/>
          <w:sz w:val="16"/>
          <w:szCs w:val="16"/>
          <w:color w:val="auto"/>
        </w:rPr>
        <w:t>The Class B Common Stock is traded on the New York Stock Exchange (the "NYSE") under the symbol "UHS." On May 30, 1996, the closing price of the Company's Class B Common Stock on the NYSE was $24 3/8 per share.</w:t>
      </w:r>
    </w:p>
    <w:p>
      <w:pPr>
        <w:spacing w:after="0" w:line="373" w:lineRule="exact"/>
        <w:rPr>
          <w:sz w:val="20"/>
          <w:szCs w:val="20"/>
          <w:color w:val="auto"/>
        </w:rPr>
      </w:pPr>
    </w:p>
    <w:p>
      <w:pPr>
        <w:ind w:left="2" w:right="2679" w:firstLine="382"/>
        <w:spacing w:after="0" w:line="259" w:lineRule="auto"/>
        <w:rPr>
          <w:sz w:val="20"/>
          <w:szCs w:val="20"/>
          <w:color w:val="auto"/>
        </w:rPr>
      </w:pPr>
      <w:r>
        <w:rPr>
          <w:rFonts w:ascii="Courier New" w:cs="Courier New" w:eastAsia="Courier New" w:hAnsi="Courier New"/>
          <w:sz w:val="15"/>
          <w:szCs w:val="15"/>
          <w:color w:val="auto"/>
        </w:rPr>
        <w:t>SEE "RISK FACTORS" ON PAGE 7 FOR CERTAIN FACTORS THAT SHOULD BE CONSIDERED BY PROSPECTIVE PURCHASERS OF THE SHARES OF CLASS B COMMON STOCK OFFERED HEREBY.</w:t>
      </w:r>
    </w:p>
    <w:p>
      <w:pPr>
        <w:ind w:left="2862"/>
        <w:spacing w:after="0" w:line="236" w:lineRule="auto"/>
        <w:rPr>
          <w:sz w:val="20"/>
          <w:szCs w:val="20"/>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THESE SECURITIES HAVE NOT BEEN APPROVED OR DISAPPROVED BY THE SECURITIES AND</w:t>
      </w:r>
    </w:p>
    <w:p>
      <w:pPr>
        <w:spacing w:after="0" w:line="2" w:lineRule="exact"/>
        <w:rPr>
          <w:sz w:val="20"/>
          <w:szCs w:val="20"/>
          <w:color w:val="auto"/>
        </w:rPr>
      </w:pPr>
    </w:p>
    <w:p>
      <w:pPr>
        <w:ind w:left="182"/>
        <w:spacing w:after="0"/>
        <w:rPr>
          <w:sz w:val="20"/>
          <w:szCs w:val="20"/>
          <w:color w:val="auto"/>
        </w:rPr>
      </w:pPr>
      <w:r>
        <w:rPr>
          <w:rFonts w:ascii="Courier New" w:cs="Courier New" w:eastAsia="Courier New" w:hAnsi="Courier New"/>
          <w:sz w:val="16"/>
          <w:szCs w:val="16"/>
          <w:color w:val="auto"/>
        </w:rPr>
        <w:t>EXCHANGE COMMISSION OR ANY STATE SECURITIES COMMISSION NOR HAS THE</w:t>
      </w:r>
    </w:p>
    <w:p>
      <w:pPr>
        <w:spacing w:after="0" w:line="2" w:lineRule="exact"/>
        <w:rPr>
          <w:sz w:val="20"/>
          <w:szCs w:val="20"/>
          <w:color w:val="auto"/>
        </w:rPr>
      </w:pPr>
    </w:p>
    <w:p>
      <w:pPr>
        <w:ind w:left="282"/>
        <w:spacing w:after="0"/>
        <w:rPr>
          <w:sz w:val="20"/>
          <w:szCs w:val="20"/>
          <w:color w:val="auto"/>
        </w:rPr>
      </w:pPr>
      <w:r>
        <w:rPr>
          <w:rFonts w:ascii="Courier New" w:cs="Courier New" w:eastAsia="Courier New" w:hAnsi="Courier New"/>
          <w:sz w:val="16"/>
          <w:szCs w:val="16"/>
          <w:color w:val="auto"/>
        </w:rPr>
        <w:t>SECURITIES AND EXCHANGE COMMISSION OR ANY STATE SECURITIES COMMISSION</w:t>
      </w:r>
    </w:p>
    <w:p>
      <w:pPr>
        <w:spacing w:after="0" w:line="2" w:lineRule="exact"/>
        <w:rPr>
          <w:sz w:val="20"/>
          <w:szCs w:val="20"/>
          <w:color w:val="auto"/>
        </w:rPr>
      </w:pPr>
    </w:p>
    <w:p>
      <w:pPr>
        <w:ind w:left="382"/>
        <w:spacing w:after="0"/>
        <w:rPr>
          <w:sz w:val="20"/>
          <w:szCs w:val="20"/>
          <w:color w:val="auto"/>
        </w:rPr>
      </w:pPr>
      <w:r>
        <w:rPr>
          <w:rFonts w:ascii="Courier New" w:cs="Courier New" w:eastAsia="Courier New" w:hAnsi="Courier New"/>
          <w:sz w:val="16"/>
          <w:szCs w:val="16"/>
          <w:color w:val="auto"/>
        </w:rPr>
        <w:t>PASSED UPON THE ACCURACY OR ADEQUACY OF THIS PROSPECTUS. ANY</w:t>
      </w:r>
    </w:p>
    <w:p>
      <w:pPr>
        <w:spacing w:after="0" w:line="2" w:lineRule="exact"/>
        <w:rPr>
          <w:sz w:val="20"/>
          <w:szCs w:val="20"/>
          <w:color w:val="auto"/>
        </w:rPr>
      </w:pPr>
    </w:p>
    <w:p>
      <w:pPr>
        <w:ind w:left="1522"/>
        <w:spacing w:after="0"/>
        <w:rPr>
          <w:sz w:val="20"/>
          <w:szCs w:val="20"/>
          <w:color w:val="auto"/>
        </w:rPr>
      </w:pPr>
      <w:r>
        <w:rPr>
          <w:rFonts w:ascii="Courier New" w:cs="Courier New" w:eastAsia="Courier New" w:hAnsi="Courier New"/>
          <w:sz w:val="16"/>
          <w:szCs w:val="16"/>
          <w:color w:val="auto"/>
        </w:rPr>
        <w:t>REPRESENTATION TO THE CONTRARY IS A CRIMINAL OFFENSE.</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[CAPTION]</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21"/>
          </w:cols>
          <w:pgMar w:left="238" w:top="322" w:right="1440" w:bottom="0" w:gutter="0" w:footer="0" w:header="0"/>
        </w:sectPr>
      </w:pPr>
    </w:p>
    <w:p>
      <w:pPr>
        <w:spacing w:after="0" w:line="188" w:lineRule="exact"/>
        <w:rPr>
          <w:sz w:val="20"/>
          <w:szCs w:val="20"/>
          <w:color w:val="auto"/>
        </w:rPr>
      </w:pPr>
    </w:p>
    <w:p>
      <w:pPr>
        <w:jc w:val="center"/>
        <w:ind w:left="2762"/>
        <w:spacing w:after="0"/>
        <w:rPr>
          <w:sz w:val="20"/>
          <w:szCs w:val="20"/>
          <w:color w:val="auto"/>
        </w:rPr>
      </w:pPr>
      <w:r>
        <w:rPr>
          <w:rFonts w:ascii="Courier New" w:cs="Courier New" w:eastAsia="Courier New" w:hAnsi="Courier New"/>
          <w:sz w:val="15"/>
          <w:szCs w:val="15"/>
          <w:color w:val="auto"/>
        </w:rPr>
        <w:t>PRICE TO</w:t>
      </w:r>
    </w:p>
    <w:p>
      <w:pPr>
        <w:spacing w:after="0" w:line="11" w:lineRule="exact"/>
        <w:rPr>
          <w:sz w:val="20"/>
          <w:szCs w:val="20"/>
          <w:color w:val="auto"/>
        </w:rPr>
      </w:pPr>
    </w:p>
    <w:p>
      <w:pPr>
        <w:jc w:val="center"/>
        <w:ind w:left="2762"/>
        <w:spacing w:after="0"/>
        <w:rPr>
          <w:sz w:val="20"/>
          <w:szCs w:val="20"/>
          <w:color w:val="auto"/>
        </w:rPr>
      </w:pPr>
      <w:r>
        <w:rPr>
          <w:rFonts w:ascii="Courier New" w:cs="Courier New" w:eastAsia="Courier New" w:hAnsi="Courier New"/>
          <w:sz w:val="16"/>
          <w:szCs w:val="16"/>
          <w:color w:val="auto"/>
        </w:rPr>
        <w:t>PUBLIC</w:t>
      </w:r>
    </w:p>
    <w:p>
      <w:pPr>
        <w:spacing w:after="0" w:line="20" w:lineRule="exact"/>
        <w:rPr>
          <w:sz w:val="20"/>
          <w:szCs w:val="20"/>
          <w:color w:val="auto"/>
        </w:rPr>
      </w:pPr>
      <w:r>
        <w:rPr>
          <w:sz w:val="20"/>
          <w:szCs w:val="20"/>
          <w:color w:val="auto"/>
        </w:rPr>
        <w:br w:type="column"/>
      </w:r>
    </w:p>
    <w:p>
      <w:pPr>
        <w:ind w:right="1439" w:firstLine="95"/>
        <w:spacing w:after="0"/>
        <w:rPr>
          <w:sz w:val="20"/>
          <w:szCs w:val="20"/>
          <w:color w:val="auto"/>
        </w:rPr>
      </w:pPr>
      <w:r>
        <w:rPr>
          <w:rFonts w:ascii="Courier New" w:cs="Courier New" w:eastAsia="Courier New" w:hAnsi="Courier New"/>
          <w:sz w:val="16"/>
          <w:szCs w:val="16"/>
          <w:color w:val="auto"/>
        </w:rPr>
        <w:t>UNDERWRITING PROCEEDS TO DISCOUNTS AND PROCEEDS TO SELLING COMMISSIONS(1) COMPANY (2) STOCKHOLDER</w:t>
      </w:r>
    </w:p>
    <w:p>
      <w:pPr>
        <w:spacing w:after="0" w:line="189" w:lineRule="exact"/>
        <w:rPr>
          <w:sz w:val="20"/>
          <w:szCs w:val="20"/>
          <w:color w:val="auto"/>
        </w:rPr>
      </w:pPr>
    </w:p>
    <w:p>
      <w:pPr>
        <w:sectPr>
          <w:pgSz w:w="11900" w:h="16838" w:orient="portrait"/>
          <w:cols w:equalWidth="0" w:num="2">
            <w:col w:w="3522" w:space="680"/>
            <w:col w:w="6019"/>
          </w:cols>
          <w:pgMar w:left="238" w:top="322" w:right="1440" w:bottom="0" w:gutter="0" w:footer="0" w:header="0"/>
          <w:type w:val="continuous"/>
        </w:sectPr>
      </w:pPr>
    </w:p>
    <w:p>
      <w:pPr>
        <w:ind w:left="2"/>
        <w:spacing w:after="0"/>
        <w:rPr>
          <w:sz w:val="20"/>
          <w:szCs w:val="20"/>
          <w:color w:val="auto"/>
        </w:rPr>
      </w:pPr>
      <w:r>
        <w:rPr>
          <w:rFonts w:ascii="Courier New" w:cs="Courier New" w:eastAsia="Courier New" w:hAnsi="Courier New"/>
          <w:sz w:val="15"/>
          <w:szCs w:val="15"/>
          <w:color w:val="auto"/>
        </w:rPr>
        <w:t>- --------------------------------------------------------------------------------------------</w:t>
      </w:r>
    </w:p>
    <w:p>
      <w:pPr>
        <w:spacing w:after="0" w:line="11" w:lineRule="exact"/>
        <w:rPr>
          <w:sz w:val="20"/>
          <w:szCs w:val="20"/>
          <w:color w:val="auto"/>
        </w:rPr>
      </w:pPr>
    </w:p>
    <w:p>
      <w:pPr>
        <w:ind w:left="2"/>
        <w:spacing w:after="0"/>
        <w:tabs>
          <w:tab w:leader="none" w:pos="3022" w:val="left"/>
          <w:tab w:leader="none" w:pos="4742" w:val="left"/>
          <w:tab w:leader="none" w:pos="6462" w:val="left"/>
          <w:tab w:leader="none" w:pos="8182" w:val="left"/>
        </w:tabs>
        <w:rPr>
          <w:sz w:val="20"/>
          <w:szCs w:val="20"/>
          <w:color w:val="auto"/>
        </w:rPr>
      </w:pPr>
      <w:r>
        <w:rPr>
          <w:rFonts w:ascii="Courier New" w:cs="Courier New" w:eastAsia="Courier New" w:hAnsi="Courier New"/>
          <w:sz w:val="16"/>
          <w:szCs w:val="16"/>
          <w:color w:val="auto"/>
        </w:rPr>
        <w:t>Per Share</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21"/>
          </w:cols>
          <w:pgMar w:left="238" w:top="322" w:right="1440" w:bottom="0" w:gutter="0" w:footer="0" w:header="0"/>
          <w:type w:val="continuous"/>
        </w:sectPr>
      </w:pPr>
    </w:p>
    <w:bookmarkStart w:id="2" w:name="page3"/>
    <w:bookmarkEnd w:id="2"/>
    <w:p>
      <w:pPr>
        <w:ind w:left="2"/>
        <w:spacing w:after="0"/>
        <w:tabs>
          <w:tab w:leader="none" w:pos="3022" w:val="left"/>
          <w:tab w:leader="none" w:pos="4742" w:val="left"/>
          <w:tab w:leader="none" w:pos="6462" w:val="left"/>
          <w:tab w:leader="none" w:pos="8182" w:val="left"/>
        </w:tabs>
        <w:rPr>
          <w:sz w:val="20"/>
          <w:szCs w:val="20"/>
          <w:color w:val="auto"/>
        </w:rPr>
      </w:pPr>
      <w:r>
        <w:rPr>
          <w:rFonts w:ascii="Courier New" w:cs="Courier New" w:eastAsia="Courier New" w:hAnsi="Courier New"/>
          <w:sz w:val="16"/>
          <w:szCs w:val="16"/>
          <w:color w:val="auto"/>
        </w:rPr>
        <w:t>Total(3)</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w:t>
      </w:r>
    </w:p>
    <w:p>
      <w:pPr>
        <w:spacing w:after="0" w:line="380" w:lineRule="exact"/>
        <w:rPr>
          <w:sz w:val="20"/>
          <w:szCs w:val="20"/>
          <w:color w:val="auto"/>
        </w:rPr>
      </w:pPr>
    </w:p>
    <w:p>
      <w:pPr>
        <w:ind w:left="382" w:right="2879" w:hanging="382"/>
        <w:spacing w:after="0"/>
        <w:tabs>
          <w:tab w:leader="none" w:pos="38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the Selling Stockholder have agreed to indemnify the Underwriters against certain liabilities, including liabilities under the Securities Act of 1933, as amended. See "Underwriting."</w:t>
      </w:r>
    </w:p>
    <w:p>
      <w:pPr>
        <w:spacing w:after="0" w:line="189" w:lineRule="exact"/>
        <w:rPr>
          <w:rFonts w:ascii="Courier New" w:cs="Courier New" w:eastAsia="Courier New" w:hAnsi="Courier New"/>
          <w:sz w:val="16"/>
          <w:szCs w:val="16"/>
          <w:color w:val="auto"/>
        </w:rPr>
      </w:pPr>
    </w:p>
    <w:p>
      <w:pPr>
        <w:ind w:left="382" w:right="2679" w:hanging="382"/>
        <w:spacing w:after="0" w:line="239" w:lineRule="auto"/>
        <w:tabs>
          <w:tab w:leader="none" w:pos="38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Before deducting estimated expenses of this Offering of $390,000 payable by the Company.</w:t>
      </w:r>
    </w:p>
    <w:p>
      <w:pPr>
        <w:spacing w:after="0" w:line="189" w:lineRule="exact"/>
        <w:rPr>
          <w:rFonts w:ascii="Courier New" w:cs="Courier New" w:eastAsia="Courier New" w:hAnsi="Courier New"/>
          <w:sz w:val="16"/>
          <w:szCs w:val="16"/>
          <w:color w:val="auto"/>
        </w:rPr>
      </w:pPr>
    </w:p>
    <w:p>
      <w:pPr>
        <w:ind w:left="382" w:right="2599" w:hanging="382"/>
        <w:spacing w:after="0" w:line="259" w:lineRule="auto"/>
        <w:tabs>
          <w:tab w:leader="none" w:pos="382"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granted the Underwriters a 30-day option to purchase up to 660,000 additional shares of Class B Common Stock solely to cover overallotments, if any. If such option is exercised in full, the total Price to Public, Underwriting Discounts and Commissions and Proceeds to Company</w:t>
      </w:r>
    </w:p>
    <w:p>
      <w:pPr>
        <w:ind w:left="382" w:right="3839"/>
        <w:spacing w:after="0"/>
        <w:rPr>
          <w:sz w:val="20"/>
          <w:szCs w:val="20"/>
          <w:color w:val="auto"/>
        </w:rPr>
      </w:pPr>
      <w:r>
        <w:rPr>
          <w:rFonts w:ascii="Courier New" w:cs="Courier New" w:eastAsia="Courier New" w:hAnsi="Courier New"/>
          <w:sz w:val="16"/>
          <w:szCs w:val="16"/>
          <w:color w:val="auto"/>
        </w:rPr>
        <w:t>will be $ , $ and $ , respectively. See "Underwriting."</w:t>
      </w:r>
    </w:p>
    <w:p>
      <w:pPr>
        <w:spacing w:after="0" w:line="366" w:lineRule="exact"/>
        <w:rPr>
          <w:sz w:val="20"/>
          <w:szCs w:val="20"/>
          <w:color w:val="auto"/>
        </w:rPr>
      </w:pPr>
    </w:p>
    <w:p>
      <w:pPr>
        <w:ind w:left="2962"/>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p>
      <w:pPr>
        <w:ind w:left="2" w:right="2779" w:firstLine="382"/>
        <w:spacing w:after="0" w:line="259" w:lineRule="auto"/>
        <w:rPr>
          <w:sz w:val="20"/>
          <w:szCs w:val="20"/>
          <w:color w:val="auto"/>
        </w:rPr>
      </w:pPr>
      <w:r>
        <w:rPr>
          <w:rFonts w:ascii="Courier New" w:cs="Courier New" w:eastAsia="Courier New" w:hAnsi="Courier New"/>
          <w:sz w:val="15"/>
          <w:szCs w:val="15"/>
          <w:color w:val="auto"/>
        </w:rPr>
        <w:t>The shares of Class B Common Stock are offered by the several Underwriters named herein, subject to prior sale, when, as and if accepted by them and subject to certain conditions. It is expected that certificates for the shares of Class B Common Stock offered hereby will be available for delivery on or</w:t>
      </w:r>
    </w:p>
    <w:p>
      <w:pPr>
        <w:ind w:left="2" w:right="3059"/>
        <w:spacing w:after="0" w:line="239" w:lineRule="auto"/>
        <w:rPr>
          <w:sz w:val="20"/>
          <w:szCs w:val="20"/>
          <w:color w:val="auto"/>
        </w:rPr>
      </w:pPr>
      <w:r>
        <w:rPr>
          <w:rFonts w:ascii="Courier New" w:cs="Courier New" w:eastAsia="Courier New" w:hAnsi="Courier New"/>
          <w:sz w:val="16"/>
          <w:szCs w:val="16"/>
          <w:color w:val="auto"/>
        </w:rPr>
        <w:t>about , 1996 at the offices of Smith Barney Inc., 333 West 34th Street, New York, New York 10001.</w:t>
      </w:r>
    </w:p>
    <w:p>
      <w:pPr>
        <w:spacing w:after="0" w:line="3" w:lineRule="exact"/>
        <w:rPr>
          <w:sz w:val="20"/>
          <w:szCs w:val="20"/>
          <w:color w:val="auto"/>
        </w:rPr>
      </w:pPr>
    </w:p>
    <w:p>
      <w:pPr>
        <w:ind w:left="2862"/>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SMITH BARNEY INC.</w:t>
      </w:r>
    </w:p>
    <w:p>
      <w:pPr>
        <w:spacing w:after="0" w:line="2" w:lineRule="exact"/>
        <w:rPr>
          <w:sz w:val="20"/>
          <w:szCs w:val="20"/>
          <w:color w:val="auto"/>
        </w:rPr>
      </w:pPr>
    </w:p>
    <w:p>
      <w:pPr>
        <w:ind w:left="1042"/>
        <w:spacing w:after="0"/>
        <w:rPr>
          <w:sz w:val="20"/>
          <w:szCs w:val="20"/>
          <w:color w:val="auto"/>
        </w:rPr>
      </w:pPr>
      <w:r>
        <w:rPr>
          <w:rFonts w:ascii="Courier New" w:cs="Courier New" w:eastAsia="Courier New" w:hAnsi="Courier New"/>
          <w:sz w:val="16"/>
          <w:szCs w:val="16"/>
          <w:color w:val="auto"/>
        </w:rPr>
        <w:t>BEAR, STEARNS &amp; CO. INC.</w:t>
      </w:r>
    </w:p>
    <w:p>
      <w:pPr>
        <w:spacing w:after="0" w:line="2" w:lineRule="exact"/>
        <w:rPr>
          <w:sz w:val="20"/>
          <w:szCs w:val="20"/>
          <w:color w:val="auto"/>
        </w:rPr>
      </w:pPr>
    </w:p>
    <w:p>
      <w:pPr>
        <w:ind w:left="2282"/>
        <w:spacing w:after="0"/>
        <w:rPr>
          <w:sz w:val="20"/>
          <w:szCs w:val="20"/>
          <w:color w:val="auto"/>
        </w:rPr>
      </w:pPr>
      <w:r>
        <w:rPr>
          <w:rFonts w:ascii="Courier New" w:cs="Courier New" w:eastAsia="Courier New" w:hAnsi="Courier New"/>
          <w:sz w:val="16"/>
          <w:szCs w:val="16"/>
          <w:color w:val="auto"/>
        </w:rPr>
        <w:t>DILLON, READ &amp; CO. INC.</w:t>
      </w:r>
    </w:p>
    <w:p>
      <w:pPr>
        <w:spacing w:after="0" w:line="2" w:lineRule="exact"/>
        <w:rPr>
          <w:sz w:val="20"/>
          <w:szCs w:val="20"/>
          <w:color w:val="auto"/>
        </w:rPr>
      </w:pPr>
    </w:p>
    <w:p>
      <w:pPr>
        <w:ind w:left="2962"/>
        <w:spacing w:after="0"/>
        <w:rPr>
          <w:sz w:val="20"/>
          <w:szCs w:val="20"/>
          <w:color w:val="auto"/>
        </w:rPr>
      </w:pPr>
      <w:r>
        <w:rPr>
          <w:rFonts w:ascii="Courier New" w:cs="Courier New" w:eastAsia="Courier New" w:hAnsi="Courier New"/>
          <w:sz w:val="16"/>
          <w:szCs w:val="16"/>
          <w:color w:val="auto"/>
        </w:rPr>
        <w:t>DONALDSON, LUFKIN &amp; JENRETTE</w:t>
      </w:r>
    </w:p>
    <w:p>
      <w:pPr>
        <w:spacing w:after="0" w:line="2" w:lineRule="exact"/>
        <w:rPr>
          <w:sz w:val="20"/>
          <w:szCs w:val="20"/>
          <w:color w:val="auto"/>
        </w:rPr>
      </w:pPr>
    </w:p>
    <w:p>
      <w:pPr>
        <w:ind w:left="4682"/>
        <w:spacing w:after="0"/>
        <w:rPr>
          <w:sz w:val="20"/>
          <w:szCs w:val="20"/>
          <w:color w:val="auto"/>
        </w:rPr>
      </w:pPr>
      <w:r>
        <w:rPr>
          <w:rFonts w:ascii="Courier New" w:cs="Courier New" w:eastAsia="Courier New" w:hAnsi="Courier New"/>
          <w:sz w:val="16"/>
          <w:szCs w:val="16"/>
          <w:color w:val="auto"/>
        </w:rPr>
        <w:t>SECURITIES CORPORATION</w:t>
      </w:r>
    </w:p>
    <w:p>
      <w:pPr>
        <w:spacing w:after="0" w:line="2" w:lineRule="exact"/>
        <w:rPr>
          <w:sz w:val="20"/>
          <w:szCs w:val="20"/>
          <w:color w:val="auto"/>
        </w:rPr>
      </w:pPr>
    </w:p>
    <w:p>
      <w:pPr>
        <w:ind w:left="5722"/>
        <w:spacing w:after="0"/>
        <w:rPr>
          <w:sz w:val="20"/>
          <w:szCs w:val="20"/>
          <w:color w:val="auto"/>
        </w:rPr>
      </w:pPr>
      <w:r>
        <w:rPr>
          <w:rFonts w:ascii="Courier New" w:cs="Courier New" w:eastAsia="Courier New" w:hAnsi="Courier New"/>
          <w:sz w:val="16"/>
          <w:szCs w:val="16"/>
          <w:color w:val="auto"/>
        </w:rPr>
        <w:t>J.P. MORGAN &amp; CO.</w:t>
      </w:r>
    </w:p>
    <w:p>
      <w:pPr>
        <w:spacing w:after="0" w:line="2" w:lineRule="exact"/>
        <w:rPr>
          <w:sz w:val="20"/>
          <w:szCs w:val="20"/>
          <w:color w:val="auto"/>
        </w:rPr>
      </w:pPr>
    </w:p>
    <w:p>
      <w:pPr>
        <w:ind w:left="1142"/>
        <w:spacing w:after="0"/>
        <w:rPr>
          <w:sz w:val="20"/>
          <w:szCs w:val="20"/>
          <w:color w:val="auto"/>
        </w:rPr>
      </w:pPr>
      <w:r>
        <w:rPr>
          <w:rFonts w:ascii="Courier New" w:cs="Courier New" w:eastAsia="Courier New" w:hAnsi="Courier New"/>
          <w:sz w:val="16"/>
          <w:szCs w:val="16"/>
          <w:color w:val="auto"/>
        </w:rPr>
        <w:t>, 1996</w:t>
      </w:r>
    </w:p>
    <w:p>
      <w:pPr>
        <w:sectPr>
          <w:pgSz w:w="11900" w:h="16838" w:orient="portrait"/>
          <w:cols w:equalWidth="0" w:num="1">
            <w:col w:w="10221"/>
          </w:cols>
          <w:pgMar w:left="238" w:top="139" w:right="1440" w:bottom="1440" w:gutter="0" w:footer="0" w:header="0"/>
        </w:sectPr>
      </w:pPr>
    </w:p>
    <w:bookmarkStart w:id="3" w:name="page4"/>
    <w:bookmarkEnd w:id="3"/>
    <w:p>
      <w:pPr>
        <w:ind w:right="2679"/>
        <w:spacing w:after="0" w:line="260" w:lineRule="auto"/>
        <w:rPr>
          <w:sz w:val="20"/>
          <w:szCs w:val="20"/>
          <w:color w:val="auto"/>
        </w:rPr>
      </w:pPr>
      <w:r>
        <w:rPr>
          <w:rFonts w:ascii="Courier New" w:cs="Courier New" w:eastAsia="Courier New" w:hAnsi="Courier New"/>
          <w:sz w:val="15"/>
          <w:szCs w:val="15"/>
          <w:color w:val="auto"/>
        </w:rPr>
        <w:t>INFORMATION CONTAINED HEREIN IS SUBJECT TO COMPLETION OR AMENDMENT. A REGISTRATION STATEMENT RELATING TO THESE SECURITIES HAS BEEN FILED WITH THE SECURITIES AND EXCHANGE COMMISSION. THESE SECURITIES MAY NOT BE SOLD NOR MAY OFFERS TO BUY BE ACCEPTED PRIOR TO THE TIME THE REGISTRATION STATEMENT BECOMES EFFECTIVE. THIS PROSPECTUS SHALL NOT CONSTITUTE AN OFFER TO SELL OR THE SOLICITATION OF AN OFFER TO BUY NOR SHALL THERE BE ANY SALE OF THESE SECURITIES IN ANY STATE IN WHICH SUCH OFFER, SOLICITATION OR SALE WOULD BE UNLAWFUL PRIOR TO REGISTRATION OR QUALIFICATION UNDER THE SECURITIES LAWS OF ANY STATE.</w:t>
      </w:r>
    </w:p>
    <w:p>
      <w:pPr>
        <w:sectPr>
          <w:pgSz w:w="11900" w:h="16838" w:orient="portrait"/>
          <w:cols w:equalWidth="0" w:num="1">
            <w:col w:w="10219"/>
          </w:cols>
          <w:pgMar w:left="240" w:top="484" w:right="1440" w:bottom="1440" w:gutter="0" w:footer="0" w:header="0"/>
        </w:sectPr>
      </w:pPr>
    </w:p>
    <w:bookmarkStart w:id="4" w:name="page5"/>
    <w:bookmarkEnd w:id="4"/>
    <w:p>
      <w:pPr>
        <w:ind w:right="2599" w:firstLine="382"/>
        <w:spacing w:after="0" w:line="242" w:lineRule="auto"/>
        <w:rPr>
          <w:sz w:val="20"/>
          <w:szCs w:val="20"/>
          <w:color w:val="auto"/>
        </w:rPr>
      </w:pPr>
      <w:r>
        <w:rPr>
          <w:rFonts w:ascii="Courier New" w:cs="Courier New" w:eastAsia="Courier New" w:hAnsi="Courier New"/>
          <w:sz w:val="16"/>
          <w:szCs w:val="16"/>
          <w:color w:val="auto"/>
        </w:rPr>
        <w:t>IN CONNECTION WITH THIS OFFERING, THE UNDERWRITERS MAY OVER-ALLOT OR EFFECT TRANSACTIONS WHICH STABILIZE OR MAINTAIN THE MARKET PRICE OF THE COMMON STOCK OF THE COMPANY AT A LEVEL ABOVE THAT WHICH MIGHT OTHERWISE PREVAIL IN THE OPEN MARKET. SUCH TRANSACTIONS MAY BE EFFECTED ON THE NEW YORK EXCHANGE, IN THE OVER-THE-COUNTER MARKET OR OTHERWISE. SUCH STABILIZING, IF COMMENCED, MAY BE DISCONTINUED AT ANY TIME.</w:t>
      </w:r>
    </w:p>
    <w:p>
      <w:pPr>
        <w:spacing w:after="0" w:line="184"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AVAILABLE INFORMATION</w:t>
      </w:r>
    </w:p>
    <w:p>
      <w:pPr>
        <w:spacing w:after="0" w:line="188" w:lineRule="exact"/>
        <w:rPr>
          <w:sz w:val="20"/>
          <w:szCs w:val="20"/>
          <w:color w:val="auto"/>
        </w:rPr>
      </w:pPr>
    </w:p>
    <w:p>
      <w:pPr>
        <w:ind w:right="2599" w:firstLine="382"/>
        <w:spacing w:after="0" w:line="260" w:lineRule="auto"/>
        <w:rPr>
          <w:sz w:val="20"/>
          <w:szCs w:val="20"/>
          <w:color w:val="auto"/>
        </w:rPr>
      </w:pPr>
      <w:r>
        <w:rPr>
          <w:rFonts w:ascii="Courier New" w:cs="Courier New" w:eastAsia="Courier New" w:hAnsi="Courier New"/>
          <w:sz w:val="15"/>
          <w:szCs w:val="15"/>
          <w:color w:val="auto"/>
        </w:rPr>
        <w:t>UHS is subject to the informational requirements of the Securities Exchange Act of 1934, as amended (the "Exchange Act"), and in accordance therewith files reports, proxy statements and other information with the Securities and Exchange Commission (the "Commission"). Reports, proxy statements and other information filed by UHS may be inspected and copied at the public reference facilities maintained by the Commission, 450 Fifth Street, N.W., Judiciary Plaza, Room 1024, Washington, D.C. 20549; and at regional offices of the Commission at Northwestern Atrium Center, 500 West Madison, Suite 1400, Chicago, Illinois 60661 and at 7 World Trade Center, New York, New York 10048. Copies of such material may be obtained by mail from the Public Reference Section of the Commission at 450 Fifth Street, N.W., Washington, D.C. 20549 at prescribed rates. Such material may also be inspected and copied at the offices of the New York Stock Exchange, Inc., 20 Broad Street, New York, New York 10005.</w:t>
      </w:r>
    </w:p>
    <w:p>
      <w:pPr>
        <w:spacing w:after="0" w:line="175"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As permitted by the rules and regulations of the Commission, this Prospectus omits certain information contained in the Registration Statement on Form S-3 (the "Registration Statement") of which this Prospectus is a part. For such information, reference is made to the Registration Statement and the exhibits thereto. Statements made in this Prospectus as to the contents of any contract, agreement or other document are not necessarily complete; with respect to each such contract, agreement or other document filed as an exhibit to the Registration Statement or incorporated by reference herein, reference is made to such contract, agreement or other document for a more complete description of the matter involved, and each such statement is qualified in its entirety by such reference.</w:t>
      </w:r>
    </w:p>
    <w:p>
      <w:pPr>
        <w:spacing w:after="0" w:line="188"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INCORPORATION OF CERTAIN DOCUMENTS BY REFERENCE</w:t>
      </w:r>
    </w:p>
    <w:p>
      <w:pPr>
        <w:spacing w:after="0" w:line="188" w:lineRule="exact"/>
        <w:rPr>
          <w:sz w:val="20"/>
          <w:szCs w:val="20"/>
          <w:color w:val="auto"/>
        </w:rPr>
      </w:pPr>
    </w:p>
    <w:p>
      <w:pPr>
        <w:ind w:right="2599" w:firstLine="382"/>
        <w:spacing w:after="0" w:line="260" w:lineRule="auto"/>
        <w:rPr>
          <w:sz w:val="20"/>
          <w:szCs w:val="20"/>
          <w:color w:val="auto"/>
        </w:rPr>
      </w:pPr>
      <w:r>
        <w:rPr>
          <w:rFonts w:ascii="Courier New" w:cs="Courier New" w:eastAsia="Courier New" w:hAnsi="Courier New"/>
          <w:sz w:val="15"/>
          <w:szCs w:val="15"/>
          <w:color w:val="auto"/>
        </w:rPr>
        <w:t>UHS hereby incorporates by reference in this Prospectus the following documents previously filed with the Commission pursuant to the Exchange Act: (i) the Company's Prospectus, dated July 18, 1995 as supplemented by a Supplement dated August 1, 1995, filed pursuant to Rule 424 under the Securities Act of 1933, as amended (the "Act") relating to securities registered on Form S-3, File No. 33-60287, declared effective on July 18, 1995; (ii) the Company's Annual Report on Form 10-K for the year ended December 31, 1995; and (iii) the Company's Quarterly Report on Form 10-Q for the quarter ended March 31, 1996.</w:t>
      </w:r>
    </w:p>
    <w:p>
      <w:pPr>
        <w:spacing w:after="0" w:line="178" w:lineRule="exact"/>
        <w:rPr>
          <w:sz w:val="20"/>
          <w:szCs w:val="20"/>
          <w:color w:val="auto"/>
        </w:rPr>
      </w:pPr>
    </w:p>
    <w:p>
      <w:pPr>
        <w:ind w:right="2599" w:firstLine="382"/>
        <w:spacing w:after="0" w:line="260" w:lineRule="auto"/>
        <w:rPr>
          <w:sz w:val="20"/>
          <w:szCs w:val="20"/>
          <w:color w:val="auto"/>
        </w:rPr>
      </w:pPr>
      <w:r>
        <w:rPr>
          <w:rFonts w:ascii="Courier New" w:cs="Courier New" w:eastAsia="Courier New" w:hAnsi="Courier New"/>
          <w:sz w:val="15"/>
          <w:szCs w:val="15"/>
          <w:color w:val="auto"/>
        </w:rPr>
        <w:t>Each document filed by UHS pursuant to Section 13(a), 13(c), 14 or 15(d) of the Exchange Act subsequent to the date of this Prospectus and prior to the termination of the offering of the Class B Common Stock pursuant hereto shall be deemed to be incorporated by reference in this Prospectus and to be a part of this Prospectus from the date of filing of such document. Any statement contained in this Prospectus or in a document incorporated or deemed to be incorporated by reference in this Prospectus shall be deemed to be modified or superseded for purposes of the Registration Statement and this Prospectus to the extent that a statement contained in this Prospectus or in any subsequently filed document that also is or deemed to be incorporated by reference in this Prospectus modifies or supersedes such statement. Any such statement so modified or superseded shall not be deemed, except as so modified or superseded, to constitute a part of the Registration Statement or this Prospectus.</w:t>
      </w:r>
    </w:p>
    <w:p>
      <w:pPr>
        <w:spacing w:after="0" w:line="175"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UHS will provide without charge to each person to whom this Prospectus is delivered, upon the written or oral request of any such person, a copy of any or all of the documents that are incorporated by reference in this Prospectus, other than exhibits to such documents (unless such exhibits are specifically incorporated by reference into such documents). Requests should be directed to Investor Relations, Universal Health Services, Inc., Universal Corporate Center, 367 South Gulph Road, P.O. Box 61558, King of Prussia, Pennsylvania 19406-0958, telephone (610) 768-3300.</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484" w:right="1440" w:bottom="1440" w:gutter="0" w:footer="0" w:header="0"/>
        </w:sectPr>
      </w:pPr>
    </w:p>
    <w:bookmarkStart w:id="5" w:name="page6"/>
    <w:bookmarkEnd w:id="5"/>
    <w:p>
      <w:pPr>
        <w:jc w:val="center"/>
        <w:ind w:right="2599"/>
        <w:spacing w:after="0"/>
        <w:rPr>
          <w:sz w:val="20"/>
          <w:szCs w:val="20"/>
          <w:color w:val="auto"/>
        </w:rPr>
      </w:pPr>
      <w:r>
        <w:rPr>
          <w:rFonts w:ascii="Courier New" w:cs="Courier New" w:eastAsia="Courier New" w:hAnsi="Courier New"/>
          <w:sz w:val="16"/>
          <w:szCs w:val="16"/>
          <w:color w:val="auto"/>
        </w:rPr>
        <w:t>PROSPECTUS SUMMARY</w:t>
      </w:r>
    </w:p>
    <w:p>
      <w:pPr>
        <w:spacing w:after="0" w:line="188" w:lineRule="exact"/>
        <w:rPr>
          <w:sz w:val="20"/>
          <w:szCs w:val="20"/>
          <w:color w:val="auto"/>
        </w:rPr>
      </w:pPr>
    </w:p>
    <w:p>
      <w:pPr>
        <w:ind w:right="2679" w:firstLine="382"/>
        <w:spacing w:after="0" w:line="241" w:lineRule="auto"/>
        <w:rPr>
          <w:sz w:val="20"/>
          <w:szCs w:val="20"/>
          <w:color w:val="auto"/>
        </w:rPr>
      </w:pPr>
      <w:r>
        <w:rPr>
          <w:rFonts w:ascii="Courier New" w:cs="Courier New" w:eastAsia="Courier New" w:hAnsi="Courier New"/>
          <w:sz w:val="16"/>
          <w:szCs w:val="16"/>
          <w:color w:val="auto"/>
        </w:rPr>
        <w:t>The following summary is qualified in its entirety by the more detailed information appearing elsewhere in this Prospectus or incorporated by reference herein. Unless otherwise indicated, all information in this Prospectus gives effect to a 2-for-1 stock split effected on May 17, 1996.</w:t>
      </w:r>
    </w:p>
    <w:p>
      <w:pPr>
        <w:spacing w:after="0" w:line="186"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THE COMPANY</w:t>
      </w:r>
    </w:p>
    <w:p>
      <w:pPr>
        <w:spacing w:after="0" w:line="188"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The principal business of Universal Health Services, Inc. (together with its subsidiaries, "UHS" or the "Company") is owning and operating acute care hospitals, behavioral health centers, ambulatory surgery centers and radiation oncology centers. The Company's strategy to enhance its profitability and to continue to provide high quality, cost-effective healthcare services includes the following key elements: (i) establish and maintain market leadership positions in small and medium-sized markets with favorable demographics; (ii) develop or participate in the leading integrated healthcare delivery system in each of its hospital's markets; (iii) develop and maintain strong relationships with physicians; (iv) maintain a low cost structure while providing high quality care; and (v) attract managed care contracts. Consistent with its strategy, the Company recently acquired three acute care hospitals which are market leaders. In July 1995, the Company acquired Aiken Regional Medical Centers ("Aiken"), a 225-bed medical complex, located in Aiken, South Carolina. In August 1995, the Company acquired Manatee Memorial Hospital ("Manatee"), a 512-bed acute care hospital, located in Bradenton, Florida. In May 1996, the Company acquired Northwest Texas Healthcare System ("Northwest Texas Health"), a 360-bed medical complex, located in Amarillo, Texas. See "Pro Forma Financial Information" and "Management's Discussion and Analysis of Financial Condition and Results of Operations-- Liquidity and Capital Resources."</w:t>
      </w:r>
    </w:p>
    <w:p>
      <w:pPr>
        <w:spacing w:after="0" w:line="196"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Currently, the Company operates or manages 35 hospitals, consisting of 16 acute care hospitals and 19 behavioral health centers, in Arkansas, California, Florida, Georgia, Illinois, Louisiana, Massachusetts, Michigan, Missouri, Nevada, Oklahoma, Pennsylvania, South Carolina, Texas and Washington. The Company, as part of its Ambulatory Treatment Centers Division, owns outright, or in partnership with physicians, and operates or manages 26 surgery and radiation oncology centers located in 15 states.</w:t>
      </w:r>
    </w:p>
    <w:p>
      <w:pPr>
        <w:spacing w:after="0" w:line="188"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Services provided by the Company's hospitals include general surgery, internal medicine, obstetrics, emergency room care, radiology, oncology, diagnostic care, coronary care, pediatric services and psychiatric services. The Company provides capital resources as well as a variety of management services to its facilities, including central purchasing, data processing, finance and control systems, facilities planning, physician recruitment services, administrative personnel management, marketing and public relations.</w:t>
      </w:r>
    </w:p>
    <w:p>
      <w:pPr>
        <w:spacing w:after="0" w:line="185"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RECENT EVENTS</w:t>
      </w:r>
    </w:p>
    <w:p>
      <w:pPr>
        <w:spacing w:after="0" w:line="188"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The Company plans to acquire or develop a number of additional hospitals. In April 1996, the Company entered into an agreement to acquire four behavioral health centers, all located in Pennsylvania (the "First Hospital Facilities"), as well as management contracts for seven other behavioral health centers, four of which are located in Pennsylvania, and 33 acres of land adjacent to the Company's Wellington Regional Medical Center (collectively, the "First Hospital Properties") for $36.5 million and up to $5 million which is contingent on future operating performance. See "Pro Forma Financial Information" and "Management's Discussion and Analysis of Financial Condition and Results of Operations--Liquidity and Capital Resources." Each of the First Hospital Facilities is the leading provider of behavioral health services in its market. The combination of the First Hospital Facilities and their related outpatient activities plus the four managed units in Pennsylvania create the</w:t>
      </w:r>
    </w:p>
    <w:p>
      <w:pPr>
        <w:spacing w:after="0" w:line="18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481" w:right="1440" w:bottom="1440" w:gutter="0" w:footer="0" w:header="0"/>
        </w:sectPr>
      </w:pPr>
    </w:p>
    <w:bookmarkStart w:id="6" w:name="page7"/>
    <w:bookmarkEnd w:id="6"/>
    <w:p>
      <w:pPr>
        <w:ind w:left="2" w:right="2679"/>
        <w:spacing w:after="0" w:line="241" w:lineRule="auto"/>
        <w:rPr>
          <w:sz w:val="20"/>
          <w:szCs w:val="20"/>
          <w:color w:val="auto"/>
        </w:rPr>
      </w:pPr>
      <w:r>
        <w:rPr>
          <w:rFonts w:ascii="Courier New" w:cs="Courier New" w:eastAsia="Courier New" w:hAnsi="Courier New"/>
          <w:sz w:val="16"/>
          <w:szCs w:val="16"/>
          <w:color w:val="auto"/>
        </w:rPr>
        <w:t>largest comprehensive behavioral health network in Pennsylvania. The Company believes its historical success in operating behavioral health facilities, when coupled with the acquired contract management business as part of the First Hospital Properties, will make it an effective competitor for new contracts to manage behavioral health units of hospitals.</w:t>
      </w:r>
    </w:p>
    <w:p>
      <w:pPr>
        <w:spacing w:after="0" w:line="190" w:lineRule="exact"/>
        <w:rPr>
          <w:sz w:val="20"/>
          <w:szCs w:val="20"/>
          <w:color w:val="auto"/>
        </w:rPr>
      </w:pPr>
    </w:p>
    <w:p>
      <w:pPr>
        <w:ind w:left="2" w:right="2679" w:firstLine="382"/>
        <w:spacing w:after="0" w:line="261" w:lineRule="auto"/>
        <w:rPr>
          <w:sz w:val="20"/>
          <w:szCs w:val="20"/>
          <w:color w:val="auto"/>
        </w:rPr>
      </w:pPr>
      <w:r>
        <w:rPr>
          <w:rFonts w:ascii="Courier New" w:cs="Courier New" w:eastAsia="Courier New" w:hAnsi="Courier New"/>
          <w:sz w:val="15"/>
          <w:szCs w:val="15"/>
          <w:color w:val="auto"/>
        </w:rPr>
        <w:t>The Company is developing, with the participation of Howard Hughes Corporation, a medical complex including a 148-bed acute care hospital, an ambulatory surgery center, a medical office building and a diagnostic center in the community of Summerlin, Nevada, in western Las Vegas. When completed, this facility will enhance the Company's market presence in Las Vegas, which is located in the fastest growing MSA in the nation. (Source: Claritas Business Information Systems ("Claritas"), a market research firm, Forecast 1995-2000).</w:t>
      </w:r>
    </w:p>
    <w:p>
      <w:pPr>
        <w:spacing w:after="0" w:line="174" w:lineRule="exact"/>
        <w:rPr>
          <w:sz w:val="20"/>
          <w:szCs w:val="20"/>
          <w:color w:val="auto"/>
        </w:rPr>
      </w:pPr>
    </w:p>
    <w:p>
      <w:pPr>
        <w:ind w:left="2" w:right="2599" w:firstLine="382"/>
        <w:spacing w:after="0" w:line="259" w:lineRule="auto"/>
        <w:rPr>
          <w:sz w:val="20"/>
          <w:szCs w:val="20"/>
          <w:color w:val="auto"/>
        </w:rPr>
      </w:pPr>
      <w:r>
        <w:rPr>
          <w:rFonts w:ascii="Courier New" w:cs="Courier New" w:eastAsia="Courier New" w:hAnsi="Courier New"/>
          <w:sz w:val="15"/>
          <w:szCs w:val="15"/>
          <w:color w:val="auto"/>
        </w:rPr>
        <w:t>In January 1996, the Company broke ground on a 124-bed acute care hospital in Edinburg, Texas. Edinburg, located in close proximity to McAllen, Texas, will</w:t>
      </w:r>
    </w:p>
    <w:tbl>
      <w:tblPr>
        <w:tblLayout w:type="fixed"/>
        <w:tblInd w:w="2" w:type="dxa"/>
        <w:tblCellMar>
          <w:top w:w="0" w:type="dxa"/>
          <w:left w:w="0" w:type="dxa"/>
          <w:bottom w:w="0" w:type="dxa"/>
          <w:right w:w="0" w:type="dxa"/>
        </w:tblCellMar>
      </w:tblPr>
      <w:tr>
        <w:trPr>
          <w:trHeight w:val="178"/>
        </w:trPr>
        <w:tc>
          <w:tcPr>
            <w:tcW w:w="660" w:type="dxa"/>
            <w:vAlign w:val="bottom"/>
          </w:tcPr>
          <w:p>
            <w:pPr>
              <w:spacing w:after="0" w:line="179" w:lineRule="exact"/>
              <w:rPr>
                <w:sz w:val="20"/>
                <w:szCs w:val="20"/>
                <w:color w:val="auto"/>
              </w:rPr>
            </w:pPr>
            <w:r>
              <w:rPr>
                <w:rFonts w:ascii="Courier New" w:cs="Courier New" w:eastAsia="Courier New" w:hAnsi="Courier New"/>
                <w:sz w:val="16"/>
                <w:szCs w:val="16"/>
                <w:color w:val="auto"/>
                <w:w w:val="95"/>
              </w:rPr>
              <w:t>enhance</w:t>
            </w:r>
          </w:p>
        </w:tc>
        <w:tc>
          <w:tcPr>
            <w:tcW w:w="6680" w:type="dxa"/>
            <w:vAlign w:val="bottom"/>
            <w:gridSpan w:val="2"/>
          </w:tcPr>
          <w:p>
            <w:pPr>
              <w:ind w:left="100"/>
              <w:spacing w:after="0" w:line="179" w:lineRule="exact"/>
              <w:rPr>
                <w:sz w:val="20"/>
                <w:szCs w:val="20"/>
                <w:color w:val="auto"/>
              </w:rPr>
            </w:pPr>
            <w:r>
              <w:rPr>
                <w:rFonts w:ascii="Courier New" w:cs="Courier New" w:eastAsia="Courier New" w:hAnsi="Courier New"/>
                <w:sz w:val="16"/>
                <w:szCs w:val="16"/>
                <w:color w:val="auto"/>
              </w:rPr>
              <w:t>the Company's market leadership in McAllen, which is located in the</w:t>
            </w:r>
          </w:p>
        </w:tc>
      </w:tr>
      <w:tr>
        <w:trPr>
          <w:trHeight w:val="183"/>
        </w:trPr>
        <w:tc>
          <w:tcPr>
            <w:tcW w:w="7340" w:type="dxa"/>
            <w:vAlign w:val="bottom"/>
            <w:gridSpan w:val="3"/>
          </w:tcPr>
          <w:p>
            <w:pPr>
              <w:spacing w:after="0"/>
              <w:rPr>
                <w:sz w:val="20"/>
                <w:szCs w:val="20"/>
                <w:color w:val="auto"/>
              </w:rPr>
            </w:pPr>
            <w:r>
              <w:rPr>
                <w:rFonts w:ascii="Courier New" w:cs="Courier New" w:eastAsia="Courier New" w:hAnsi="Courier New"/>
                <w:sz w:val="16"/>
                <w:szCs w:val="16"/>
                <w:color w:val="auto"/>
              </w:rPr>
              <w:t>fourth fastest growing MSA in the nation. (Source: Claritas).</w:t>
            </w:r>
          </w:p>
        </w:tc>
      </w:tr>
      <w:tr>
        <w:trPr>
          <w:trHeight w:val="367"/>
        </w:trPr>
        <w:tc>
          <w:tcPr>
            <w:tcW w:w="660" w:type="dxa"/>
            <w:vAlign w:val="bottom"/>
          </w:tcPr>
          <w:p>
            <w:pPr>
              <w:spacing w:after="0"/>
              <w:rPr>
                <w:sz w:val="24"/>
                <w:szCs w:val="24"/>
                <w:color w:val="auto"/>
              </w:rPr>
            </w:pPr>
          </w:p>
        </w:tc>
        <w:tc>
          <w:tcPr>
            <w:tcW w:w="3780" w:type="dxa"/>
            <w:vAlign w:val="bottom"/>
          </w:tcPr>
          <w:p>
            <w:pPr>
              <w:ind w:left="2580"/>
              <w:spacing w:after="0"/>
              <w:rPr>
                <w:sz w:val="20"/>
                <w:szCs w:val="20"/>
                <w:color w:val="auto"/>
              </w:rPr>
            </w:pPr>
            <w:r>
              <w:rPr>
                <w:rFonts w:ascii="Courier New" w:cs="Courier New" w:eastAsia="Courier New" w:hAnsi="Courier New"/>
                <w:sz w:val="16"/>
                <w:szCs w:val="16"/>
                <w:color w:val="auto"/>
              </w:rPr>
              <w:t>THE OFFERING</w:t>
            </w:r>
          </w:p>
        </w:tc>
        <w:tc>
          <w:tcPr>
            <w:tcW w:w="2900" w:type="dxa"/>
            <w:vAlign w:val="bottom"/>
          </w:tcPr>
          <w:p>
            <w:pPr>
              <w:spacing w:after="0"/>
              <w:rPr>
                <w:sz w:val="24"/>
                <w:szCs w:val="24"/>
                <w:color w:val="auto"/>
              </w:rPr>
            </w:pPr>
          </w:p>
        </w:tc>
      </w:tr>
      <w:tr>
        <w:trPr>
          <w:trHeight w:val="367"/>
        </w:trPr>
        <w:tc>
          <w:tcPr>
            <w:tcW w:w="660" w:type="dxa"/>
            <w:vAlign w:val="bottom"/>
          </w:tcPr>
          <w:p>
            <w:pPr>
              <w:spacing w:after="0"/>
              <w:rPr>
                <w:sz w:val="20"/>
                <w:szCs w:val="20"/>
                <w:color w:val="auto"/>
              </w:rPr>
            </w:pPr>
            <w:r>
              <w:rPr>
                <w:rFonts w:ascii="Courier New" w:cs="Courier New" w:eastAsia="Courier New" w:hAnsi="Courier New"/>
                <w:sz w:val="16"/>
                <w:szCs w:val="16"/>
                <w:color w:val="auto"/>
                <w:w w:val="95"/>
              </w:rPr>
              <w:t>Class B</w:t>
            </w:r>
          </w:p>
        </w:tc>
        <w:tc>
          <w:tcPr>
            <w:tcW w:w="3780" w:type="dxa"/>
            <w:vAlign w:val="bottom"/>
          </w:tcPr>
          <w:p>
            <w:pPr>
              <w:ind w:left="100"/>
              <w:spacing w:after="0"/>
              <w:rPr>
                <w:sz w:val="20"/>
                <w:szCs w:val="20"/>
                <w:color w:val="auto"/>
              </w:rPr>
            </w:pPr>
            <w:r>
              <w:rPr>
                <w:rFonts w:ascii="Courier New" w:cs="Courier New" w:eastAsia="Courier New" w:hAnsi="Courier New"/>
                <w:sz w:val="16"/>
                <w:szCs w:val="16"/>
                <w:color w:val="auto"/>
              </w:rPr>
              <w:t>Common Stock to be offered by the</w:t>
            </w:r>
          </w:p>
        </w:tc>
        <w:tc>
          <w:tcPr>
            <w:tcW w:w="2900" w:type="dxa"/>
            <w:vAlign w:val="bottom"/>
          </w:tcPr>
          <w:p>
            <w:pPr>
              <w:spacing w:after="0"/>
              <w:rPr>
                <w:sz w:val="24"/>
                <w:szCs w:val="24"/>
                <w:color w:val="auto"/>
              </w:rPr>
            </w:pPr>
          </w:p>
        </w:tc>
      </w:tr>
      <w:tr>
        <w:trPr>
          <w:trHeight w:val="183"/>
        </w:trPr>
        <w:tc>
          <w:tcPr>
            <w:tcW w:w="660" w:type="dxa"/>
            <w:vAlign w:val="bottom"/>
          </w:tcPr>
          <w:p>
            <w:pPr>
              <w:spacing w:after="0"/>
              <w:rPr>
                <w:sz w:val="20"/>
                <w:szCs w:val="20"/>
                <w:color w:val="auto"/>
              </w:rPr>
            </w:pPr>
            <w:r>
              <w:rPr>
                <w:rFonts w:ascii="Courier New" w:cs="Courier New" w:eastAsia="Courier New" w:hAnsi="Courier New"/>
                <w:sz w:val="16"/>
                <w:szCs w:val="16"/>
                <w:color w:val="auto"/>
                <w:w w:val="95"/>
              </w:rPr>
              <w:t>Company</w:t>
            </w:r>
          </w:p>
        </w:tc>
        <w:tc>
          <w:tcPr>
            <w:tcW w:w="37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2900" w:type="dxa"/>
            <w:vAlign w:val="bottom"/>
          </w:tcPr>
          <w:p>
            <w:pPr>
              <w:ind w:left="40"/>
              <w:spacing w:after="0"/>
              <w:rPr>
                <w:sz w:val="20"/>
                <w:szCs w:val="20"/>
                <w:color w:val="auto"/>
              </w:rPr>
            </w:pPr>
            <w:r>
              <w:rPr>
                <w:rFonts w:ascii="Courier New" w:cs="Courier New" w:eastAsia="Courier New" w:hAnsi="Courier New"/>
                <w:sz w:val="16"/>
                <w:szCs w:val="16"/>
                <w:color w:val="auto"/>
              </w:rPr>
              <w:t>4,000,000 shares</w:t>
            </w:r>
          </w:p>
        </w:tc>
      </w:tr>
      <w:tr>
        <w:trPr>
          <w:trHeight w:val="367"/>
        </w:trPr>
        <w:tc>
          <w:tcPr>
            <w:tcW w:w="660" w:type="dxa"/>
            <w:vAlign w:val="bottom"/>
          </w:tcPr>
          <w:p>
            <w:pPr>
              <w:spacing w:after="0"/>
              <w:rPr>
                <w:sz w:val="20"/>
                <w:szCs w:val="20"/>
                <w:color w:val="auto"/>
              </w:rPr>
            </w:pPr>
            <w:r>
              <w:rPr>
                <w:rFonts w:ascii="Courier New" w:cs="Courier New" w:eastAsia="Courier New" w:hAnsi="Courier New"/>
                <w:sz w:val="16"/>
                <w:szCs w:val="16"/>
                <w:color w:val="auto"/>
                <w:w w:val="95"/>
              </w:rPr>
              <w:t>Class B</w:t>
            </w:r>
          </w:p>
        </w:tc>
        <w:tc>
          <w:tcPr>
            <w:tcW w:w="3780" w:type="dxa"/>
            <w:vAlign w:val="bottom"/>
          </w:tcPr>
          <w:p>
            <w:pPr>
              <w:ind w:left="100"/>
              <w:spacing w:after="0"/>
              <w:rPr>
                <w:sz w:val="20"/>
                <w:szCs w:val="20"/>
                <w:color w:val="auto"/>
              </w:rPr>
            </w:pPr>
            <w:r>
              <w:rPr>
                <w:rFonts w:ascii="Courier New" w:cs="Courier New" w:eastAsia="Courier New" w:hAnsi="Courier New"/>
                <w:sz w:val="16"/>
                <w:szCs w:val="16"/>
                <w:color w:val="auto"/>
              </w:rPr>
              <w:t>Common Stock to be offered by the</w:t>
            </w:r>
          </w:p>
        </w:tc>
        <w:tc>
          <w:tcPr>
            <w:tcW w:w="2900" w:type="dxa"/>
            <w:vAlign w:val="bottom"/>
          </w:tcPr>
          <w:p>
            <w:pPr>
              <w:spacing w:after="0"/>
              <w:rPr>
                <w:sz w:val="24"/>
                <w:szCs w:val="24"/>
                <w:color w:val="auto"/>
              </w:rPr>
            </w:pPr>
          </w:p>
        </w:tc>
      </w:tr>
      <w:tr>
        <w:trPr>
          <w:trHeight w:val="183"/>
        </w:trPr>
        <w:tc>
          <w:tcPr>
            <w:tcW w:w="660" w:type="dxa"/>
            <w:vAlign w:val="bottom"/>
          </w:tcPr>
          <w:p>
            <w:pPr>
              <w:spacing w:after="0"/>
              <w:rPr>
                <w:sz w:val="20"/>
                <w:szCs w:val="20"/>
                <w:color w:val="auto"/>
              </w:rPr>
            </w:pPr>
            <w:r>
              <w:rPr>
                <w:rFonts w:ascii="Courier New" w:cs="Courier New" w:eastAsia="Courier New" w:hAnsi="Courier New"/>
                <w:sz w:val="16"/>
                <w:szCs w:val="16"/>
                <w:color w:val="auto"/>
                <w:w w:val="95"/>
              </w:rPr>
              <w:t>Selling</w:t>
            </w:r>
          </w:p>
        </w:tc>
        <w:tc>
          <w:tcPr>
            <w:tcW w:w="3780" w:type="dxa"/>
            <w:vAlign w:val="bottom"/>
          </w:tcPr>
          <w:p>
            <w:pPr>
              <w:ind w:left="100"/>
              <w:spacing w:after="0"/>
              <w:rPr>
                <w:sz w:val="20"/>
                <w:szCs w:val="20"/>
                <w:color w:val="auto"/>
              </w:rPr>
            </w:pPr>
            <w:r>
              <w:rPr>
                <w:rFonts w:ascii="Courier New" w:cs="Courier New" w:eastAsia="Courier New" w:hAnsi="Courier New"/>
                <w:sz w:val="16"/>
                <w:szCs w:val="16"/>
                <w:color w:val="auto"/>
              </w:rPr>
              <w:t>Stockholder..........................</w:t>
            </w:r>
          </w:p>
        </w:tc>
        <w:tc>
          <w:tcPr>
            <w:tcW w:w="2900" w:type="dxa"/>
            <w:vAlign w:val="bottom"/>
          </w:tcPr>
          <w:p>
            <w:pPr>
              <w:ind w:left="40"/>
              <w:spacing w:after="0"/>
              <w:rPr>
                <w:sz w:val="20"/>
                <w:szCs w:val="20"/>
                <w:color w:val="auto"/>
              </w:rPr>
            </w:pPr>
            <w:r>
              <w:rPr>
                <w:rFonts w:ascii="Courier New" w:cs="Courier New" w:eastAsia="Courier New" w:hAnsi="Courier New"/>
                <w:sz w:val="16"/>
                <w:szCs w:val="16"/>
                <w:color w:val="auto"/>
              </w:rPr>
              <w:t>400,000 shares</w:t>
            </w:r>
          </w:p>
        </w:tc>
      </w:tr>
      <w:tr>
        <w:trPr>
          <w:trHeight w:val="367"/>
        </w:trPr>
        <w:tc>
          <w:tcPr>
            <w:tcW w:w="660" w:type="dxa"/>
            <w:vAlign w:val="bottom"/>
          </w:tcPr>
          <w:p>
            <w:pPr>
              <w:spacing w:after="0"/>
              <w:rPr>
                <w:sz w:val="20"/>
                <w:szCs w:val="20"/>
                <w:color w:val="auto"/>
              </w:rPr>
            </w:pPr>
            <w:r>
              <w:rPr>
                <w:rFonts w:ascii="Courier New" w:cs="Courier New" w:eastAsia="Courier New" w:hAnsi="Courier New"/>
                <w:sz w:val="16"/>
                <w:szCs w:val="16"/>
                <w:color w:val="auto"/>
                <w:w w:val="95"/>
              </w:rPr>
              <w:t>Class B</w:t>
            </w:r>
          </w:p>
        </w:tc>
        <w:tc>
          <w:tcPr>
            <w:tcW w:w="3780" w:type="dxa"/>
            <w:vAlign w:val="bottom"/>
          </w:tcPr>
          <w:p>
            <w:pPr>
              <w:ind w:left="100"/>
              <w:spacing w:after="0"/>
              <w:rPr>
                <w:sz w:val="20"/>
                <w:szCs w:val="20"/>
                <w:color w:val="auto"/>
              </w:rPr>
            </w:pPr>
            <w:r>
              <w:rPr>
                <w:rFonts w:ascii="Courier New" w:cs="Courier New" w:eastAsia="Courier New" w:hAnsi="Courier New"/>
                <w:sz w:val="16"/>
                <w:szCs w:val="16"/>
                <w:color w:val="auto"/>
              </w:rPr>
              <w:t>Common Stock to be outstanding after</w:t>
            </w:r>
          </w:p>
        </w:tc>
        <w:tc>
          <w:tcPr>
            <w:tcW w:w="2900" w:type="dxa"/>
            <w:vAlign w:val="bottom"/>
          </w:tcPr>
          <w:p>
            <w:pPr>
              <w:spacing w:after="0"/>
              <w:rPr>
                <w:sz w:val="24"/>
                <w:szCs w:val="24"/>
                <w:color w:val="auto"/>
              </w:rPr>
            </w:pPr>
          </w:p>
        </w:tc>
      </w:tr>
      <w:tr>
        <w:trPr>
          <w:trHeight w:val="183"/>
        </w:trPr>
        <w:tc>
          <w:tcPr>
            <w:tcW w:w="4440" w:type="dxa"/>
            <w:vAlign w:val="bottom"/>
            <w:gridSpan w:val="2"/>
          </w:tcPr>
          <w:p>
            <w:pPr>
              <w:spacing w:after="0"/>
              <w:rPr>
                <w:sz w:val="20"/>
                <w:szCs w:val="20"/>
                <w:color w:val="auto"/>
              </w:rPr>
            </w:pPr>
            <w:r>
              <w:rPr>
                <w:rFonts w:ascii="Courier New" w:cs="Courier New" w:eastAsia="Courier New" w:hAnsi="Courier New"/>
                <w:sz w:val="16"/>
                <w:szCs w:val="16"/>
                <w:color w:val="auto"/>
              </w:rPr>
              <w:t>the Offering.................................</w:t>
            </w:r>
          </w:p>
        </w:tc>
        <w:tc>
          <w:tcPr>
            <w:tcW w:w="2900" w:type="dxa"/>
            <w:vAlign w:val="bottom"/>
          </w:tcPr>
          <w:p>
            <w:pPr>
              <w:ind w:left="40"/>
              <w:spacing w:after="0"/>
              <w:rPr>
                <w:sz w:val="20"/>
                <w:szCs w:val="20"/>
                <w:color w:val="auto"/>
              </w:rPr>
            </w:pPr>
            <w:r>
              <w:rPr>
                <w:rFonts w:ascii="Courier New" w:cs="Courier New" w:eastAsia="Courier New" w:hAnsi="Courier New"/>
                <w:sz w:val="16"/>
                <w:szCs w:val="16"/>
                <w:color w:val="auto"/>
              </w:rPr>
              <w:t>29,857,205 shares(1)</w:t>
            </w:r>
          </w:p>
        </w:tc>
      </w:tr>
      <w:tr>
        <w:trPr>
          <w:trHeight w:val="367"/>
        </w:trPr>
        <w:tc>
          <w:tcPr>
            <w:tcW w:w="4440" w:type="dxa"/>
            <w:vAlign w:val="bottom"/>
            <w:gridSpan w:val="2"/>
          </w:tcPr>
          <w:p>
            <w:pPr>
              <w:spacing w:after="0"/>
              <w:rPr>
                <w:sz w:val="20"/>
                <w:szCs w:val="20"/>
                <w:color w:val="auto"/>
              </w:rPr>
            </w:pPr>
            <w:r>
              <w:rPr>
                <w:rFonts w:ascii="Courier New" w:cs="Courier New" w:eastAsia="Courier New" w:hAnsi="Courier New"/>
                <w:sz w:val="16"/>
                <w:szCs w:val="16"/>
                <w:color w:val="auto"/>
              </w:rPr>
              <w:t>Use of proceeds..............................</w:t>
            </w:r>
          </w:p>
        </w:tc>
        <w:tc>
          <w:tcPr>
            <w:tcW w:w="2900" w:type="dxa"/>
            <w:vAlign w:val="bottom"/>
          </w:tcPr>
          <w:p>
            <w:pPr>
              <w:ind w:left="40"/>
              <w:spacing w:after="0"/>
              <w:rPr>
                <w:sz w:val="20"/>
                <w:szCs w:val="20"/>
                <w:color w:val="auto"/>
              </w:rPr>
            </w:pPr>
            <w:r>
              <w:rPr>
                <w:rFonts w:ascii="Courier New" w:cs="Courier New" w:eastAsia="Courier New" w:hAnsi="Courier New"/>
                <w:sz w:val="16"/>
                <w:szCs w:val="16"/>
                <w:color w:val="auto"/>
                <w:w w:val="98"/>
              </w:rPr>
              <w:t>For repayment of debt incurred</w:t>
            </w:r>
          </w:p>
        </w:tc>
      </w:tr>
      <w:tr>
        <w:trPr>
          <w:trHeight w:val="183"/>
        </w:trPr>
        <w:tc>
          <w:tcPr>
            <w:tcW w:w="66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2900" w:type="dxa"/>
            <w:vAlign w:val="bottom"/>
          </w:tcPr>
          <w:p>
            <w:pPr>
              <w:ind w:left="40"/>
              <w:spacing w:after="0"/>
              <w:rPr>
                <w:sz w:val="20"/>
                <w:szCs w:val="20"/>
                <w:color w:val="auto"/>
              </w:rPr>
            </w:pPr>
            <w:r>
              <w:rPr>
                <w:rFonts w:ascii="Courier New" w:cs="Courier New" w:eastAsia="Courier New" w:hAnsi="Courier New"/>
                <w:sz w:val="16"/>
                <w:szCs w:val="16"/>
                <w:color w:val="auto"/>
              </w:rPr>
              <w:t>to fund acquisitions.</w:t>
            </w:r>
          </w:p>
        </w:tc>
      </w:tr>
      <w:tr>
        <w:trPr>
          <w:trHeight w:val="367"/>
        </w:trPr>
        <w:tc>
          <w:tcPr>
            <w:tcW w:w="4440" w:type="dxa"/>
            <w:vAlign w:val="bottom"/>
            <w:gridSpan w:val="2"/>
          </w:tcPr>
          <w:p>
            <w:pPr>
              <w:spacing w:after="0"/>
              <w:rPr>
                <w:sz w:val="20"/>
                <w:szCs w:val="20"/>
                <w:color w:val="auto"/>
              </w:rPr>
            </w:pPr>
            <w:r>
              <w:rPr>
                <w:rFonts w:ascii="Courier New" w:cs="Courier New" w:eastAsia="Courier New" w:hAnsi="Courier New"/>
                <w:sz w:val="16"/>
                <w:szCs w:val="16"/>
                <w:color w:val="auto"/>
              </w:rPr>
              <w:t>NYSE symbol..................................</w:t>
            </w:r>
          </w:p>
        </w:tc>
        <w:tc>
          <w:tcPr>
            <w:tcW w:w="2900" w:type="dxa"/>
            <w:vAlign w:val="bottom"/>
          </w:tcPr>
          <w:p>
            <w:pPr>
              <w:ind w:left="40"/>
              <w:spacing w:after="0"/>
              <w:rPr>
                <w:sz w:val="20"/>
                <w:szCs w:val="20"/>
                <w:color w:val="auto"/>
              </w:rPr>
            </w:pPr>
            <w:r>
              <w:rPr>
                <w:rFonts w:ascii="Courier New" w:cs="Courier New" w:eastAsia="Courier New" w:hAnsi="Courier New"/>
                <w:sz w:val="16"/>
                <w:szCs w:val="16"/>
                <w:color w:val="auto"/>
              </w:rPr>
              <w:t>UHS</w:t>
            </w:r>
          </w:p>
        </w:tc>
      </w:tr>
      <w:tr>
        <w:trPr>
          <w:trHeight w:val="367"/>
        </w:trPr>
        <w:tc>
          <w:tcPr>
            <w:tcW w:w="444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2900" w:type="dxa"/>
            <w:vAlign w:val="bottom"/>
          </w:tcPr>
          <w:p>
            <w:pPr>
              <w:spacing w:after="0"/>
              <w:rPr>
                <w:sz w:val="24"/>
                <w:szCs w:val="24"/>
                <w:color w:val="auto"/>
              </w:rPr>
            </w:pPr>
          </w:p>
        </w:tc>
      </w:tr>
    </w:tbl>
    <w:p>
      <w:pPr>
        <w:spacing w:after="0" w:line="372" w:lineRule="exact"/>
        <w:rPr>
          <w:sz w:val="20"/>
          <w:szCs w:val="20"/>
          <w:color w:val="auto"/>
        </w:rPr>
      </w:pPr>
    </w:p>
    <w:p>
      <w:pPr>
        <w:ind w:left="382" w:right="2599" w:hanging="382"/>
        <w:spacing w:after="0" w:line="242" w:lineRule="auto"/>
        <w:tabs>
          <w:tab w:leader="none" w:pos="382"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the number of shares of Class B Common Stock outstanding as of May 17, 1996. Does not include 1,703,298 shares issuable upon exercise of outstanding options. Also does not include 1,867,572 shares of Class A Common Stock, 187,896 shares of Class C Common Stock and 40,368 shares of Class D Common Stock, all of which were outstanding on May 17, 1996. All of such shares are convertible, on a share-for-share basis, into Class B Common Stock. See "Description of Common Stock."</w:t>
      </w:r>
    </w:p>
    <w:p>
      <w:pPr>
        <w:spacing w:after="0" w:line="368"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21"/>
          </w:cols>
          <w:pgMar w:left="238" w:top="484" w:right="1440" w:bottom="1440" w:gutter="0" w:footer="0" w:header="0"/>
        </w:sectPr>
      </w:pPr>
    </w:p>
    <w:bookmarkStart w:id="7" w:name="page8"/>
    <w:bookmarkEnd w:id="7"/>
    <w:tbl>
      <w:tblPr>
        <w:tblLayout w:type="fixed"/>
        <w:tblInd w:w="2" w:type="dxa"/>
        <w:tblCellMar>
          <w:top w:w="0" w:type="dxa"/>
          <w:left w:w="0" w:type="dxa"/>
          <w:bottom w:w="0" w:type="dxa"/>
          <w:right w:w="0" w:type="dxa"/>
        </w:tblCellMar>
      </w:tblPr>
      <w:tr>
        <w:trPr>
          <w:trHeight w:val="181"/>
        </w:trPr>
        <w:tc>
          <w:tcPr>
            <w:tcW w:w="2280" w:type="dxa"/>
            <w:vAlign w:val="bottom"/>
          </w:tcPr>
          <w:p>
            <w:pPr>
              <w:spacing w:after="0"/>
              <w:rPr>
                <w:sz w:val="15"/>
                <w:szCs w:val="15"/>
                <w:color w:val="auto"/>
              </w:rPr>
            </w:pPr>
          </w:p>
        </w:tc>
        <w:tc>
          <w:tcPr>
            <w:tcW w:w="3440" w:type="dxa"/>
            <w:vAlign w:val="bottom"/>
            <w:gridSpan w:val="3"/>
          </w:tcPr>
          <w:p>
            <w:pPr>
              <w:jc w:val="right"/>
              <w:ind w:right="501"/>
              <w:spacing w:after="0"/>
              <w:rPr>
                <w:sz w:val="20"/>
                <w:szCs w:val="20"/>
                <w:color w:val="auto"/>
              </w:rPr>
            </w:pPr>
            <w:r>
              <w:rPr>
                <w:rFonts w:ascii="Courier New" w:cs="Courier New" w:eastAsia="Courier New" w:hAnsi="Courier New"/>
                <w:sz w:val="16"/>
                <w:szCs w:val="16"/>
                <w:color w:val="auto"/>
              </w:rPr>
              <w:t>SUMMARY INCOME STATEMENT DATA</w:t>
            </w: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550"/>
        </w:trPr>
        <w:tc>
          <w:tcPr>
            <w:tcW w:w="2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(UNAUDITED)</w:t>
            </w:r>
          </w:p>
        </w:tc>
        <w:tc>
          <w:tcPr>
            <w:tcW w:w="900" w:type="dxa"/>
            <w:vAlign w:val="bottom"/>
          </w:tcPr>
          <w:p>
            <w:pPr>
              <w:spacing w:after="0"/>
              <w:rPr>
                <w:sz w:val="24"/>
                <w:szCs w:val="24"/>
                <w:color w:val="auto"/>
              </w:rPr>
            </w:pPr>
          </w:p>
        </w:tc>
      </w:tr>
      <w:tr>
        <w:trPr>
          <w:trHeight w:val="183"/>
        </w:trPr>
        <w:tc>
          <w:tcPr>
            <w:tcW w:w="2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240" w:type="dxa"/>
            <w:vAlign w:val="bottom"/>
            <w:gridSpan w:val="3"/>
          </w:tcPr>
          <w:p>
            <w:pPr>
              <w:jc w:val="right"/>
              <w:ind w:right="581"/>
              <w:spacing w:after="0"/>
              <w:rPr>
                <w:sz w:val="20"/>
                <w:szCs w:val="20"/>
                <w:color w:val="auto"/>
              </w:rPr>
            </w:pPr>
            <w:r>
              <w:rPr>
                <w:rFonts w:ascii="Courier New" w:cs="Courier New" w:eastAsia="Courier New" w:hAnsi="Courier New"/>
                <w:sz w:val="16"/>
                <w:szCs w:val="16"/>
                <w:color w:val="auto"/>
              </w:rPr>
              <w:t>THREE MONTHS ENDED</w:t>
            </w:r>
          </w:p>
        </w:tc>
      </w:tr>
      <w:tr>
        <w:trPr>
          <w:trHeight w:val="183"/>
        </w:trPr>
        <w:tc>
          <w:tcPr>
            <w:tcW w:w="2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200" w:type="dxa"/>
            <w:vAlign w:val="bottom"/>
            <w:gridSpan w:val="3"/>
          </w:tcPr>
          <w:p>
            <w:pPr>
              <w:jc w:val="right"/>
              <w:ind w:right="441"/>
              <w:spacing w:after="0"/>
              <w:rPr>
                <w:sz w:val="20"/>
                <w:szCs w:val="20"/>
                <w:color w:val="auto"/>
              </w:rPr>
            </w:pPr>
            <w:r>
              <w:rPr>
                <w:rFonts w:ascii="Courier New" w:cs="Courier New" w:eastAsia="Courier New" w:hAnsi="Courier New"/>
                <w:sz w:val="16"/>
                <w:szCs w:val="16"/>
                <w:color w:val="auto"/>
              </w:rPr>
              <w:t>YEARS ENDED DECEMBER 31,</w:t>
            </w:r>
          </w:p>
        </w:tc>
        <w:tc>
          <w:tcPr>
            <w:tcW w:w="1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MARCH 31,</w:t>
            </w:r>
          </w:p>
        </w:tc>
        <w:tc>
          <w:tcPr>
            <w:tcW w:w="900" w:type="dxa"/>
            <w:vAlign w:val="bottom"/>
          </w:tcPr>
          <w:p>
            <w:pPr>
              <w:spacing w:after="0"/>
              <w:rPr>
                <w:sz w:val="15"/>
                <w:szCs w:val="15"/>
                <w:color w:val="auto"/>
              </w:rPr>
            </w:pPr>
          </w:p>
        </w:tc>
      </w:tr>
      <w:tr>
        <w:trPr>
          <w:trHeight w:val="183"/>
        </w:trPr>
        <w:tc>
          <w:tcPr>
            <w:tcW w:w="2280" w:type="dxa"/>
            <w:vAlign w:val="bottom"/>
          </w:tcPr>
          <w:p>
            <w:pPr>
              <w:spacing w:after="0"/>
              <w:rPr>
                <w:sz w:val="15"/>
                <w:szCs w:val="15"/>
                <w:color w:val="auto"/>
              </w:rPr>
            </w:pPr>
          </w:p>
        </w:tc>
        <w:tc>
          <w:tcPr>
            <w:tcW w:w="230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4"/>
              </w:rPr>
              <w:t>---------------------------------------------------------</w:t>
            </w:r>
          </w:p>
        </w:tc>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2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2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1995</w:t>
            </w:r>
          </w:p>
        </w:tc>
        <w:tc>
          <w:tcPr>
            <w:tcW w:w="10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1996</w:t>
            </w:r>
          </w:p>
        </w:tc>
      </w:tr>
      <w:tr>
        <w:trPr>
          <w:trHeight w:val="183"/>
        </w:trPr>
        <w:tc>
          <w:tcPr>
            <w:tcW w:w="2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PRO</w:t>
            </w:r>
          </w:p>
        </w:tc>
        <w:tc>
          <w:tcPr>
            <w:tcW w:w="10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PRO</w:t>
            </w:r>
          </w:p>
        </w:tc>
      </w:tr>
      <w:tr>
        <w:trPr>
          <w:trHeight w:val="183"/>
        </w:trPr>
        <w:tc>
          <w:tcPr>
            <w:tcW w:w="2280" w:type="dxa"/>
            <w:vAlign w:val="bottom"/>
          </w:tcPr>
          <w:p>
            <w:pPr>
              <w:spacing w:after="0"/>
              <w:rPr>
                <w:sz w:val="15"/>
                <w:szCs w:val="15"/>
                <w:color w:val="auto"/>
              </w:rPr>
            </w:pPr>
          </w:p>
        </w:tc>
        <w:tc>
          <w:tcPr>
            <w:tcW w:w="1340" w:type="dxa"/>
            <w:vAlign w:val="bottom"/>
          </w:tcPr>
          <w:p>
            <w:pPr>
              <w:jc w:val="right"/>
              <w:ind w:right="502"/>
              <w:spacing w:after="0"/>
              <w:rPr>
                <w:sz w:val="20"/>
                <w:szCs w:val="20"/>
                <w:color w:val="auto"/>
              </w:rPr>
            </w:pPr>
            <w:r>
              <w:rPr>
                <w:rFonts w:ascii="Courier New" w:cs="Courier New" w:eastAsia="Courier New" w:hAnsi="Courier New"/>
                <w:sz w:val="16"/>
                <w:szCs w:val="16"/>
                <w:color w:val="auto"/>
              </w:rPr>
              <w:t>1992</w:t>
            </w:r>
          </w:p>
        </w:tc>
        <w:tc>
          <w:tcPr>
            <w:tcW w:w="9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1993</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1994</w:t>
            </w:r>
          </w:p>
        </w:tc>
        <w:tc>
          <w:tcPr>
            <w:tcW w:w="11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1995</w:t>
            </w:r>
          </w:p>
        </w:tc>
        <w:tc>
          <w:tcPr>
            <w:tcW w:w="1280" w:type="dxa"/>
            <w:vAlign w:val="bottom"/>
          </w:tcPr>
          <w:p>
            <w:pPr>
              <w:jc w:val="center"/>
              <w:spacing w:after="0"/>
              <w:rPr>
                <w:sz w:val="20"/>
                <w:szCs w:val="20"/>
                <w:color w:val="auto"/>
              </w:rPr>
            </w:pPr>
            <w:r>
              <w:rPr>
                <w:rFonts w:ascii="Courier New" w:cs="Courier New" w:eastAsia="Courier New" w:hAnsi="Courier New"/>
                <w:sz w:val="16"/>
                <w:szCs w:val="16"/>
                <w:color w:val="auto"/>
                <w:w w:val="98"/>
              </w:rPr>
              <w:t>FORMA(1)</w:t>
            </w:r>
          </w:p>
        </w:tc>
        <w:tc>
          <w:tcPr>
            <w:tcW w:w="10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1995</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1996</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FORMA(1)</w:t>
            </w:r>
          </w:p>
        </w:tc>
      </w:tr>
      <w:tr>
        <w:trPr>
          <w:trHeight w:val="183"/>
        </w:trPr>
        <w:tc>
          <w:tcPr>
            <w:tcW w:w="2280" w:type="dxa"/>
            <w:vAlign w:val="bottom"/>
          </w:tcPr>
          <w:p>
            <w:pPr>
              <w:spacing w:after="0"/>
              <w:rPr>
                <w:sz w:val="15"/>
                <w:szCs w:val="15"/>
                <w:color w:val="auto"/>
              </w:rPr>
            </w:pPr>
          </w:p>
        </w:tc>
        <w:tc>
          <w:tcPr>
            <w:tcW w:w="13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6"/>
              </w:rPr>
              <w:t>--------</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2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580" w:type="dxa"/>
            <w:vAlign w:val="bottom"/>
            <w:gridSpan w:val="4"/>
          </w:tcPr>
          <w:p>
            <w:pPr>
              <w:jc w:val="right"/>
              <w:ind w:right="21"/>
              <w:spacing w:after="0"/>
              <w:rPr>
                <w:sz w:val="20"/>
                <w:szCs w:val="20"/>
                <w:color w:val="auto"/>
              </w:rPr>
            </w:pPr>
            <w:r>
              <w:rPr>
                <w:rFonts w:ascii="Courier New" w:cs="Courier New" w:eastAsia="Courier New" w:hAnsi="Courier New"/>
                <w:sz w:val="16"/>
                <w:szCs w:val="16"/>
                <w:color w:val="auto"/>
              </w:rPr>
              <w:t>(DOLLARS IN THOUSANDS, EXCEPT PER SHARE DATA)</w:t>
            </w:r>
          </w:p>
        </w:tc>
        <w:tc>
          <w:tcPr>
            <w:tcW w:w="12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367"/>
        </w:trPr>
        <w:tc>
          <w:tcPr>
            <w:tcW w:w="2280" w:type="dxa"/>
            <w:vAlign w:val="bottom"/>
          </w:tcPr>
          <w:p>
            <w:pPr>
              <w:spacing w:after="0"/>
              <w:rPr>
                <w:sz w:val="20"/>
                <w:szCs w:val="20"/>
                <w:color w:val="auto"/>
              </w:rPr>
            </w:pPr>
            <w:r>
              <w:rPr>
                <w:rFonts w:ascii="Courier New" w:cs="Courier New" w:eastAsia="Courier New" w:hAnsi="Courier New"/>
                <w:sz w:val="16"/>
                <w:szCs w:val="16"/>
                <w:color w:val="auto"/>
              </w:rPr>
              <w:t>Statement of Income</w:t>
            </w:r>
          </w:p>
        </w:tc>
        <w:tc>
          <w:tcPr>
            <w:tcW w:w="1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3"/>
        </w:trPr>
        <w:tc>
          <w:tcPr>
            <w:tcW w:w="2280" w:type="dxa"/>
            <w:vAlign w:val="bottom"/>
          </w:tcPr>
          <w:p>
            <w:pPr>
              <w:ind w:left="100"/>
              <w:spacing w:after="0"/>
              <w:rPr>
                <w:sz w:val="20"/>
                <w:szCs w:val="20"/>
                <w:color w:val="auto"/>
              </w:rPr>
            </w:pPr>
            <w:r>
              <w:rPr>
                <w:rFonts w:ascii="Courier New" w:cs="Courier New" w:eastAsia="Courier New" w:hAnsi="Courier New"/>
                <w:sz w:val="16"/>
                <w:szCs w:val="16"/>
                <w:color w:val="auto"/>
              </w:rPr>
              <w:t>Data:</w:t>
            </w:r>
          </w:p>
        </w:tc>
        <w:tc>
          <w:tcPr>
            <w:tcW w:w="1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3"/>
        </w:trPr>
        <w:tc>
          <w:tcPr>
            <w:tcW w:w="2280" w:type="dxa"/>
            <w:vAlign w:val="bottom"/>
          </w:tcPr>
          <w:p>
            <w:pPr>
              <w:ind w:left="100"/>
              <w:spacing w:after="0"/>
              <w:rPr>
                <w:sz w:val="20"/>
                <w:szCs w:val="20"/>
                <w:color w:val="auto"/>
              </w:rPr>
            </w:pPr>
            <w:r>
              <w:rPr>
                <w:rFonts w:ascii="Courier New" w:cs="Courier New" w:eastAsia="Courier New" w:hAnsi="Courier New"/>
                <w:sz w:val="16"/>
                <w:szCs w:val="16"/>
                <w:color w:val="auto"/>
              </w:rPr>
              <w:t>Net revenues..........</w:t>
            </w:r>
          </w:p>
        </w:tc>
        <w:tc>
          <w:tcPr>
            <w:tcW w:w="13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$731,227</w:t>
            </w: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6"/>
              </w:rPr>
              <w:t>$761,544</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$782,199</w:t>
            </w: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$931,126</w:t>
            </w:r>
          </w:p>
        </w:tc>
        <w:tc>
          <w:tcPr>
            <w:tcW w:w="12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$1,200,234</w:t>
            </w: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$220,715</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$271,616</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$320,200</w:t>
            </w:r>
          </w:p>
        </w:tc>
      </w:tr>
      <w:tr>
        <w:trPr>
          <w:trHeight w:val="183"/>
        </w:trPr>
        <w:tc>
          <w:tcPr>
            <w:tcW w:w="228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1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3"/>
        </w:trPr>
        <w:tc>
          <w:tcPr>
            <w:tcW w:w="2280" w:type="dxa"/>
            <w:vAlign w:val="bottom"/>
          </w:tcPr>
          <w:p>
            <w:pPr>
              <w:ind w:left="100"/>
              <w:spacing w:after="0"/>
              <w:rPr>
                <w:sz w:val="20"/>
                <w:szCs w:val="20"/>
                <w:color w:val="auto"/>
              </w:rPr>
            </w:pPr>
            <w:r>
              <w:rPr>
                <w:rFonts w:ascii="Courier New" w:cs="Courier New" w:eastAsia="Courier New" w:hAnsi="Courier New"/>
                <w:sz w:val="16"/>
                <w:szCs w:val="16"/>
                <w:color w:val="auto"/>
              </w:rPr>
              <w:t>Operating expenses....</w:t>
            </w:r>
          </w:p>
        </w:tc>
        <w:tc>
          <w:tcPr>
            <w:tcW w:w="13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285,922</w:t>
            </w: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299,645</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298,108</w:t>
            </w: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361,049</w:t>
            </w:r>
          </w:p>
        </w:tc>
        <w:tc>
          <w:tcPr>
            <w:tcW w:w="12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472,749</w:t>
            </w: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84,469</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102,335</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122,815</w:t>
            </w:r>
          </w:p>
        </w:tc>
      </w:tr>
      <w:tr>
        <w:trPr>
          <w:trHeight w:val="183"/>
        </w:trPr>
        <w:tc>
          <w:tcPr>
            <w:tcW w:w="2280" w:type="dxa"/>
            <w:vAlign w:val="bottom"/>
          </w:tcPr>
          <w:p>
            <w:pPr>
              <w:ind w:left="100"/>
              <w:spacing w:after="0"/>
              <w:rPr>
                <w:sz w:val="20"/>
                <w:szCs w:val="20"/>
                <w:color w:val="auto"/>
              </w:rPr>
            </w:pPr>
            <w:r>
              <w:rPr>
                <w:rFonts w:ascii="Courier New" w:cs="Courier New" w:eastAsia="Courier New" w:hAnsi="Courier New"/>
                <w:sz w:val="16"/>
                <w:szCs w:val="16"/>
                <w:color w:val="auto"/>
              </w:rPr>
              <w:t>Salaries and wages....</w:t>
            </w:r>
          </w:p>
        </w:tc>
        <w:tc>
          <w:tcPr>
            <w:tcW w:w="13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265,017</w:t>
            </w: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280,041</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286,297</w:t>
            </w: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329,939</w:t>
            </w:r>
          </w:p>
        </w:tc>
        <w:tc>
          <w:tcPr>
            <w:tcW w:w="12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419,136</w:t>
            </w: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78,021</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94,500</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112,199</w:t>
            </w:r>
          </w:p>
        </w:tc>
      </w:tr>
      <w:tr>
        <w:trPr>
          <w:trHeight w:val="183"/>
        </w:trPr>
        <w:tc>
          <w:tcPr>
            <w:tcW w:w="2280" w:type="dxa"/>
            <w:vAlign w:val="bottom"/>
          </w:tcPr>
          <w:p>
            <w:pPr>
              <w:ind w:left="100"/>
              <w:spacing w:after="0"/>
              <w:rPr>
                <w:sz w:val="20"/>
                <w:szCs w:val="20"/>
                <w:color w:val="auto"/>
              </w:rPr>
            </w:pPr>
            <w:r>
              <w:rPr>
                <w:rFonts w:ascii="Courier New" w:cs="Courier New" w:eastAsia="Courier New" w:hAnsi="Courier New"/>
                <w:sz w:val="16"/>
                <w:szCs w:val="16"/>
                <w:color w:val="auto"/>
              </w:rPr>
              <w:t>Provision for doubtful</w:t>
            </w:r>
          </w:p>
        </w:tc>
        <w:tc>
          <w:tcPr>
            <w:tcW w:w="1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3"/>
        </w:trPr>
        <w:tc>
          <w:tcPr>
            <w:tcW w:w="2280" w:type="dxa"/>
            <w:vAlign w:val="bottom"/>
          </w:tcPr>
          <w:p>
            <w:pPr>
              <w:jc w:val="right"/>
              <w:ind w:right="1"/>
              <w:spacing w:after="0"/>
              <w:rPr>
                <w:sz w:val="20"/>
                <w:szCs w:val="20"/>
                <w:color w:val="auto"/>
              </w:rPr>
            </w:pPr>
            <w:r>
              <w:rPr>
                <w:rFonts w:ascii="Courier New" w:cs="Courier New" w:eastAsia="Courier New" w:hAnsi="Courier New"/>
                <w:sz w:val="16"/>
                <w:szCs w:val="16"/>
                <w:color w:val="auto"/>
              </w:rPr>
              <w:t>accounts.............</w:t>
            </w:r>
          </w:p>
        </w:tc>
        <w:tc>
          <w:tcPr>
            <w:tcW w:w="13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45,008</w:t>
            </w: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55,409</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58,347</w:t>
            </w: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76,905</w:t>
            </w:r>
          </w:p>
        </w:tc>
        <w:tc>
          <w:tcPr>
            <w:tcW w:w="12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96,821</w:t>
            </w: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17,185</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21,767</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24,860</w:t>
            </w:r>
          </w:p>
        </w:tc>
      </w:tr>
      <w:tr>
        <w:trPr>
          <w:trHeight w:val="183"/>
        </w:trPr>
        <w:tc>
          <w:tcPr>
            <w:tcW w:w="2280" w:type="dxa"/>
            <w:vAlign w:val="bottom"/>
          </w:tcPr>
          <w:p>
            <w:pPr>
              <w:ind w:left="100"/>
              <w:spacing w:after="0"/>
              <w:rPr>
                <w:sz w:val="20"/>
                <w:szCs w:val="20"/>
                <w:color w:val="auto"/>
              </w:rPr>
            </w:pPr>
            <w:r>
              <w:rPr>
                <w:rFonts w:ascii="Courier New" w:cs="Courier New" w:eastAsia="Courier New" w:hAnsi="Courier New"/>
                <w:sz w:val="16"/>
                <w:szCs w:val="16"/>
                <w:color w:val="auto"/>
              </w:rPr>
              <w:t>Depreciation and</w:t>
            </w:r>
          </w:p>
        </w:tc>
        <w:tc>
          <w:tcPr>
            <w:tcW w:w="1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3"/>
        </w:trPr>
        <w:tc>
          <w:tcPr>
            <w:tcW w:w="2280" w:type="dxa"/>
            <w:vAlign w:val="bottom"/>
          </w:tcPr>
          <w:p>
            <w:pPr>
              <w:jc w:val="right"/>
              <w:ind w:right="1"/>
              <w:spacing w:after="0"/>
              <w:rPr>
                <w:sz w:val="20"/>
                <w:szCs w:val="20"/>
                <w:color w:val="auto"/>
              </w:rPr>
            </w:pPr>
            <w:r>
              <w:rPr>
                <w:rFonts w:ascii="Courier New" w:cs="Courier New" w:eastAsia="Courier New" w:hAnsi="Courier New"/>
                <w:sz w:val="16"/>
                <w:szCs w:val="16"/>
                <w:color w:val="auto"/>
              </w:rPr>
              <w:t>amortization.........</w:t>
            </w:r>
          </w:p>
        </w:tc>
        <w:tc>
          <w:tcPr>
            <w:tcW w:w="13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49,059</w:t>
            </w: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39,599</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42,383</w:t>
            </w: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51,371</w:t>
            </w:r>
          </w:p>
        </w:tc>
        <w:tc>
          <w:tcPr>
            <w:tcW w:w="12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67,887</w:t>
            </w: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11,310</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14,783</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17,263</w:t>
            </w:r>
          </w:p>
        </w:tc>
      </w:tr>
      <w:tr>
        <w:trPr>
          <w:trHeight w:val="183"/>
        </w:trPr>
        <w:tc>
          <w:tcPr>
            <w:tcW w:w="2280" w:type="dxa"/>
            <w:vAlign w:val="bottom"/>
          </w:tcPr>
          <w:p>
            <w:pPr>
              <w:ind w:left="100"/>
              <w:spacing w:after="0"/>
              <w:rPr>
                <w:sz w:val="20"/>
                <w:szCs w:val="20"/>
                <w:color w:val="auto"/>
              </w:rPr>
            </w:pPr>
            <w:r>
              <w:rPr>
                <w:rFonts w:ascii="Courier New" w:cs="Courier New" w:eastAsia="Courier New" w:hAnsi="Courier New"/>
                <w:sz w:val="16"/>
                <w:szCs w:val="16"/>
                <w:color w:val="auto"/>
              </w:rPr>
              <w:t>Lease and rental</w:t>
            </w:r>
          </w:p>
        </w:tc>
        <w:tc>
          <w:tcPr>
            <w:tcW w:w="1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3"/>
        </w:trPr>
        <w:tc>
          <w:tcPr>
            <w:tcW w:w="2280" w:type="dxa"/>
            <w:vAlign w:val="bottom"/>
          </w:tcPr>
          <w:p>
            <w:pPr>
              <w:jc w:val="right"/>
              <w:ind w:right="1"/>
              <w:spacing w:after="0"/>
              <w:rPr>
                <w:sz w:val="20"/>
                <w:szCs w:val="20"/>
                <w:color w:val="auto"/>
              </w:rPr>
            </w:pPr>
            <w:r>
              <w:rPr>
                <w:rFonts w:ascii="Courier New" w:cs="Courier New" w:eastAsia="Courier New" w:hAnsi="Courier New"/>
                <w:sz w:val="16"/>
                <w:szCs w:val="16"/>
                <w:color w:val="auto"/>
              </w:rPr>
              <w:t>expense..............</w:t>
            </w:r>
          </w:p>
        </w:tc>
        <w:tc>
          <w:tcPr>
            <w:tcW w:w="13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33,854</w:t>
            </w: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34,281</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34,097</w:t>
            </w: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36,068</w:t>
            </w:r>
          </w:p>
        </w:tc>
        <w:tc>
          <w:tcPr>
            <w:tcW w:w="12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37,029</w:t>
            </w: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8,772</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9,405</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9,666</w:t>
            </w:r>
          </w:p>
        </w:tc>
      </w:tr>
      <w:tr>
        <w:trPr>
          <w:trHeight w:val="183"/>
        </w:trPr>
        <w:tc>
          <w:tcPr>
            <w:tcW w:w="2280" w:type="dxa"/>
            <w:vAlign w:val="bottom"/>
          </w:tcPr>
          <w:p>
            <w:pPr>
              <w:ind w:left="100"/>
              <w:spacing w:after="0"/>
              <w:rPr>
                <w:sz w:val="20"/>
                <w:szCs w:val="20"/>
                <w:color w:val="auto"/>
              </w:rPr>
            </w:pPr>
            <w:r>
              <w:rPr>
                <w:rFonts w:ascii="Courier New" w:cs="Courier New" w:eastAsia="Courier New" w:hAnsi="Courier New"/>
                <w:sz w:val="16"/>
                <w:szCs w:val="16"/>
                <w:color w:val="auto"/>
              </w:rPr>
              <w:t>Interest expense,</w:t>
            </w:r>
          </w:p>
        </w:tc>
        <w:tc>
          <w:tcPr>
            <w:tcW w:w="1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3"/>
        </w:trPr>
        <w:tc>
          <w:tcPr>
            <w:tcW w:w="2280" w:type="dxa"/>
            <w:vAlign w:val="bottom"/>
          </w:tcPr>
          <w:p>
            <w:pPr>
              <w:jc w:val="right"/>
              <w:ind w:right="1"/>
              <w:spacing w:after="0"/>
              <w:rPr>
                <w:sz w:val="20"/>
                <w:szCs w:val="20"/>
                <w:color w:val="auto"/>
              </w:rPr>
            </w:pPr>
            <w:r>
              <w:rPr>
                <w:rFonts w:ascii="Courier New" w:cs="Courier New" w:eastAsia="Courier New" w:hAnsi="Courier New"/>
                <w:sz w:val="16"/>
                <w:szCs w:val="16"/>
                <w:color w:val="auto"/>
              </w:rPr>
              <w:t>net..................</w:t>
            </w:r>
          </w:p>
        </w:tc>
        <w:tc>
          <w:tcPr>
            <w:tcW w:w="13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11,414</w:t>
            </w: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8,645</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6,275</w:t>
            </w: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11,195</w:t>
            </w:r>
          </w:p>
        </w:tc>
        <w:tc>
          <w:tcPr>
            <w:tcW w:w="12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24,613</w:t>
            </w: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1,614</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4,648</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5,655</w:t>
            </w:r>
          </w:p>
        </w:tc>
      </w:tr>
      <w:tr>
        <w:trPr>
          <w:trHeight w:val="183"/>
        </w:trPr>
        <w:tc>
          <w:tcPr>
            <w:tcW w:w="2280" w:type="dxa"/>
            <w:vAlign w:val="bottom"/>
          </w:tcPr>
          <w:p>
            <w:pPr>
              <w:ind w:left="100"/>
              <w:spacing w:after="0"/>
              <w:rPr>
                <w:sz w:val="20"/>
                <w:szCs w:val="20"/>
                <w:color w:val="auto"/>
              </w:rPr>
            </w:pPr>
            <w:r>
              <w:rPr>
                <w:rFonts w:ascii="Courier New" w:cs="Courier New" w:eastAsia="Courier New" w:hAnsi="Courier New"/>
                <w:sz w:val="16"/>
                <w:szCs w:val="16"/>
                <w:color w:val="auto"/>
              </w:rPr>
              <w:t>Nonrecurring</w:t>
            </w:r>
          </w:p>
        </w:tc>
        <w:tc>
          <w:tcPr>
            <w:tcW w:w="1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3"/>
        </w:trPr>
        <w:tc>
          <w:tcPr>
            <w:tcW w:w="2280" w:type="dxa"/>
            <w:vAlign w:val="bottom"/>
          </w:tcPr>
          <w:p>
            <w:pPr>
              <w:jc w:val="right"/>
              <w:ind w:right="1"/>
              <w:spacing w:after="0"/>
              <w:rPr>
                <w:sz w:val="20"/>
                <w:szCs w:val="20"/>
                <w:color w:val="auto"/>
              </w:rPr>
            </w:pPr>
            <w:r>
              <w:rPr>
                <w:rFonts w:ascii="Courier New" w:cs="Courier New" w:eastAsia="Courier New" w:hAnsi="Courier New"/>
                <w:sz w:val="16"/>
                <w:szCs w:val="16"/>
                <w:color w:val="auto"/>
              </w:rPr>
              <w:t>charges..............</w:t>
            </w:r>
          </w:p>
        </w:tc>
        <w:tc>
          <w:tcPr>
            <w:tcW w:w="13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8,828</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9,763</w:t>
            </w: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11,610</w:t>
            </w:r>
          </w:p>
        </w:tc>
        <w:tc>
          <w:tcPr>
            <w:tcW w:w="12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14,200</w:t>
            </w:r>
          </w:p>
        </w:tc>
        <w:tc>
          <w:tcPr>
            <w:tcW w:w="10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3"/>
        </w:trPr>
        <w:tc>
          <w:tcPr>
            <w:tcW w:w="2280" w:type="dxa"/>
            <w:vAlign w:val="bottom"/>
          </w:tcPr>
          <w:p>
            <w:pPr>
              <w:spacing w:after="0"/>
              <w:rPr>
                <w:sz w:val="15"/>
                <w:szCs w:val="15"/>
                <w:color w:val="auto"/>
              </w:rPr>
            </w:pPr>
          </w:p>
        </w:tc>
        <w:tc>
          <w:tcPr>
            <w:tcW w:w="13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6"/>
              </w:rPr>
              <w:t>--------</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2280" w:type="dxa"/>
            <w:vAlign w:val="bottom"/>
          </w:tcPr>
          <w:p>
            <w:pPr>
              <w:ind w:left="280"/>
              <w:spacing w:after="0"/>
              <w:rPr>
                <w:sz w:val="20"/>
                <w:szCs w:val="20"/>
                <w:color w:val="auto"/>
              </w:rPr>
            </w:pPr>
            <w:r>
              <w:rPr>
                <w:rFonts w:ascii="Courier New" w:cs="Courier New" w:eastAsia="Courier New" w:hAnsi="Courier New"/>
                <w:sz w:val="16"/>
                <w:szCs w:val="16"/>
                <w:color w:val="auto"/>
              </w:rPr>
              <w:t>Total operating</w:t>
            </w:r>
          </w:p>
        </w:tc>
        <w:tc>
          <w:tcPr>
            <w:tcW w:w="1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3"/>
        </w:trPr>
        <w:tc>
          <w:tcPr>
            <w:tcW w:w="2280" w:type="dxa"/>
            <w:vAlign w:val="bottom"/>
          </w:tcPr>
          <w:p>
            <w:pPr>
              <w:jc w:val="right"/>
              <w:ind w:right="1"/>
              <w:spacing w:after="0"/>
              <w:rPr>
                <w:sz w:val="20"/>
                <w:szCs w:val="20"/>
                <w:color w:val="auto"/>
              </w:rPr>
            </w:pPr>
            <w:r>
              <w:rPr>
                <w:rFonts w:ascii="Courier New" w:cs="Courier New" w:eastAsia="Courier New" w:hAnsi="Courier New"/>
                <w:sz w:val="16"/>
                <w:szCs w:val="16"/>
                <w:color w:val="auto"/>
              </w:rPr>
              <w:t>charges..............</w:t>
            </w:r>
          </w:p>
        </w:tc>
        <w:tc>
          <w:tcPr>
            <w:tcW w:w="13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690,274</w:t>
            </w: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726,448</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735,270</w:t>
            </w: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878,137</w:t>
            </w:r>
          </w:p>
        </w:tc>
        <w:tc>
          <w:tcPr>
            <w:tcW w:w="12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1,132,435</w:t>
            </w: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201,371</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247,438</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292,458</w:t>
            </w:r>
          </w:p>
        </w:tc>
      </w:tr>
      <w:tr>
        <w:trPr>
          <w:trHeight w:val="183"/>
        </w:trPr>
        <w:tc>
          <w:tcPr>
            <w:tcW w:w="2280" w:type="dxa"/>
            <w:vAlign w:val="bottom"/>
          </w:tcPr>
          <w:p>
            <w:pPr>
              <w:spacing w:after="0"/>
              <w:rPr>
                <w:sz w:val="15"/>
                <w:szCs w:val="15"/>
                <w:color w:val="auto"/>
              </w:rPr>
            </w:pPr>
          </w:p>
        </w:tc>
        <w:tc>
          <w:tcPr>
            <w:tcW w:w="13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6"/>
              </w:rPr>
              <w:t>--------</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2280" w:type="dxa"/>
            <w:vAlign w:val="bottom"/>
          </w:tcPr>
          <w:p>
            <w:pPr>
              <w:spacing w:after="0"/>
              <w:rPr>
                <w:sz w:val="20"/>
                <w:szCs w:val="20"/>
                <w:color w:val="auto"/>
              </w:rPr>
            </w:pPr>
            <w:r>
              <w:rPr>
                <w:rFonts w:ascii="Courier New" w:cs="Courier New" w:eastAsia="Courier New" w:hAnsi="Courier New"/>
                <w:sz w:val="16"/>
                <w:szCs w:val="16"/>
                <w:color w:val="auto"/>
              </w:rPr>
              <w:t>Income before income</w:t>
            </w:r>
          </w:p>
        </w:tc>
        <w:tc>
          <w:tcPr>
            <w:tcW w:w="1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3"/>
        </w:trPr>
        <w:tc>
          <w:tcPr>
            <w:tcW w:w="2280" w:type="dxa"/>
            <w:vAlign w:val="bottom"/>
          </w:tcPr>
          <w:p>
            <w:pPr>
              <w:jc w:val="right"/>
              <w:ind w:right="1"/>
              <w:spacing w:after="0"/>
              <w:rPr>
                <w:sz w:val="20"/>
                <w:szCs w:val="20"/>
                <w:color w:val="auto"/>
              </w:rPr>
            </w:pPr>
            <w:r>
              <w:rPr>
                <w:rFonts w:ascii="Courier New" w:cs="Courier New" w:eastAsia="Courier New" w:hAnsi="Courier New"/>
                <w:sz w:val="16"/>
                <w:szCs w:val="16"/>
                <w:color w:val="auto"/>
              </w:rPr>
              <w:t>taxes................</w:t>
            </w:r>
          </w:p>
        </w:tc>
        <w:tc>
          <w:tcPr>
            <w:tcW w:w="13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40,953</w:t>
            </w: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35,096</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46,929</w:t>
            </w: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52,989</w:t>
            </w:r>
          </w:p>
        </w:tc>
        <w:tc>
          <w:tcPr>
            <w:tcW w:w="12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67,799</w:t>
            </w: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19,344</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24,178</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27,742</w:t>
            </w:r>
          </w:p>
        </w:tc>
      </w:tr>
      <w:tr>
        <w:trPr>
          <w:trHeight w:val="183"/>
        </w:trPr>
        <w:tc>
          <w:tcPr>
            <w:tcW w:w="2280" w:type="dxa"/>
            <w:vAlign w:val="bottom"/>
          </w:tcPr>
          <w:p>
            <w:pPr>
              <w:spacing w:after="0"/>
              <w:rPr>
                <w:sz w:val="20"/>
                <w:szCs w:val="20"/>
                <w:color w:val="auto"/>
              </w:rPr>
            </w:pPr>
            <w:r>
              <w:rPr>
                <w:rFonts w:ascii="Courier New" w:cs="Courier New" w:eastAsia="Courier New" w:hAnsi="Courier New"/>
                <w:sz w:val="16"/>
                <w:szCs w:val="16"/>
                <w:color w:val="auto"/>
              </w:rPr>
              <w:t>Provision for income</w:t>
            </w:r>
          </w:p>
        </w:tc>
        <w:tc>
          <w:tcPr>
            <w:tcW w:w="1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3"/>
        </w:trPr>
        <w:tc>
          <w:tcPr>
            <w:tcW w:w="2280" w:type="dxa"/>
            <w:vAlign w:val="bottom"/>
          </w:tcPr>
          <w:p>
            <w:pPr>
              <w:jc w:val="right"/>
              <w:ind w:right="1"/>
              <w:spacing w:after="0"/>
              <w:rPr>
                <w:sz w:val="20"/>
                <w:szCs w:val="20"/>
                <w:color w:val="auto"/>
              </w:rPr>
            </w:pPr>
            <w:r>
              <w:rPr>
                <w:rFonts w:ascii="Courier New" w:cs="Courier New" w:eastAsia="Courier New" w:hAnsi="Courier New"/>
                <w:sz w:val="16"/>
                <w:szCs w:val="16"/>
                <w:color w:val="auto"/>
              </w:rPr>
              <w:t>taxes................</w:t>
            </w:r>
          </w:p>
        </w:tc>
        <w:tc>
          <w:tcPr>
            <w:tcW w:w="13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20,933</w:t>
            </w: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11,085</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18,209</w:t>
            </w: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17,505</w:t>
            </w:r>
          </w:p>
        </w:tc>
        <w:tc>
          <w:tcPr>
            <w:tcW w:w="12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25,120</w:t>
            </w: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7,503</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8,677</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10,041</w:t>
            </w:r>
          </w:p>
        </w:tc>
      </w:tr>
      <w:tr>
        <w:trPr>
          <w:trHeight w:val="183"/>
        </w:trPr>
        <w:tc>
          <w:tcPr>
            <w:tcW w:w="2280" w:type="dxa"/>
            <w:vAlign w:val="bottom"/>
          </w:tcPr>
          <w:p>
            <w:pPr>
              <w:spacing w:after="0"/>
              <w:rPr>
                <w:sz w:val="15"/>
                <w:szCs w:val="15"/>
                <w:color w:val="auto"/>
              </w:rPr>
            </w:pPr>
          </w:p>
        </w:tc>
        <w:tc>
          <w:tcPr>
            <w:tcW w:w="13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6"/>
              </w:rPr>
              <w:t>--------</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228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Net income.............</w:t>
            </w:r>
          </w:p>
        </w:tc>
        <w:tc>
          <w:tcPr>
            <w:tcW w:w="13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$20,020</w:t>
            </w: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$24,011</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$28,720</w:t>
            </w: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$35,484</w:t>
            </w:r>
          </w:p>
        </w:tc>
        <w:tc>
          <w:tcPr>
            <w:tcW w:w="12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42,679</w:t>
            </w: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$11,841</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$15,501</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$17,701</w:t>
            </w:r>
          </w:p>
        </w:tc>
      </w:tr>
      <w:tr>
        <w:trPr>
          <w:trHeight w:val="183"/>
        </w:trPr>
        <w:tc>
          <w:tcPr>
            <w:tcW w:w="2280" w:type="dxa"/>
            <w:vAlign w:val="bottom"/>
          </w:tcPr>
          <w:p>
            <w:pPr>
              <w:spacing w:after="0"/>
              <w:rPr>
                <w:sz w:val="15"/>
                <w:szCs w:val="15"/>
                <w:color w:val="auto"/>
              </w:rPr>
            </w:pPr>
          </w:p>
        </w:tc>
        <w:tc>
          <w:tcPr>
            <w:tcW w:w="13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6"/>
              </w:rPr>
              <w:t>--------</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2280" w:type="dxa"/>
            <w:vAlign w:val="bottom"/>
          </w:tcPr>
          <w:p>
            <w:pPr>
              <w:spacing w:after="0"/>
              <w:rPr>
                <w:sz w:val="15"/>
                <w:szCs w:val="15"/>
                <w:color w:val="auto"/>
              </w:rPr>
            </w:pPr>
          </w:p>
        </w:tc>
        <w:tc>
          <w:tcPr>
            <w:tcW w:w="13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6"/>
              </w:rPr>
              <w:t>--------</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2280" w:type="dxa"/>
            <w:vAlign w:val="bottom"/>
          </w:tcPr>
          <w:p>
            <w:pPr>
              <w:spacing w:after="0"/>
              <w:rPr>
                <w:sz w:val="20"/>
                <w:szCs w:val="20"/>
                <w:color w:val="auto"/>
              </w:rPr>
            </w:pPr>
            <w:r>
              <w:rPr>
                <w:rFonts w:ascii="Courier New" w:cs="Courier New" w:eastAsia="Courier New" w:hAnsi="Courier New"/>
                <w:sz w:val="16"/>
                <w:szCs w:val="16"/>
                <w:color w:val="auto"/>
              </w:rPr>
              <w:t>Per Share Data:</w:t>
            </w:r>
          </w:p>
        </w:tc>
        <w:tc>
          <w:tcPr>
            <w:tcW w:w="1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3"/>
        </w:trPr>
        <w:tc>
          <w:tcPr>
            <w:tcW w:w="2280" w:type="dxa"/>
            <w:vAlign w:val="bottom"/>
          </w:tcPr>
          <w:p>
            <w:pPr>
              <w:jc w:val="right"/>
              <w:ind w:right="1"/>
              <w:spacing w:after="0"/>
              <w:rPr>
                <w:sz w:val="20"/>
                <w:szCs w:val="20"/>
                <w:color w:val="auto"/>
              </w:rPr>
            </w:pPr>
            <w:r>
              <w:rPr>
                <w:rFonts w:ascii="Courier New" w:cs="Courier New" w:eastAsia="Courier New" w:hAnsi="Courier New"/>
                <w:sz w:val="16"/>
                <w:szCs w:val="16"/>
                <w:color w:val="auto"/>
              </w:rPr>
              <w:t>Net income............</w:t>
            </w:r>
          </w:p>
        </w:tc>
        <w:tc>
          <w:tcPr>
            <w:tcW w:w="13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$.72</w:t>
            </w: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$.86</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$1.01</w:t>
            </w: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$1.26</w:t>
            </w:r>
          </w:p>
        </w:tc>
        <w:tc>
          <w:tcPr>
            <w:tcW w:w="12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$1.33</w:t>
            </w: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$.42</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$.54</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$.54</w:t>
            </w:r>
          </w:p>
        </w:tc>
      </w:tr>
      <w:tr>
        <w:trPr>
          <w:trHeight w:val="183"/>
        </w:trPr>
        <w:tc>
          <w:tcPr>
            <w:tcW w:w="2280" w:type="dxa"/>
            <w:vAlign w:val="bottom"/>
          </w:tcPr>
          <w:p>
            <w:pPr>
              <w:ind w:left="100"/>
              <w:spacing w:after="0"/>
              <w:rPr>
                <w:sz w:val="20"/>
                <w:szCs w:val="20"/>
                <w:color w:val="auto"/>
              </w:rPr>
            </w:pPr>
            <w:r>
              <w:rPr>
                <w:rFonts w:ascii="Courier New" w:cs="Courier New" w:eastAsia="Courier New" w:hAnsi="Courier New"/>
                <w:sz w:val="16"/>
                <w:szCs w:val="16"/>
                <w:color w:val="auto"/>
              </w:rPr>
              <w:t>Average number of</w:t>
            </w:r>
          </w:p>
        </w:tc>
        <w:tc>
          <w:tcPr>
            <w:tcW w:w="1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3"/>
        </w:trPr>
        <w:tc>
          <w:tcPr>
            <w:tcW w:w="2280" w:type="dxa"/>
            <w:vAlign w:val="bottom"/>
          </w:tcPr>
          <w:p>
            <w:pPr>
              <w:ind w:left="280"/>
              <w:spacing w:after="0"/>
              <w:rPr>
                <w:sz w:val="20"/>
                <w:szCs w:val="20"/>
                <w:color w:val="auto"/>
              </w:rPr>
            </w:pPr>
            <w:r>
              <w:rPr>
                <w:rFonts w:ascii="Courier New" w:cs="Courier New" w:eastAsia="Courier New" w:hAnsi="Courier New"/>
                <w:sz w:val="16"/>
                <w:szCs w:val="16"/>
                <w:color w:val="auto"/>
              </w:rPr>
              <w:t>shares</w:t>
            </w:r>
          </w:p>
        </w:tc>
        <w:tc>
          <w:tcPr>
            <w:tcW w:w="1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3"/>
        </w:trPr>
        <w:tc>
          <w:tcPr>
            <w:tcW w:w="2280" w:type="dxa"/>
            <w:vAlign w:val="bottom"/>
          </w:tcPr>
          <w:p>
            <w:pPr>
              <w:jc w:val="right"/>
              <w:ind w:right="1"/>
              <w:spacing w:after="0"/>
              <w:rPr>
                <w:sz w:val="20"/>
                <w:szCs w:val="20"/>
                <w:color w:val="auto"/>
              </w:rPr>
            </w:pPr>
            <w:r>
              <w:rPr>
                <w:rFonts w:ascii="Courier New" w:cs="Courier New" w:eastAsia="Courier New" w:hAnsi="Courier New"/>
                <w:sz w:val="16"/>
                <w:szCs w:val="16"/>
                <w:color w:val="auto"/>
              </w:rPr>
              <w:t>outstanding.........</w:t>
            </w:r>
          </w:p>
        </w:tc>
        <w:tc>
          <w:tcPr>
            <w:tcW w:w="13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29,940</w:t>
            </w: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29,638</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28,778</w:t>
            </w: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28,158</w:t>
            </w:r>
          </w:p>
        </w:tc>
        <w:tc>
          <w:tcPr>
            <w:tcW w:w="12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32,158</w:t>
            </w: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27,884</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28,712</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32,712</w:t>
            </w:r>
          </w:p>
        </w:tc>
      </w:tr>
    </w:tbl>
    <w:p>
      <w:pPr>
        <w:spacing w:after="0" w:line="369"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p>
      <w:pPr>
        <w:ind w:left="382" w:right="3720" w:hanging="382"/>
        <w:spacing w:after="0" w:line="242" w:lineRule="auto"/>
        <w:tabs>
          <w:tab w:leader="none" w:pos="38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 forma financial data for the indicated periods assume (i) the acquisition of the First Hospital Properties, and reflect the acquisitions of Aiken, Manatee and Northwest Texas Health; (ii) the dispositions of Westlake Medical Center, Dallas Family Hospital and Universal Medical Center; and (iii) the issuance of the shares of Class B Common Stock offered by the Company hereby and the application of the net proceeds thereof (assuming a public offering price of $24.375 per share) to repay debt incurred to fund the acquisitions of Northwest Texas Health and the First Hospital Properties as described under "Use of Proceeds." Pro forma Statement of Income Data and Per Share Data were prepared as if the acquisitions and related transactions occurred on the first day of the period presented. Prior to the issuance of the Shares offered hereby and the application of the net proceeds from this Offering to repay debt incurred to fund the 1996 acquisitions, pro forma earnings per share for the year ended December 31, 1995 and the quarter ended March 31, 1996 were $1.38 and $.59, respectively. See "Pro Forma Financial Information."</w:t>
      </w:r>
    </w:p>
    <w:p>
      <w:pPr>
        <w:spacing w:after="0" w:line="191"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2580" w:type="dxa"/>
            <w:vAlign w:val="bottom"/>
          </w:tcPr>
          <w:p>
            <w:pPr>
              <w:spacing w:after="0"/>
              <w:rPr>
                <w:sz w:val="15"/>
                <w:szCs w:val="15"/>
                <w:color w:val="auto"/>
              </w:rPr>
            </w:pPr>
          </w:p>
        </w:tc>
        <w:tc>
          <w:tcPr>
            <w:tcW w:w="3720" w:type="dxa"/>
            <w:vAlign w:val="bottom"/>
          </w:tcPr>
          <w:p>
            <w:pPr>
              <w:jc w:val="right"/>
              <w:ind w:right="1161"/>
              <w:spacing w:after="0"/>
              <w:rPr>
                <w:sz w:val="20"/>
                <w:szCs w:val="20"/>
                <w:color w:val="auto"/>
              </w:rPr>
            </w:pPr>
            <w:r>
              <w:rPr>
                <w:rFonts w:ascii="Courier New" w:cs="Courier New" w:eastAsia="Courier New" w:hAnsi="Courier New"/>
                <w:sz w:val="16"/>
                <w:szCs w:val="16"/>
                <w:color w:val="auto"/>
                <w:w w:val="98"/>
              </w:rPr>
              <w:t>SUMMARY BALANCE SHEET DATA</w:t>
            </w:r>
          </w:p>
        </w:tc>
        <w:tc>
          <w:tcPr>
            <w:tcW w:w="1320" w:type="dxa"/>
            <w:vAlign w:val="bottom"/>
          </w:tcPr>
          <w:p>
            <w:pPr>
              <w:spacing w:after="0"/>
              <w:rPr>
                <w:sz w:val="15"/>
                <w:szCs w:val="15"/>
                <w:color w:val="auto"/>
              </w:rPr>
            </w:pPr>
          </w:p>
        </w:tc>
      </w:tr>
      <w:tr>
        <w:trPr>
          <w:trHeight w:val="183"/>
        </w:trPr>
        <w:tc>
          <w:tcPr>
            <w:tcW w:w="2580" w:type="dxa"/>
            <w:vAlign w:val="bottom"/>
          </w:tcPr>
          <w:p>
            <w:pPr>
              <w:spacing w:after="0"/>
              <w:rPr>
                <w:sz w:val="15"/>
                <w:szCs w:val="15"/>
                <w:color w:val="auto"/>
              </w:rPr>
            </w:pPr>
          </w:p>
        </w:tc>
        <w:tc>
          <w:tcPr>
            <w:tcW w:w="5040" w:type="dxa"/>
            <w:vAlign w:val="bottom"/>
            <w:gridSpan w:val="2"/>
          </w:tcPr>
          <w:p>
            <w:pPr>
              <w:ind w:left="3340"/>
              <w:spacing w:after="0"/>
              <w:rPr>
                <w:sz w:val="20"/>
                <w:szCs w:val="20"/>
                <w:color w:val="auto"/>
              </w:rPr>
            </w:pPr>
            <w:r>
              <w:rPr>
                <w:rFonts w:ascii="Courier New" w:cs="Courier New" w:eastAsia="Courier New" w:hAnsi="Courier New"/>
                <w:sz w:val="16"/>
                <w:szCs w:val="16"/>
                <w:color w:val="auto"/>
              </w:rPr>
              <w:t>(UNAUDITED)</w:t>
            </w:r>
          </w:p>
        </w:tc>
      </w:tr>
      <w:tr>
        <w:trPr>
          <w:trHeight w:val="183"/>
        </w:trPr>
        <w:tc>
          <w:tcPr>
            <w:tcW w:w="2580" w:type="dxa"/>
            <w:vAlign w:val="bottom"/>
          </w:tcPr>
          <w:p>
            <w:pPr>
              <w:spacing w:after="0"/>
              <w:rPr>
                <w:sz w:val="15"/>
                <w:szCs w:val="15"/>
                <w:color w:val="auto"/>
              </w:rPr>
            </w:pPr>
          </w:p>
        </w:tc>
        <w:tc>
          <w:tcPr>
            <w:tcW w:w="5040" w:type="dxa"/>
            <w:vAlign w:val="bottom"/>
            <w:gridSpan w:val="2"/>
          </w:tcPr>
          <w:p>
            <w:pPr>
              <w:ind w:left="3340"/>
              <w:spacing w:after="0"/>
              <w:rPr>
                <w:sz w:val="20"/>
                <w:szCs w:val="20"/>
                <w:color w:val="auto"/>
              </w:rPr>
            </w:pPr>
            <w:r>
              <w:rPr>
                <w:rFonts w:ascii="Courier New" w:cs="Courier New" w:eastAsia="Courier New" w:hAnsi="Courier New"/>
                <w:sz w:val="16"/>
                <w:szCs w:val="16"/>
                <w:color w:val="auto"/>
              </w:rPr>
              <w:t>AT MARCH 31,</w:t>
            </w:r>
          </w:p>
        </w:tc>
      </w:tr>
      <w:tr>
        <w:trPr>
          <w:trHeight w:val="183"/>
        </w:trPr>
        <w:tc>
          <w:tcPr>
            <w:tcW w:w="2580" w:type="dxa"/>
            <w:vAlign w:val="bottom"/>
          </w:tcPr>
          <w:p>
            <w:pPr>
              <w:spacing w:after="0"/>
              <w:rPr>
                <w:sz w:val="15"/>
                <w:szCs w:val="15"/>
                <w:color w:val="auto"/>
              </w:rPr>
            </w:pPr>
          </w:p>
        </w:tc>
        <w:tc>
          <w:tcPr>
            <w:tcW w:w="50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258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3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1996</w:t>
            </w:r>
          </w:p>
        </w:tc>
      </w:tr>
      <w:tr>
        <w:trPr>
          <w:trHeight w:val="183"/>
        </w:trPr>
        <w:tc>
          <w:tcPr>
            <w:tcW w:w="2580" w:type="dxa"/>
            <w:vAlign w:val="bottom"/>
          </w:tcPr>
          <w:p>
            <w:pPr>
              <w:spacing w:after="0"/>
              <w:rPr>
                <w:sz w:val="15"/>
                <w:szCs w:val="15"/>
                <w:color w:val="auto"/>
              </w:rPr>
            </w:pPr>
          </w:p>
        </w:tc>
        <w:tc>
          <w:tcPr>
            <w:tcW w:w="37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1996</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PRO FORMA(1)</w:t>
            </w:r>
          </w:p>
        </w:tc>
      </w:tr>
      <w:tr>
        <w:trPr>
          <w:trHeight w:val="183"/>
        </w:trPr>
        <w:tc>
          <w:tcPr>
            <w:tcW w:w="2580" w:type="dxa"/>
            <w:vAlign w:val="bottom"/>
          </w:tcPr>
          <w:p>
            <w:pPr>
              <w:spacing w:after="0"/>
              <w:rPr>
                <w:sz w:val="15"/>
                <w:szCs w:val="15"/>
                <w:color w:val="auto"/>
              </w:rPr>
            </w:pPr>
          </w:p>
        </w:tc>
        <w:tc>
          <w:tcPr>
            <w:tcW w:w="37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2580" w:type="dxa"/>
            <w:vAlign w:val="bottom"/>
          </w:tcPr>
          <w:p>
            <w:pPr>
              <w:spacing w:after="0"/>
              <w:rPr>
                <w:sz w:val="15"/>
                <w:szCs w:val="15"/>
                <w:color w:val="auto"/>
              </w:rPr>
            </w:pPr>
          </w:p>
        </w:tc>
        <w:tc>
          <w:tcPr>
            <w:tcW w:w="50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(DOLLARS IN THOUSANDS)</w:t>
            </w:r>
          </w:p>
        </w:tc>
      </w:tr>
      <w:tr>
        <w:trPr>
          <w:trHeight w:val="183"/>
        </w:trPr>
        <w:tc>
          <w:tcPr>
            <w:tcW w:w="2580" w:type="dxa"/>
            <w:vAlign w:val="bottom"/>
          </w:tcPr>
          <w:p>
            <w:pPr>
              <w:spacing w:after="0"/>
              <w:rPr>
                <w:sz w:val="20"/>
                <w:szCs w:val="20"/>
                <w:color w:val="auto"/>
              </w:rPr>
            </w:pPr>
            <w:r>
              <w:rPr>
                <w:rFonts w:ascii="Courier New" w:cs="Courier New" w:eastAsia="Courier New" w:hAnsi="Courier New"/>
                <w:sz w:val="11"/>
                <w:szCs w:val="11"/>
                <w:color w:val="auto"/>
                <w:w w:val="73"/>
              </w:rPr>
              <w:t>Working capital......................................</w:t>
            </w:r>
          </w:p>
        </w:tc>
        <w:tc>
          <w:tcPr>
            <w:tcW w:w="37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$ 16,125</w:t>
            </w:r>
          </w:p>
        </w:tc>
        <w:tc>
          <w:tcPr>
            <w:tcW w:w="13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$ 36,543</w:t>
            </w:r>
          </w:p>
        </w:tc>
      </w:tr>
      <w:tr>
        <w:trPr>
          <w:trHeight w:val="183"/>
        </w:trPr>
        <w:tc>
          <w:tcPr>
            <w:tcW w:w="2580" w:type="dxa"/>
            <w:vAlign w:val="bottom"/>
          </w:tcPr>
          <w:p>
            <w:pPr>
              <w:spacing w:after="0"/>
              <w:rPr>
                <w:sz w:val="20"/>
                <w:szCs w:val="20"/>
                <w:color w:val="auto"/>
              </w:rPr>
            </w:pPr>
            <w:r>
              <w:rPr>
                <w:rFonts w:ascii="Courier New" w:cs="Courier New" w:eastAsia="Courier New" w:hAnsi="Courier New"/>
                <w:sz w:val="11"/>
                <w:szCs w:val="11"/>
                <w:color w:val="auto"/>
                <w:w w:val="73"/>
              </w:rPr>
              <w:t>Total assets.........................................</w:t>
            </w:r>
          </w:p>
        </w:tc>
        <w:tc>
          <w:tcPr>
            <w:tcW w:w="37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767,942</w:t>
            </w:r>
          </w:p>
        </w:tc>
        <w:tc>
          <w:tcPr>
            <w:tcW w:w="13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951,028</w:t>
            </w:r>
          </w:p>
        </w:tc>
      </w:tr>
      <w:tr>
        <w:trPr>
          <w:trHeight w:val="183"/>
        </w:trPr>
        <w:tc>
          <w:tcPr>
            <w:tcW w:w="2580" w:type="dxa"/>
            <w:vAlign w:val="bottom"/>
          </w:tcPr>
          <w:p>
            <w:pPr>
              <w:spacing w:after="0"/>
              <w:rPr>
                <w:sz w:val="20"/>
                <w:szCs w:val="20"/>
                <w:color w:val="auto"/>
              </w:rPr>
            </w:pPr>
            <w:r>
              <w:rPr>
                <w:rFonts w:ascii="Courier New" w:cs="Courier New" w:eastAsia="Courier New" w:hAnsi="Courier New"/>
                <w:sz w:val="11"/>
                <w:szCs w:val="11"/>
                <w:color w:val="auto"/>
                <w:w w:val="73"/>
              </w:rPr>
              <w:t>Long-term borrowings.................................</w:t>
            </w:r>
          </w:p>
        </w:tc>
        <w:tc>
          <w:tcPr>
            <w:tcW w:w="37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230,401</w:t>
            </w:r>
          </w:p>
        </w:tc>
        <w:tc>
          <w:tcPr>
            <w:tcW w:w="13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306,646</w:t>
            </w:r>
          </w:p>
        </w:tc>
      </w:tr>
      <w:tr>
        <w:trPr>
          <w:trHeight w:val="183"/>
        </w:trPr>
        <w:tc>
          <w:tcPr>
            <w:tcW w:w="2580" w:type="dxa"/>
            <w:vAlign w:val="bottom"/>
          </w:tcPr>
          <w:p>
            <w:pPr>
              <w:spacing w:after="0"/>
              <w:rPr>
                <w:sz w:val="20"/>
                <w:szCs w:val="20"/>
                <w:color w:val="auto"/>
              </w:rPr>
            </w:pPr>
            <w:r>
              <w:rPr>
                <w:rFonts w:ascii="Courier New" w:cs="Courier New" w:eastAsia="Courier New" w:hAnsi="Courier New"/>
                <w:sz w:val="11"/>
                <w:szCs w:val="11"/>
                <w:color w:val="auto"/>
                <w:w w:val="73"/>
              </w:rPr>
              <w:t>Total debt...........................................</w:t>
            </w:r>
          </w:p>
        </w:tc>
        <w:tc>
          <w:tcPr>
            <w:tcW w:w="37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237,381</w:t>
            </w:r>
          </w:p>
        </w:tc>
        <w:tc>
          <w:tcPr>
            <w:tcW w:w="13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313,626</w:t>
            </w:r>
          </w:p>
        </w:tc>
      </w:tr>
      <w:tr>
        <w:trPr>
          <w:trHeight w:val="183"/>
        </w:trPr>
        <w:tc>
          <w:tcPr>
            <w:tcW w:w="2580" w:type="dxa"/>
            <w:vAlign w:val="bottom"/>
          </w:tcPr>
          <w:p>
            <w:pPr>
              <w:spacing w:after="0"/>
              <w:rPr>
                <w:sz w:val="20"/>
                <w:szCs w:val="20"/>
                <w:color w:val="auto"/>
              </w:rPr>
            </w:pPr>
            <w:r>
              <w:rPr>
                <w:rFonts w:ascii="Courier New" w:cs="Courier New" w:eastAsia="Courier New" w:hAnsi="Courier New"/>
                <w:sz w:val="11"/>
                <w:szCs w:val="11"/>
                <w:color w:val="auto"/>
                <w:w w:val="73"/>
              </w:rPr>
              <w:t>Total stockholders' equity...........................</w:t>
            </w:r>
          </w:p>
        </w:tc>
        <w:tc>
          <w:tcPr>
            <w:tcW w:w="37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315,826</w:t>
            </w:r>
          </w:p>
        </w:tc>
        <w:tc>
          <w:tcPr>
            <w:tcW w:w="13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408,646</w:t>
            </w:r>
          </w:p>
        </w:tc>
      </w:tr>
      <w:tr>
        <w:trPr>
          <w:trHeight w:val="183"/>
        </w:trPr>
        <w:tc>
          <w:tcPr>
            <w:tcW w:w="25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720" w:type="dxa"/>
            <w:vAlign w:val="bottom"/>
          </w:tcPr>
          <w:p>
            <w:pPr>
              <w:spacing w:after="0"/>
              <w:rPr>
                <w:sz w:val="15"/>
                <w:szCs w:val="15"/>
                <w:color w:val="auto"/>
              </w:rPr>
            </w:pPr>
          </w:p>
        </w:tc>
        <w:tc>
          <w:tcPr>
            <w:tcW w:w="1320" w:type="dxa"/>
            <w:vAlign w:val="bottom"/>
          </w:tcPr>
          <w:p>
            <w:pPr>
              <w:spacing w:after="0"/>
              <w:rPr>
                <w:sz w:val="15"/>
                <w:szCs w:val="15"/>
                <w:color w:val="auto"/>
              </w:rPr>
            </w:pPr>
          </w:p>
        </w:tc>
      </w:tr>
    </w:tbl>
    <w:p>
      <w:pPr>
        <w:spacing w:after="0" w:line="5" w:lineRule="exact"/>
        <w:rPr>
          <w:sz w:val="20"/>
          <w:szCs w:val="20"/>
          <w:color w:val="auto"/>
        </w:rPr>
      </w:pPr>
    </w:p>
    <w:p>
      <w:pPr>
        <w:ind w:left="382" w:right="3720" w:hanging="382"/>
        <w:spacing w:after="0" w:line="261" w:lineRule="auto"/>
        <w:tabs>
          <w:tab w:leader="none" w:pos="382"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 forma balance sheet data for the indicated date assume (i) the acquisition of the First Hospital Properties, and reflects the acquisition of Northwest Texas Health; and (ii) the application of the net proceeds received by the Company from this Offering (assuming a public offering price of $24.375 per share) to repay debt incurred to fund the acquisitions of Northwest Texas Health and the First Hospital Properties. Pro forma balance sheet data were prepared as if the acquisitions and related transactions</w:t>
      </w:r>
    </w:p>
    <w:p>
      <w:pPr>
        <w:sectPr>
          <w:pgSz w:w="11900" w:h="16838" w:orient="portrait"/>
          <w:cols w:equalWidth="0" w:num="1">
            <w:col w:w="11342"/>
          </w:cols>
          <w:pgMar w:left="238" w:top="481" w:right="319" w:bottom="0" w:gutter="0" w:footer="0" w:header="0"/>
        </w:sectPr>
      </w:pPr>
    </w:p>
    <w:bookmarkStart w:id="8" w:name="page9"/>
    <w:bookmarkEnd w:id="8"/>
    <w:p>
      <w:pPr>
        <w:ind w:right="3839"/>
        <w:spacing w:after="0" w:line="239" w:lineRule="auto"/>
        <w:rPr>
          <w:sz w:val="20"/>
          <w:szCs w:val="20"/>
          <w:color w:val="auto"/>
        </w:rPr>
      </w:pPr>
      <w:r>
        <w:rPr>
          <w:rFonts w:ascii="Courier New" w:cs="Courier New" w:eastAsia="Courier New" w:hAnsi="Courier New"/>
          <w:sz w:val="16"/>
          <w:szCs w:val="16"/>
          <w:color w:val="auto"/>
        </w:rPr>
        <w:t>occurred as of the balance sheet date. See "Pro Forma Financial Information."</w:t>
      </w:r>
    </w:p>
    <w:p>
      <w:pPr>
        <w:spacing w:after="0" w:line="186"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9839"/>
          </w:cols>
          <w:pgMar w:left="620" w:top="142" w:right="1440" w:bottom="1440" w:gutter="0" w:footer="0" w:header="0"/>
        </w:sectPr>
      </w:pPr>
    </w:p>
    <w:bookmarkStart w:id="9" w:name="page10"/>
    <w:bookmarkEnd w:id="9"/>
    <w:p>
      <w:pPr>
        <w:jc w:val="center"/>
        <w:ind w:right="3338"/>
        <w:spacing w:after="0"/>
        <w:rPr>
          <w:sz w:val="20"/>
          <w:szCs w:val="20"/>
          <w:color w:val="auto"/>
        </w:rPr>
      </w:pPr>
      <w:r>
        <w:rPr>
          <w:rFonts w:ascii="Courier New" w:cs="Courier New" w:eastAsia="Courier New" w:hAnsi="Courier New"/>
          <w:sz w:val="16"/>
          <w:szCs w:val="16"/>
          <w:color w:val="auto"/>
        </w:rPr>
        <w:t>SELECTED OPERATING DATA</w:t>
      </w:r>
    </w:p>
    <w:p>
      <w:pPr>
        <w:spacing w:after="0" w:line="188" w:lineRule="exact"/>
        <w:rPr>
          <w:sz w:val="20"/>
          <w:szCs w:val="20"/>
          <w:color w:val="auto"/>
        </w:rPr>
      </w:pPr>
    </w:p>
    <w:p>
      <w:pPr>
        <w:ind w:left="2" w:right="3340" w:firstLine="382"/>
        <w:spacing w:after="0" w:line="241" w:lineRule="auto"/>
        <w:rPr>
          <w:sz w:val="20"/>
          <w:szCs w:val="20"/>
          <w:color w:val="auto"/>
        </w:rPr>
      </w:pPr>
      <w:r>
        <w:rPr>
          <w:rFonts w:ascii="Courier New" w:cs="Courier New" w:eastAsia="Courier New" w:hAnsi="Courier New"/>
          <w:sz w:val="16"/>
          <w:szCs w:val="16"/>
          <w:color w:val="auto"/>
        </w:rPr>
        <w:t>The following table shows the bed utilization and occupancy rates for the hospitals operated by the Company as of March 31, 1996, for the periods indicated. Accordingly, the information is presented on a basis different from that used in preparing the historical financial information included herein and included or incorporated by reference in this Prospectus.</w:t>
      </w:r>
    </w:p>
    <w:p>
      <w:pPr>
        <w:spacing w:after="0" w:line="200" w:lineRule="exact"/>
        <w:rPr>
          <w:sz w:val="20"/>
          <w:szCs w:val="20"/>
          <w:color w:val="auto"/>
        </w:rPr>
      </w:pPr>
    </w:p>
    <w:p>
      <w:pPr>
        <w:spacing w:after="0" w:line="354"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3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(UNAUDITED)</w:t>
            </w:r>
          </w:p>
        </w:tc>
        <w:tc>
          <w:tcPr>
            <w:tcW w:w="820" w:type="dxa"/>
            <w:vAlign w:val="bottom"/>
          </w:tcPr>
          <w:p>
            <w:pPr>
              <w:spacing w:after="0"/>
              <w:rPr>
                <w:sz w:val="15"/>
                <w:szCs w:val="15"/>
                <w:color w:val="auto"/>
              </w:rPr>
            </w:pPr>
          </w:p>
        </w:tc>
      </w:tr>
      <w:tr>
        <w:trPr>
          <w:trHeight w:val="183"/>
        </w:trPr>
        <w:tc>
          <w:tcPr>
            <w:tcW w:w="3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20" w:type="dxa"/>
            <w:vAlign w:val="bottom"/>
            <w:gridSpan w:val="3"/>
          </w:tcPr>
          <w:p>
            <w:pPr>
              <w:jc w:val="right"/>
              <w:ind w:right="401"/>
              <w:spacing w:after="0"/>
              <w:rPr>
                <w:sz w:val="20"/>
                <w:szCs w:val="20"/>
                <w:color w:val="auto"/>
              </w:rPr>
            </w:pPr>
            <w:r>
              <w:rPr>
                <w:rFonts w:ascii="Courier New" w:cs="Courier New" w:eastAsia="Courier New" w:hAnsi="Courier New"/>
                <w:sz w:val="16"/>
                <w:szCs w:val="16"/>
                <w:color w:val="auto"/>
              </w:rPr>
              <w:t>THREE MONTHS ENDED</w:t>
            </w:r>
          </w:p>
        </w:tc>
      </w:tr>
      <w:tr>
        <w:trPr>
          <w:trHeight w:val="183"/>
        </w:trPr>
        <w:tc>
          <w:tcPr>
            <w:tcW w:w="3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720" w:type="dxa"/>
            <w:vAlign w:val="bottom"/>
            <w:gridSpan w:val="3"/>
          </w:tcPr>
          <w:p>
            <w:pPr>
              <w:jc w:val="right"/>
              <w:ind w:right="161"/>
              <w:spacing w:after="0"/>
              <w:rPr>
                <w:sz w:val="20"/>
                <w:szCs w:val="20"/>
                <w:color w:val="auto"/>
              </w:rPr>
            </w:pPr>
            <w:r>
              <w:rPr>
                <w:rFonts w:ascii="Courier New" w:cs="Courier New" w:eastAsia="Courier New" w:hAnsi="Courier New"/>
                <w:sz w:val="16"/>
                <w:szCs w:val="16"/>
                <w:color w:val="auto"/>
              </w:rPr>
              <w:t>YEARS ENDED DECEMBER 31,</w:t>
            </w:r>
          </w:p>
        </w:tc>
        <w:tc>
          <w:tcPr>
            <w:tcW w:w="10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MARCH 31,</w:t>
            </w:r>
          </w:p>
        </w:tc>
        <w:tc>
          <w:tcPr>
            <w:tcW w:w="820" w:type="dxa"/>
            <w:vAlign w:val="bottom"/>
          </w:tcPr>
          <w:p>
            <w:pPr>
              <w:spacing w:after="0"/>
              <w:rPr>
                <w:sz w:val="15"/>
                <w:szCs w:val="15"/>
                <w:color w:val="auto"/>
              </w:rPr>
            </w:pPr>
          </w:p>
        </w:tc>
      </w:tr>
      <w:tr>
        <w:trPr>
          <w:trHeight w:val="183"/>
        </w:trPr>
        <w:tc>
          <w:tcPr>
            <w:tcW w:w="3240" w:type="dxa"/>
            <w:vAlign w:val="bottom"/>
          </w:tcPr>
          <w:p>
            <w:pPr>
              <w:spacing w:after="0"/>
              <w:rPr>
                <w:sz w:val="15"/>
                <w:szCs w:val="15"/>
                <w:color w:val="auto"/>
              </w:rPr>
            </w:pPr>
          </w:p>
        </w:tc>
        <w:tc>
          <w:tcPr>
            <w:tcW w:w="186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0"/>
              </w:rPr>
              <w:t>------------------------------------------------</w:t>
            </w:r>
          </w:p>
        </w:tc>
        <w:tc>
          <w:tcPr>
            <w:tcW w:w="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3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60" w:type="dxa"/>
            <w:vAlign w:val="bottom"/>
          </w:tcPr>
          <w:p>
            <w:pPr>
              <w:ind w:left="340"/>
              <w:spacing w:after="0"/>
              <w:rPr>
                <w:sz w:val="20"/>
                <w:szCs w:val="20"/>
                <w:color w:val="auto"/>
              </w:rPr>
            </w:pPr>
            <w:r>
              <w:rPr>
                <w:rFonts w:ascii="Courier New" w:cs="Courier New" w:eastAsia="Courier New" w:hAnsi="Courier New"/>
                <w:sz w:val="16"/>
                <w:szCs w:val="16"/>
                <w:color w:val="auto"/>
              </w:rPr>
              <w:t>1995</w:t>
            </w:r>
          </w:p>
        </w:tc>
        <w:tc>
          <w:tcPr>
            <w:tcW w:w="8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ind w:left="240"/>
              <w:spacing w:after="0"/>
              <w:rPr>
                <w:sz w:val="20"/>
                <w:szCs w:val="20"/>
                <w:color w:val="auto"/>
              </w:rPr>
            </w:pPr>
            <w:r>
              <w:rPr>
                <w:rFonts w:ascii="Courier New" w:cs="Courier New" w:eastAsia="Courier New" w:hAnsi="Courier New"/>
                <w:sz w:val="16"/>
                <w:szCs w:val="16"/>
                <w:color w:val="auto"/>
              </w:rPr>
              <w:t>1996</w:t>
            </w:r>
          </w:p>
        </w:tc>
      </w:tr>
      <w:tr>
        <w:trPr>
          <w:trHeight w:val="183"/>
        </w:trPr>
        <w:tc>
          <w:tcPr>
            <w:tcW w:w="3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60" w:type="dxa"/>
            <w:vAlign w:val="bottom"/>
          </w:tcPr>
          <w:p>
            <w:pPr>
              <w:ind w:left="340"/>
              <w:spacing w:after="0"/>
              <w:rPr>
                <w:sz w:val="20"/>
                <w:szCs w:val="20"/>
                <w:color w:val="auto"/>
              </w:rPr>
            </w:pPr>
            <w:r>
              <w:rPr>
                <w:rFonts w:ascii="Courier New" w:cs="Courier New" w:eastAsia="Courier New" w:hAnsi="Courier New"/>
                <w:sz w:val="16"/>
                <w:szCs w:val="16"/>
                <w:color w:val="auto"/>
              </w:rPr>
              <w:t>PRO</w:t>
            </w:r>
          </w:p>
        </w:tc>
        <w:tc>
          <w:tcPr>
            <w:tcW w:w="8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ind w:left="240"/>
              <w:spacing w:after="0"/>
              <w:rPr>
                <w:sz w:val="20"/>
                <w:szCs w:val="20"/>
                <w:color w:val="auto"/>
              </w:rPr>
            </w:pPr>
            <w:r>
              <w:rPr>
                <w:rFonts w:ascii="Courier New" w:cs="Courier New" w:eastAsia="Courier New" w:hAnsi="Courier New"/>
                <w:sz w:val="16"/>
                <w:szCs w:val="16"/>
                <w:color w:val="auto"/>
              </w:rPr>
              <w:t>PRO</w:t>
            </w:r>
          </w:p>
        </w:tc>
      </w:tr>
      <w:tr>
        <w:trPr>
          <w:trHeight w:val="183"/>
        </w:trPr>
        <w:tc>
          <w:tcPr>
            <w:tcW w:w="3240" w:type="dxa"/>
            <w:vAlign w:val="bottom"/>
          </w:tcPr>
          <w:p>
            <w:pPr>
              <w:spacing w:after="0"/>
              <w:rPr>
                <w:sz w:val="15"/>
                <w:szCs w:val="15"/>
                <w:color w:val="auto"/>
              </w:rPr>
            </w:pPr>
          </w:p>
        </w:tc>
        <w:tc>
          <w:tcPr>
            <w:tcW w:w="1040" w:type="dxa"/>
            <w:vAlign w:val="bottom"/>
          </w:tcPr>
          <w:p>
            <w:pPr>
              <w:jc w:val="right"/>
              <w:ind w:right="384"/>
              <w:spacing w:after="0"/>
              <w:rPr>
                <w:sz w:val="20"/>
                <w:szCs w:val="20"/>
                <w:color w:val="auto"/>
              </w:rPr>
            </w:pPr>
            <w:r>
              <w:rPr>
                <w:rFonts w:ascii="Courier New" w:cs="Courier New" w:eastAsia="Courier New" w:hAnsi="Courier New"/>
                <w:sz w:val="16"/>
                <w:szCs w:val="16"/>
                <w:color w:val="auto"/>
              </w:rPr>
              <w:t>1992</w:t>
            </w:r>
          </w:p>
        </w:tc>
        <w:tc>
          <w:tcPr>
            <w:tcW w:w="8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1993</w:t>
            </w:r>
          </w:p>
        </w:tc>
        <w:tc>
          <w:tcPr>
            <w:tcW w:w="9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1994</w:t>
            </w:r>
          </w:p>
        </w:tc>
        <w:tc>
          <w:tcPr>
            <w:tcW w:w="9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1995</w:t>
            </w:r>
          </w:p>
        </w:tc>
        <w:tc>
          <w:tcPr>
            <w:tcW w:w="10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FORMA(1)</w:t>
            </w:r>
          </w:p>
        </w:tc>
        <w:tc>
          <w:tcPr>
            <w:tcW w:w="8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1995</w:t>
            </w:r>
          </w:p>
        </w:tc>
        <w:tc>
          <w:tcPr>
            <w:tcW w:w="11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1996</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FORMA(1)</w:t>
            </w:r>
          </w:p>
        </w:tc>
      </w:tr>
      <w:tr>
        <w:trPr>
          <w:trHeight w:val="183"/>
        </w:trPr>
        <w:tc>
          <w:tcPr>
            <w:tcW w:w="3240" w:type="dxa"/>
            <w:vAlign w:val="bottom"/>
          </w:tcPr>
          <w:p>
            <w:pPr>
              <w:spacing w:after="0"/>
              <w:rPr>
                <w:sz w:val="15"/>
                <w:szCs w:val="15"/>
                <w:color w:val="auto"/>
              </w:rPr>
            </w:pPr>
          </w:p>
        </w:tc>
        <w:tc>
          <w:tcPr>
            <w:tcW w:w="1040" w:type="dxa"/>
            <w:vAlign w:val="bottom"/>
          </w:tcPr>
          <w:p>
            <w:pPr>
              <w:jc w:val="right"/>
              <w:ind w:right="204"/>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w:t>
            </w:r>
          </w:p>
        </w:tc>
        <w:tc>
          <w:tcPr>
            <w:tcW w:w="9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3240" w:type="dxa"/>
            <w:vAlign w:val="bottom"/>
          </w:tcPr>
          <w:p>
            <w:pPr>
              <w:spacing w:after="0"/>
              <w:rPr>
                <w:sz w:val="20"/>
                <w:szCs w:val="20"/>
                <w:color w:val="auto"/>
              </w:rPr>
            </w:pPr>
            <w:r>
              <w:rPr>
                <w:rFonts w:ascii="Courier New" w:cs="Courier New" w:eastAsia="Courier New" w:hAnsi="Courier New"/>
                <w:sz w:val="16"/>
                <w:szCs w:val="16"/>
                <w:color w:val="auto"/>
              </w:rPr>
              <w:t>Average Licensed Beds</w:t>
            </w: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83"/>
        </w:trPr>
        <w:tc>
          <w:tcPr>
            <w:tcW w:w="3240" w:type="dxa"/>
            <w:vAlign w:val="bottom"/>
          </w:tcPr>
          <w:p>
            <w:pPr>
              <w:ind w:left="100"/>
              <w:spacing w:after="0"/>
              <w:rPr>
                <w:sz w:val="20"/>
                <w:szCs w:val="20"/>
                <w:color w:val="auto"/>
              </w:rPr>
            </w:pPr>
            <w:r>
              <w:rPr>
                <w:rFonts w:ascii="Courier New" w:cs="Courier New" w:eastAsia="Courier New" w:hAnsi="Courier New"/>
                <w:sz w:val="16"/>
                <w:szCs w:val="16"/>
                <w:color w:val="auto"/>
              </w:rPr>
              <w:t>Acute Care Hospitals............</w:t>
            </w:r>
          </w:p>
        </w:tc>
        <w:tc>
          <w:tcPr>
            <w:tcW w:w="1040" w:type="dxa"/>
            <w:vAlign w:val="bottom"/>
          </w:tcPr>
          <w:p>
            <w:pPr>
              <w:jc w:val="right"/>
              <w:ind w:right="204"/>
              <w:spacing w:after="0"/>
              <w:rPr>
                <w:sz w:val="20"/>
                <w:szCs w:val="20"/>
                <w:color w:val="auto"/>
              </w:rPr>
            </w:pPr>
            <w:r>
              <w:rPr>
                <w:rFonts w:ascii="Courier New" w:cs="Courier New" w:eastAsia="Courier New" w:hAnsi="Courier New"/>
                <w:sz w:val="16"/>
                <w:szCs w:val="16"/>
                <w:color w:val="auto"/>
              </w:rPr>
              <w:t>2,645</w:t>
            </w:r>
          </w:p>
        </w:tc>
        <w:tc>
          <w:tcPr>
            <w:tcW w:w="8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2,730</w:t>
            </w:r>
          </w:p>
        </w:tc>
        <w:tc>
          <w:tcPr>
            <w:tcW w:w="9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2,788</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2,808</w:t>
            </w:r>
          </w:p>
        </w:tc>
        <w:tc>
          <w:tcPr>
            <w:tcW w:w="10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3,168</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2,789</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2,797</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3,154</w:t>
            </w:r>
          </w:p>
        </w:tc>
      </w:tr>
      <w:tr>
        <w:trPr>
          <w:trHeight w:val="183"/>
        </w:trPr>
        <w:tc>
          <w:tcPr>
            <w:tcW w:w="3240" w:type="dxa"/>
            <w:vAlign w:val="bottom"/>
          </w:tcPr>
          <w:p>
            <w:pPr>
              <w:ind w:left="100"/>
              <w:spacing w:after="0"/>
              <w:rPr>
                <w:sz w:val="20"/>
                <w:szCs w:val="20"/>
                <w:color w:val="auto"/>
              </w:rPr>
            </w:pPr>
            <w:r>
              <w:rPr>
                <w:rFonts w:ascii="Courier New" w:cs="Courier New" w:eastAsia="Courier New" w:hAnsi="Courier New"/>
                <w:sz w:val="16"/>
                <w:szCs w:val="16"/>
                <w:color w:val="auto"/>
              </w:rPr>
              <w:t>Behavioral Health Centers.......</w:t>
            </w:r>
          </w:p>
        </w:tc>
        <w:tc>
          <w:tcPr>
            <w:tcW w:w="1040" w:type="dxa"/>
            <w:vAlign w:val="bottom"/>
          </w:tcPr>
          <w:p>
            <w:pPr>
              <w:jc w:val="right"/>
              <w:ind w:right="204"/>
              <w:spacing w:after="0"/>
              <w:rPr>
                <w:sz w:val="20"/>
                <w:szCs w:val="20"/>
                <w:color w:val="auto"/>
              </w:rPr>
            </w:pPr>
            <w:r>
              <w:rPr>
                <w:rFonts w:ascii="Courier New" w:cs="Courier New" w:eastAsia="Courier New" w:hAnsi="Courier New"/>
                <w:sz w:val="16"/>
                <w:szCs w:val="16"/>
                <w:color w:val="auto"/>
              </w:rPr>
              <w:t>1,206</w:t>
            </w:r>
          </w:p>
        </w:tc>
        <w:tc>
          <w:tcPr>
            <w:tcW w:w="8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1,216</w:t>
            </w:r>
          </w:p>
        </w:tc>
        <w:tc>
          <w:tcPr>
            <w:tcW w:w="9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1,227</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1,265</w:t>
            </w:r>
          </w:p>
        </w:tc>
        <w:tc>
          <w:tcPr>
            <w:tcW w:w="10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1,631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1,265</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1,267</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1,633</w:t>
            </w:r>
          </w:p>
        </w:tc>
      </w:tr>
      <w:tr>
        <w:trPr>
          <w:trHeight w:val="183"/>
        </w:trPr>
        <w:tc>
          <w:tcPr>
            <w:tcW w:w="3240" w:type="dxa"/>
            <w:vAlign w:val="bottom"/>
          </w:tcPr>
          <w:p>
            <w:pPr>
              <w:spacing w:after="0"/>
              <w:rPr>
                <w:sz w:val="20"/>
                <w:szCs w:val="20"/>
                <w:color w:val="auto"/>
              </w:rPr>
            </w:pPr>
            <w:r>
              <w:rPr>
                <w:rFonts w:ascii="Courier New" w:cs="Courier New" w:eastAsia="Courier New" w:hAnsi="Courier New"/>
                <w:sz w:val="16"/>
                <w:szCs w:val="16"/>
                <w:color w:val="auto"/>
              </w:rPr>
              <w:t>Hospital Admissions</w:t>
            </w:r>
          </w:p>
        </w:tc>
        <w:tc>
          <w:tcPr>
            <w:tcW w:w="10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3"/>
        </w:trPr>
        <w:tc>
          <w:tcPr>
            <w:tcW w:w="3240" w:type="dxa"/>
            <w:vAlign w:val="bottom"/>
          </w:tcPr>
          <w:p>
            <w:pPr>
              <w:ind w:left="100"/>
              <w:spacing w:after="0"/>
              <w:rPr>
                <w:sz w:val="20"/>
                <w:szCs w:val="20"/>
                <w:color w:val="auto"/>
              </w:rPr>
            </w:pPr>
            <w:r>
              <w:rPr>
                <w:rFonts w:ascii="Courier New" w:cs="Courier New" w:eastAsia="Courier New" w:hAnsi="Courier New"/>
                <w:sz w:val="16"/>
                <w:szCs w:val="16"/>
                <w:color w:val="auto"/>
              </w:rPr>
              <w:t>Acute Care Hospitals............</w:t>
            </w:r>
          </w:p>
        </w:tc>
        <w:tc>
          <w:tcPr>
            <w:tcW w:w="1040" w:type="dxa"/>
            <w:vAlign w:val="bottom"/>
          </w:tcPr>
          <w:p>
            <w:pPr>
              <w:jc w:val="right"/>
              <w:ind w:right="204"/>
              <w:spacing w:after="0"/>
              <w:rPr>
                <w:sz w:val="20"/>
                <w:szCs w:val="20"/>
                <w:color w:val="auto"/>
              </w:rPr>
            </w:pPr>
            <w:r>
              <w:rPr>
                <w:rFonts w:ascii="Courier New" w:cs="Courier New" w:eastAsia="Courier New" w:hAnsi="Courier New"/>
                <w:sz w:val="16"/>
                <w:szCs w:val="16"/>
                <w:color w:val="auto"/>
              </w:rPr>
              <w:t>83,826</w:t>
            </w:r>
          </w:p>
        </w:tc>
        <w:tc>
          <w:tcPr>
            <w:tcW w:w="8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87,174</w:t>
            </w:r>
          </w:p>
        </w:tc>
        <w:tc>
          <w:tcPr>
            <w:tcW w:w="9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92,911</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100,004</w:t>
            </w:r>
          </w:p>
        </w:tc>
        <w:tc>
          <w:tcPr>
            <w:tcW w:w="10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113,476</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25,704</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27,551</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30,887</w:t>
            </w:r>
          </w:p>
        </w:tc>
      </w:tr>
      <w:tr>
        <w:trPr>
          <w:trHeight w:val="183"/>
        </w:trPr>
        <w:tc>
          <w:tcPr>
            <w:tcW w:w="3240" w:type="dxa"/>
            <w:vAlign w:val="bottom"/>
          </w:tcPr>
          <w:p>
            <w:pPr>
              <w:ind w:left="100"/>
              <w:spacing w:after="0"/>
              <w:rPr>
                <w:sz w:val="20"/>
                <w:szCs w:val="20"/>
                <w:color w:val="auto"/>
              </w:rPr>
            </w:pPr>
            <w:r>
              <w:rPr>
                <w:rFonts w:ascii="Courier New" w:cs="Courier New" w:eastAsia="Courier New" w:hAnsi="Courier New"/>
                <w:sz w:val="16"/>
                <w:szCs w:val="16"/>
                <w:color w:val="auto"/>
              </w:rPr>
              <w:t>Behavioral Health Centers.......</w:t>
            </w:r>
          </w:p>
        </w:tc>
        <w:tc>
          <w:tcPr>
            <w:tcW w:w="1040" w:type="dxa"/>
            <w:vAlign w:val="bottom"/>
          </w:tcPr>
          <w:p>
            <w:pPr>
              <w:jc w:val="right"/>
              <w:ind w:right="204"/>
              <w:spacing w:after="0"/>
              <w:rPr>
                <w:sz w:val="20"/>
                <w:szCs w:val="20"/>
                <w:color w:val="auto"/>
              </w:rPr>
            </w:pPr>
            <w:r>
              <w:rPr>
                <w:rFonts w:ascii="Courier New" w:cs="Courier New" w:eastAsia="Courier New" w:hAnsi="Courier New"/>
                <w:sz w:val="16"/>
                <w:szCs w:val="16"/>
                <w:color w:val="auto"/>
              </w:rPr>
              <w:t>13,505</w:t>
            </w:r>
          </w:p>
        </w:tc>
        <w:tc>
          <w:tcPr>
            <w:tcW w:w="8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15,560</w:t>
            </w:r>
          </w:p>
        </w:tc>
        <w:tc>
          <w:tcPr>
            <w:tcW w:w="9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16,804</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17,888</w:t>
            </w:r>
          </w:p>
        </w:tc>
        <w:tc>
          <w:tcPr>
            <w:tcW w:w="10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24,848</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4,197</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4,298</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6,019</w:t>
            </w:r>
          </w:p>
        </w:tc>
      </w:tr>
      <w:tr>
        <w:trPr>
          <w:trHeight w:val="183"/>
        </w:trPr>
        <w:tc>
          <w:tcPr>
            <w:tcW w:w="3240" w:type="dxa"/>
            <w:vAlign w:val="bottom"/>
          </w:tcPr>
          <w:p>
            <w:pPr>
              <w:spacing w:after="0"/>
              <w:rPr>
                <w:sz w:val="20"/>
                <w:szCs w:val="20"/>
                <w:color w:val="auto"/>
              </w:rPr>
            </w:pPr>
            <w:r>
              <w:rPr>
                <w:rFonts w:ascii="Courier New" w:cs="Courier New" w:eastAsia="Courier New" w:hAnsi="Courier New"/>
                <w:sz w:val="16"/>
                <w:szCs w:val="16"/>
                <w:color w:val="auto"/>
              </w:rPr>
              <w:t>Average Length of Patient Stay</w:t>
            </w:r>
          </w:p>
        </w:tc>
        <w:tc>
          <w:tcPr>
            <w:tcW w:w="10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3"/>
        </w:trPr>
        <w:tc>
          <w:tcPr>
            <w:tcW w:w="3240" w:type="dxa"/>
            <w:vAlign w:val="bottom"/>
          </w:tcPr>
          <w:p>
            <w:pPr>
              <w:ind w:left="100"/>
              <w:spacing w:after="0"/>
              <w:rPr>
                <w:sz w:val="20"/>
                <w:szCs w:val="20"/>
                <w:color w:val="auto"/>
              </w:rPr>
            </w:pPr>
            <w:r>
              <w:rPr>
                <w:rFonts w:ascii="Courier New" w:cs="Courier New" w:eastAsia="Courier New" w:hAnsi="Courier New"/>
                <w:sz w:val="16"/>
                <w:szCs w:val="16"/>
                <w:color w:val="auto"/>
              </w:rPr>
              <w:t>(Days)</w:t>
            </w:r>
          </w:p>
        </w:tc>
        <w:tc>
          <w:tcPr>
            <w:tcW w:w="10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3"/>
        </w:trPr>
        <w:tc>
          <w:tcPr>
            <w:tcW w:w="3240" w:type="dxa"/>
            <w:vAlign w:val="bottom"/>
          </w:tcPr>
          <w:p>
            <w:pPr>
              <w:ind w:left="100"/>
              <w:spacing w:after="0"/>
              <w:rPr>
                <w:sz w:val="20"/>
                <w:szCs w:val="20"/>
                <w:color w:val="auto"/>
              </w:rPr>
            </w:pPr>
            <w:r>
              <w:rPr>
                <w:rFonts w:ascii="Courier New" w:cs="Courier New" w:eastAsia="Courier New" w:hAnsi="Courier New"/>
                <w:sz w:val="16"/>
                <w:szCs w:val="16"/>
                <w:color w:val="auto"/>
              </w:rPr>
              <w:t>Acute Care Hospitals............</w:t>
            </w:r>
          </w:p>
        </w:tc>
        <w:tc>
          <w:tcPr>
            <w:tcW w:w="1040" w:type="dxa"/>
            <w:vAlign w:val="bottom"/>
          </w:tcPr>
          <w:p>
            <w:pPr>
              <w:jc w:val="right"/>
              <w:ind w:right="204"/>
              <w:spacing w:after="0"/>
              <w:rPr>
                <w:sz w:val="20"/>
                <w:szCs w:val="20"/>
                <w:color w:val="auto"/>
              </w:rPr>
            </w:pPr>
            <w:r>
              <w:rPr>
                <w:rFonts w:ascii="Courier New" w:cs="Courier New" w:eastAsia="Courier New" w:hAnsi="Courier New"/>
                <w:sz w:val="16"/>
                <w:szCs w:val="16"/>
                <w:color w:val="auto"/>
              </w:rPr>
              <w:t>5.8</w:t>
            </w:r>
          </w:p>
        </w:tc>
        <w:tc>
          <w:tcPr>
            <w:tcW w:w="8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5.6</w:t>
            </w:r>
          </w:p>
        </w:tc>
        <w:tc>
          <w:tcPr>
            <w:tcW w:w="9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5.3</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5.1</w:t>
            </w:r>
          </w:p>
        </w:tc>
        <w:tc>
          <w:tcPr>
            <w:tcW w:w="10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5.2</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5.2</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5.1</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5.1</w:t>
            </w:r>
          </w:p>
        </w:tc>
      </w:tr>
      <w:tr>
        <w:trPr>
          <w:trHeight w:val="183"/>
        </w:trPr>
        <w:tc>
          <w:tcPr>
            <w:tcW w:w="3240" w:type="dxa"/>
            <w:vAlign w:val="bottom"/>
          </w:tcPr>
          <w:p>
            <w:pPr>
              <w:ind w:left="100"/>
              <w:spacing w:after="0"/>
              <w:rPr>
                <w:sz w:val="20"/>
                <w:szCs w:val="20"/>
                <w:color w:val="auto"/>
              </w:rPr>
            </w:pPr>
            <w:r>
              <w:rPr>
                <w:rFonts w:ascii="Courier New" w:cs="Courier New" w:eastAsia="Courier New" w:hAnsi="Courier New"/>
                <w:sz w:val="16"/>
                <w:szCs w:val="16"/>
                <w:color w:val="auto"/>
              </w:rPr>
              <w:t>Behavioral Health Centers.......</w:t>
            </w:r>
          </w:p>
        </w:tc>
        <w:tc>
          <w:tcPr>
            <w:tcW w:w="1040" w:type="dxa"/>
            <w:vAlign w:val="bottom"/>
          </w:tcPr>
          <w:p>
            <w:pPr>
              <w:jc w:val="right"/>
              <w:ind w:right="204"/>
              <w:spacing w:after="0"/>
              <w:rPr>
                <w:sz w:val="20"/>
                <w:szCs w:val="20"/>
                <w:color w:val="auto"/>
              </w:rPr>
            </w:pPr>
            <w:r>
              <w:rPr>
                <w:rFonts w:ascii="Courier New" w:cs="Courier New" w:eastAsia="Courier New" w:hAnsi="Courier New"/>
                <w:sz w:val="16"/>
                <w:szCs w:val="16"/>
                <w:color w:val="auto"/>
              </w:rPr>
              <w:t>15.7</w:t>
            </w:r>
          </w:p>
        </w:tc>
        <w:tc>
          <w:tcPr>
            <w:tcW w:w="8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13.0</w:t>
            </w:r>
          </w:p>
        </w:tc>
        <w:tc>
          <w:tcPr>
            <w:tcW w:w="9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11.6</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11.2</w:t>
            </w:r>
          </w:p>
        </w:tc>
        <w:tc>
          <w:tcPr>
            <w:tcW w:w="10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12.3</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12.0</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12.1</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13.1</w:t>
            </w:r>
          </w:p>
        </w:tc>
      </w:tr>
      <w:tr>
        <w:trPr>
          <w:trHeight w:val="183"/>
        </w:trPr>
        <w:tc>
          <w:tcPr>
            <w:tcW w:w="3240" w:type="dxa"/>
            <w:vAlign w:val="bottom"/>
          </w:tcPr>
          <w:p>
            <w:pPr>
              <w:spacing w:after="0"/>
              <w:rPr>
                <w:sz w:val="20"/>
                <w:szCs w:val="20"/>
                <w:color w:val="auto"/>
              </w:rPr>
            </w:pPr>
            <w:r>
              <w:rPr>
                <w:rFonts w:ascii="Courier New" w:cs="Courier New" w:eastAsia="Courier New" w:hAnsi="Courier New"/>
                <w:sz w:val="16"/>
                <w:szCs w:val="16"/>
                <w:color w:val="auto"/>
              </w:rPr>
              <w:t>Patient Days(2)</w:t>
            </w:r>
          </w:p>
        </w:tc>
        <w:tc>
          <w:tcPr>
            <w:tcW w:w="10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3"/>
        </w:trPr>
        <w:tc>
          <w:tcPr>
            <w:tcW w:w="3240" w:type="dxa"/>
            <w:vAlign w:val="bottom"/>
          </w:tcPr>
          <w:p>
            <w:pPr>
              <w:ind w:left="100"/>
              <w:spacing w:after="0"/>
              <w:rPr>
                <w:sz w:val="20"/>
                <w:szCs w:val="20"/>
                <w:color w:val="auto"/>
              </w:rPr>
            </w:pPr>
            <w:r>
              <w:rPr>
                <w:rFonts w:ascii="Courier New" w:cs="Courier New" w:eastAsia="Courier New" w:hAnsi="Courier New"/>
                <w:sz w:val="16"/>
                <w:szCs w:val="16"/>
                <w:color w:val="auto"/>
              </w:rPr>
              <w:t>Acute Care Hospitals............</w:t>
            </w:r>
          </w:p>
        </w:tc>
        <w:tc>
          <w:tcPr>
            <w:tcW w:w="1040" w:type="dxa"/>
            <w:vAlign w:val="bottom"/>
          </w:tcPr>
          <w:p>
            <w:pPr>
              <w:jc w:val="right"/>
              <w:ind w:right="204"/>
              <w:spacing w:after="0"/>
              <w:rPr>
                <w:sz w:val="20"/>
                <w:szCs w:val="20"/>
                <w:color w:val="auto"/>
              </w:rPr>
            </w:pPr>
            <w:r>
              <w:rPr>
                <w:rFonts w:ascii="Courier New" w:cs="Courier New" w:eastAsia="Courier New" w:hAnsi="Courier New"/>
                <w:sz w:val="16"/>
                <w:szCs w:val="16"/>
                <w:color w:val="auto"/>
              </w:rPr>
              <w:t>485,015</w:t>
            </w:r>
          </w:p>
        </w:tc>
        <w:tc>
          <w:tcPr>
            <w:tcW w:w="8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486,291</w:t>
            </w:r>
          </w:p>
        </w:tc>
        <w:tc>
          <w:tcPr>
            <w:tcW w:w="9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496,462</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511,487</w:t>
            </w:r>
          </w:p>
        </w:tc>
        <w:tc>
          <w:tcPr>
            <w:tcW w:w="10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585,328</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134,470</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140,088</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158,726</w:t>
            </w:r>
          </w:p>
        </w:tc>
      </w:tr>
      <w:tr>
        <w:trPr>
          <w:trHeight w:val="183"/>
        </w:trPr>
        <w:tc>
          <w:tcPr>
            <w:tcW w:w="3240" w:type="dxa"/>
            <w:vAlign w:val="bottom"/>
          </w:tcPr>
          <w:p>
            <w:pPr>
              <w:ind w:left="100"/>
              <w:spacing w:after="0"/>
              <w:rPr>
                <w:sz w:val="20"/>
                <w:szCs w:val="20"/>
                <w:color w:val="auto"/>
              </w:rPr>
            </w:pPr>
            <w:r>
              <w:rPr>
                <w:rFonts w:ascii="Courier New" w:cs="Courier New" w:eastAsia="Courier New" w:hAnsi="Courier New"/>
                <w:sz w:val="16"/>
                <w:szCs w:val="16"/>
                <w:color w:val="auto"/>
              </w:rPr>
              <w:t>Behavioral Health Centers.......</w:t>
            </w:r>
          </w:p>
        </w:tc>
        <w:tc>
          <w:tcPr>
            <w:tcW w:w="1040" w:type="dxa"/>
            <w:vAlign w:val="bottom"/>
          </w:tcPr>
          <w:p>
            <w:pPr>
              <w:jc w:val="right"/>
              <w:ind w:right="204"/>
              <w:spacing w:after="0"/>
              <w:rPr>
                <w:sz w:val="20"/>
                <w:szCs w:val="20"/>
                <w:color w:val="auto"/>
              </w:rPr>
            </w:pPr>
            <w:r>
              <w:rPr>
                <w:rFonts w:ascii="Courier New" w:cs="Courier New" w:eastAsia="Courier New" w:hAnsi="Courier New"/>
                <w:sz w:val="16"/>
                <w:szCs w:val="16"/>
                <w:color w:val="auto"/>
              </w:rPr>
              <w:t>211,390</w:t>
            </w:r>
          </w:p>
        </w:tc>
        <w:tc>
          <w:tcPr>
            <w:tcW w:w="8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202,047</w:t>
            </w:r>
          </w:p>
        </w:tc>
        <w:tc>
          <w:tcPr>
            <w:tcW w:w="9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195,004</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200,857</w:t>
            </w:r>
          </w:p>
        </w:tc>
        <w:tc>
          <w:tcPr>
            <w:tcW w:w="10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304,800</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50,553</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52,083</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78,659</w:t>
            </w:r>
          </w:p>
        </w:tc>
      </w:tr>
    </w:tbl>
    <w:p>
      <w:pPr>
        <w:spacing w:after="0" w:line="369"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p>
      <w:pPr>
        <w:ind w:left="382" w:right="3340" w:hanging="382"/>
        <w:spacing w:after="0" w:line="241" w:lineRule="auto"/>
        <w:tabs>
          <w:tab w:leader="none" w:pos="382"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year ended December 31, 1995 (Pro forma) and the three months ended March 31, 1996 (Pro forma) assumes that the acquisitions of Northwest Texas Health and the First Hospital Facilities occurred on the first day of the period presented.</w:t>
      </w:r>
    </w:p>
    <w:p>
      <w:pPr>
        <w:spacing w:after="0" w:line="189" w:lineRule="exact"/>
        <w:rPr>
          <w:rFonts w:ascii="Courier New" w:cs="Courier New" w:eastAsia="Courier New" w:hAnsi="Courier New"/>
          <w:sz w:val="16"/>
          <w:szCs w:val="16"/>
          <w:color w:val="auto"/>
        </w:rPr>
      </w:pPr>
    </w:p>
    <w:p>
      <w:pPr>
        <w:ind w:left="382" w:right="3440" w:hanging="382"/>
        <w:spacing w:after="0" w:line="239" w:lineRule="auto"/>
        <w:tabs>
          <w:tab w:leader="none" w:pos="382"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"Patient Days" is the aggregate sum for all patients of the number of days that hospital care is provided to each patient.</w:t>
      </w:r>
    </w:p>
    <w:p>
      <w:pPr>
        <w:spacing w:after="0" w:line="186"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882"/>
          </w:cols>
          <w:pgMar w:left="238" w:top="481" w:right="779" w:bottom="1440" w:gutter="0" w:footer="0" w:header="0"/>
        </w:sectPr>
      </w:pPr>
    </w:p>
    <w:bookmarkStart w:id="10" w:name="page11"/>
    <w:bookmarkEnd w:id="10"/>
    <w:p>
      <w:pPr>
        <w:ind w:left="3240"/>
        <w:spacing w:after="0"/>
        <w:rPr>
          <w:sz w:val="20"/>
          <w:szCs w:val="20"/>
          <w:color w:val="auto"/>
        </w:rPr>
      </w:pPr>
      <w:r>
        <w:rPr>
          <w:rFonts w:ascii="Courier New" w:cs="Courier New" w:eastAsia="Courier New" w:hAnsi="Courier New"/>
          <w:sz w:val="16"/>
          <w:szCs w:val="16"/>
          <w:color w:val="auto"/>
        </w:rPr>
        <w:t>RISK FACTORS</w:t>
      </w:r>
    </w:p>
    <w:p>
      <w:pPr>
        <w:spacing w:after="0" w:line="188" w:lineRule="exact"/>
        <w:rPr>
          <w:sz w:val="20"/>
          <w:szCs w:val="20"/>
          <w:color w:val="auto"/>
        </w:rPr>
      </w:pPr>
    </w:p>
    <w:p>
      <w:pPr>
        <w:ind w:right="2779" w:firstLine="382"/>
        <w:spacing w:after="0" w:line="241" w:lineRule="auto"/>
        <w:rPr>
          <w:sz w:val="20"/>
          <w:szCs w:val="20"/>
          <w:color w:val="auto"/>
        </w:rPr>
      </w:pPr>
      <w:r>
        <w:rPr>
          <w:rFonts w:ascii="Courier New" w:cs="Courier New" w:eastAsia="Courier New" w:hAnsi="Courier New"/>
          <w:sz w:val="16"/>
          <w:szCs w:val="16"/>
          <w:color w:val="auto"/>
        </w:rPr>
        <w:t>This Prospectus contains, in addition to historical information, forward-looking statements that involve risks and uncertainties. The Company's actual results could differ materially. Factors that could cause or contribute to such differences include, but are not limited to, those discussed below, as well as those discussed elsewhere in the Prospectus.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CONCENTRATION OF EARNINGS</w:t>
      </w:r>
    </w:p>
    <w:p>
      <w:pPr>
        <w:spacing w:after="0" w:line="188"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McAllen Medical Center contributed 20% and 21% of the Company's net revenues and 36% and 35% of the Company's earnings before interest, income taxes, depreciation, amortization, lease and rental expense and non-recurring transactions ("EBITDAR"), for the two years ended December 31, 1995 and 1994, respectively, excluding the effect of the special Medicaid reimbursements received at two of the Company's Texas acute care hospitals of $12.6 million and $12.7 million for the years ended December 31, 1995 and 1994, respectively (the "Indigent Care Reimbursements"). On a pro forma basis, assuming that the acquisitions of Northwest Texas Health (acquired in May 1996), the First Hospital Facilities (acquisition pending), Aiken (acquired in July 1995) and Manatee (acquired in August 1995), and the dispositions of Dallas Family Hospital, Westlake Medical Center (both disposed of in July 1995) and Universal Medical Center (disposed of in October 1995) occurred on January 1, 1995 (the "Adjustments"), and excluding the Indigent Care Reimbursements, McAllen Medical Center would have contributed 15% of the Company's net revenues for the year ended December 31, 1995 and 30% of the Company's EBITDAR for such period.</w:t>
      </w:r>
    </w:p>
    <w:p>
      <w:pPr>
        <w:spacing w:after="0" w:line="194"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Valley Hospital Medical Center ("Valley Hospital") contributed 18% and 19% of the Company's net revenues and 30% and 35% of the Company's EBITDAR, for the years ended December 31, 1995 and 1994, excluding the Indigent Care Reimbursements. On a pro forma basis, taking into account the Adjustments and excluding the Indigent Care Reimbursements, Valley Hospital would have contributed 14% of the Company's net revenues for the year ended December 31, 1995 and 24% of the Company's EBITDAR for such period.</w:t>
      </w:r>
    </w:p>
    <w:p>
      <w:pPr>
        <w:spacing w:after="0" w:line="188" w:lineRule="exact"/>
        <w:rPr>
          <w:sz w:val="20"/>
          <w:szCs w:val="20"/>
          <w:color w:val="auto"/>
        </w:rPr>
      </w:pPr>
    </w:p>
    <w:p>
      <w:pPr>
        <w:ind w:right="2879" w:firstLine="382"/>
        <w:spacing w:after="0" w:line="265" w:lineRule="auto"/>
        <w:rPr>
          <w:sz w:val="20"/>
          <w:szCs w:val="20"/>
          <w:color w:val="auto"/>
        </w:rPr>
      </w:pPr>
      <w:r>
        <w:rPr>
          <w:rFonts w:ascii="Courier New" w:cs="Courier New" w:eastAsia="Courier New" w:hAnsi="Courier New"/>
          <w:sz w:val="15"/>
          <w:szCs w:val="15"/>
          <w:color w:val="auto"/>
        </w:rPr>
        <w:t>Assuming the Adjustments and excluding the Indigent Care Reimbursements, Manatee would have contributed 11% of the Company's net revenues for the year ended December 31, 1995 and 12% of the Company's EBITDAR for such period.</w:t>
      </w:r>
    </w:p>
    <w:p>
      <w:pPr>
        <w:spacing w:after="0" w:line="171" w:lineRule="exact"/>
        <w:rPr>
          <w:sz w:val="20"/>
          <w:szCs w:val="20"/>
          <w:color w:val="auto"/>
        </w:rPr>
      </w:pPr>
    </w:p>
    <w:p>
      <w:pPr>
        <w:ind w:right="2599" w:firstLine="382"/>
        <w:spacing w:after="0" w:line="239" w:lineRule="auto"/>
        <w:rPr>
          <w:sz w:val="20"/>
          <w:szCs w:val="20"/>
          <w:color w:val="auto"/>
        </w:rPr>
      </w:pPr>
      <w:r>
        <w:rPr>
          <w:rFonts w:ascii="Courier New" w:cs="Courier New" w:eastAsia="Courier New" w:hAnsi="Courier New"/>
          <w:sz w:val="16"/>
          <w:szCs w:val="16"/>
          <w:color w:val="auto"/>
        </w:rPr>
        <w:t>Any adverse change in the condition or in the results of operations of these hospitals could have a material adverse effect on the Company.</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COMPETITION</w:t>
      </w:r>
    </w:p>
    <w:p>
      <w:pPr>
        <w:spacing w:after="0" w:line="188"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The healthcare industry has been characterized in recent years by increased competition for patients and staff physicians, excess capacity at general hospitals, a shift from inpatient to outpatient settings, a decrease in patients' average length of stay and increased consolidation. The principal factors contributing to these trends are advances in medical technology, cost-containment efforts by managed care payors, employers and traditional health insurers, changes in regulations and reimbursement policies, increases in the number and type of competing healthcare providers and changes in physician practice patterns. With a few exceptions, physicians are not employees of the Company's hospitals and members of the medical staffs of the Company's hospitals also serve on the medical staffs of hospitals not owned by the Company and may terminate their affiliation with the Company's hospitals at any time. The Company's future success will depend, in part, on the ability of the Company's hospitals to continue to attract and maintain staff physicians and to organize and structure integrated healthcare delivery systems with other healthcare providers and physician practice groups. There can be no assurance that the Company's hospitals will continue to be able, on terms favorable to the Company, to attract physicians to their staffs, or to organize and structure integrated healthcare delivery systems, for</w:t>
      </w:r>
    </w:p>
    <w:p>
      <w:pPr>
        <w:spacing w:after="0" w:line="19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481" w:right="1440" w:bottom="1440" w:gutter="0" w:footer="0" w:header="0"/>
        </w:sectPr>
      </w:pPr>
    </w:p>
    <w:bookmarkStart w:id="11" w:name="page12"/>
    <w:bookmarkEnd w:id="11"/>
    <w:p>
      <w:pPr>
        <w:ind w:right="2979"/>
        <w:spacing w:after="0" w:line="239" w:lineRule="auto"/>
        <w:rPr>
          <w:sz w:val="20"/>
          <w:szCs w:val="20"/>
          <w:color w:val="auto"/>
        </w:rPr>
      </w:pPr>
      <w:r>
        <w:rPr>
          <w:rFonts w:ascii="Courier New" w:cs="Courier New" w:eastAsia="Courier New" w:hAnsi="Courier New"/>
          <w:sz w:val="16"/>
          <w:szCs w:val="16"/>
          <w:color w:val="auto"/>
        </w:rPr>
        <w:t>which other healthcare companies with greater financial resources or a wider range of services may be competing.</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LIMITS ON REIMBURSEMENT</w:t>
      </w:r>
    </w:p>
    <w:p>
      <w:pPr>
        <w:spacing w:after="0" w:line="188"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The Company derives a substantial portion of its net revenues from third-party payors, including the Medicare and Medicaid programs. Changes in government reimbursement programs have resulted in limitations on the growth rates of the reimbursement programs and, in some cases, in reduced levels of reimbursement for healthcare services, and additional changes are anticipated. Such changes are likely to result in further limitations on reimbursement levels. In addition, private payors, including managed care payors, increasingly are demanding discounted fee structures or the assumption by healthcare providers of all or a portion of the financial risk through prepaid capitation arrangements. Inpatient utilization, average lengths of stay and occupancy rates continue to be negatively affected by payor-required pre-admission authorization and utilization review and by payor pressure to maximize outpatient and alternative healthcare delivery services for less acutely ill patients. In addition, efforts to impose reduced allowances, greater discounts and more stringent cost controls by government and other payors are expected to continue. The Company is unable to predict the effect that these changes will have on its operations. Furthermore, limits on the scope of services reimbursed or on reimbursement rates and fees could have a material adverse effect on the financial results of the Company's operations. See "--Health Reform Legislation" and "Business--Sources of Revenue."</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HEALTH REFORM LEGISLATION</w:t>
      </w:r>
    </w:p>
    <w:p>
      <w:pPr>
        <w:spacing w:after="0" w:line="188"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In recent years, an increasing number of legislative initiatives have been introduced or proposed in Congress and in state legislatures that would effect major changes in the healthcare system, either nationally or at the state level. Among the proposals that have been introduced are price controls on hospitals, insurance market reforms to increase the availability of group health insurance to small businesses, requirements that all businesses offer health insurance coverage to their employees and the creation of a government health insurance plan or plans that would cover all citizens and increase payments by beneficiaries. The Company cannot predict whether any of the above proposals or any other proposals will be adopted, and if adopted, no assurance can be given that the implementation of such reforms will not have a material adverse effect on the Company's business. In Texas, a law has been passed which mandates that the State apply for a waiver from current Medicaid regulations to allow it to require that certain Medicaid participants be serviced through managed care providers. The Company is unable to predict whether Texas will be granted such a waiver or the effect on the Company's business of such law. Upon meeting certain conditions, and serving a disproportionately high share of Texas' low income patients, McAllen Medical Center, Edinburg Hospital and Northwest Texas Health received an aggregate of $25.8 million under the Texas Medical Assistance Program for the year ended December 31, 1995. The Texas Medical Assistance Program instituted lower reimbursement rates commencing September 1, 1995, and such Program is scheduled to terminate in August 1996. The Company cannot predict whether this Program will continue beyond the scheduled termination date.</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LIABILITY INSURANCE</w:t>
      </w:r>
    </w:p>
    <w:p>
      <w:pPr>
        <w:spacing w:after="0" w:line="372"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Prior to January 1, 1996, most of the Company's subsidiaries were self-insured for general liability risks for claims limited to $5 million per occurrence and for professional liability risks for claims limited to $25 million per occurrence. Effective January 1, 1996, the Company's self-insured subsidiaries purchased general and professional liability insurance coverage for a three year term with a commercial insurer. These policies include coverage for claims in excess of $5 million and limited to $25 million per occurrence and have an unlimited aggregate. Coverage in excess of these limits up to $100 million is maintained with major insurance carriers.</w:t>
      </w:r>
    </w:p>
    <w:p>
      <w:pPr>
        <w:spacing w:after="0" w:line="37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484"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6"/>
          <w:szCs w:val="16"/>
          <w:color w:val="auto"/>
        </w:rPr>
        <w:t>CONTROL BY PRINCIPAL STOCKHOLDER</w:t>
      </w:r>
    </w:p>
    <w:p>
      <w:pPr>
        <w:spacing w:after="0" w:line="372" w:lineRule="exact"/>
        <w:rPr>
          <w:sz w:val="20"/>
          <w:szCs w:val="20"/>
          <w:color w:val="auto"/>
        </w:rPr>
      </w:pPr>
    </w:p>
    <w:p>
      <w:pPr>
        <w:ind w:right="2779" w:firstLine="382"/>
        <w:spacing w:after="0" w:line="242" w:lineRule="auto"/>
        <w:rPr>
          <w:sz w:val="20"/>
          <w:szCs w:val="20"/>
          <w:color w:val="auto"/>
        </w:rPr>
      </w:pPr>
      <w:r>
        <w:rPr>
          <w:rFonts w:ascii="Courier New" w:cs="Courier New" w:eastAsia="Courier New" w:hAnsi="Courier New"/>
          <w:sz w:val="16"/>
          <w:szCs w:val="16"/>
          <w:color w:val="auto"/>
        </w:rPr>
        <w:t>Alan B. Miller, the Company's Chairman of the Board, President and Chief Executive Officer, controls approximately 88% and, upon consummation of this Offering, will control approximately 84% of the general voting power of UHS, including shares of Class A Common Stock and Class C Common Stock owned by two directors of the Company which Mr. Miller, pursuant to the Stockholders' Agreement among Mr. Miller and such directors, has the right to vote under certain circumstances. Mr. Miller also controls an aggregate of 99% of Class A Common Stock and 99% of Class C Common Stock and upon consummation of the Offering will control 99% of Class A Common Stock and 99% of Class C Common Stock. As such, Mr. Miller can elect 80% of the Board of Directors of UHS and accomplish a merger, sale, transfer of assets or other significant transaction without the approval of UHS' other stockholders.</w:t>
      </w:r>
    </w:p>
    <w:p>
      <w:pPr>
        <w:spacing w:after="0" w:line="372"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USE OF PROCEEDS</w:t>
      </w:r>
    </w:p>
    <w:p>
      <w:pPr>
        <w:spacing w:after="0" w:line="372"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The net proceeds to the Company from the sale of Shares being offered by it in this Offering, after deducting underwriting discounts and the estimated expenses of this Offering, are estimated to be $92.8 million, assuming a public offering price of $24.375 per share ($108.2 million if the Underwriter's over-allotment option is exercised in full). Such proceeds will be used by the Company for the repayment of borrowings under the Company's revolving credit facility, which totaled approximately $169 million as of May 30, 1996, which were incurred to fund the purchases of Northwest Texas Health and the advance to the seller of the First Hospital Properties. Borrowings under the Company's revolving credit facility bear interest at either (i) the prime rate or the sum of the certificate of deposit rate and between 0.625% to 1.125%; or (ii) in the case of Eurodollar loans, the sum of the Eurodollar rate and between 0.500% to 1.000%. The revolving credit facility matures in March 2000. After application of the proceeds from this Offering, $148.8 million will be available to the Company under the revolving credit facility. The Company expects to borrow under the revolving credit facility as needed in connection with acquisitions, although the Company has no understandings or agreements with respect to any such acquisitions, and other corporate purposes. Morgan Guaranty Trust Company of New York, an affiliate of J.P. Morgan Securities Inc., is the lead lender under the Company's revolving credit facility. Approximately 18% of the net proceeds of this Offering will be used to repay Morgan Guaranty Trust Company of New York. See "Underwriting."</w:t>
      </w:r>
    </w:p>
    <w:p>
      <w:pPr>
        <w:spacing w:after="0" w:line="37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481" w:right="1440" w:bottom="1440" w:gutter="0" w:footer="0" w:header="0"/>
        </w:sectPr>
      </w:pPr>
    </w:p>
    <w:bookmarkStart w:id="13" w:name="page14"/>
    <w:bookmarkEnd w:id="13"/>
    <w:p>
      <w:pPr>
        <w:ind w:left="3140"/>
        <w:spacing w:after="0"/>
        <w:rPr>
          <w:sz w:val="20"/>
          <w:szCs w:val="20"/>
          <w:color w:val="auto"/>
        </w:rPr>
      </w:pPr>
      <w:r>
        <w:rPr>
          <w:rFonts w:ascii="Courier New" w:cs="Courier New" w:eastAsia="Courier New" w:hAnsi="Courier New"/>
          <w:sz w:val="16"/>
          <w:szCs w:val="16"/>
          <w:color w:val="auto"/>
        </w:rPr>
        <w:t>CAPITALIZATION</w:t>
      </w:r>
    </w:p>
    <w:p>
      <w:pPr>
        <w:spacing w:after="0" w:line="372" w:lineRule="exact"/>
        <w:rPr>
          <w:sz w:val="20"/>
          <w:szCs w:val="20"/>
          <w:color w:val="auto"/>
        </w:rPr>
      </w:pPr>
    </w:p>
    <w:p>
      <w:pPr>
        <w:ind w:right="2779" w:firstLine="382"/>
        <w:spacing w:after="0" w:line="242" w:lineRule="auto"/>
        <w:rPr>
          <w:sz w:val="20"/>
          <w:szCs w:val="20"/>
          <w:color w:val="auto"/>
        </w:rPr>
      </w:pPr>
      <w:r>
        <w:rPr>
          <w:rFonts w:ascii="Courier New" w:cs="Courier New" w:eastAsia="Courier New" w:hAnsi="Courier New"/>
          <w:sz w:val="16"/>
          <w:szCs w:val="16"/>
          <w:color w:val="auto"/>
        </w:rPr>
        <w:t>The following table sets forth the capitalization of the Company at March 31, 1996, and such capitalization, as adjusted to give effect to the acquisitions of Northwest Texas Health and the First Hospital Properties, the sale of the Shares offered hereby (assuming a public offering price of $24.375 per share) and the application of the net proceeds therefrom as described in "Use of Proceeds."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MARCH 31, 1996</w:t>
            </w:r>
          </w:p>
        </w:tc>
      </w:tr>
      <w:tr>
        <w:trPr>
          <w:trHeight w:val="183"/>
        </w:trPr>
        <w:tc>
          <w:tcPr>
            <w:tcW w:w="6920" w:type="dxa"/>
            <w:vAlign w:val="bottom"/>
          </w:tcPr>
          <w:p>
            <w:pPr>
              <w:spacing w:after="0"/>
              <w:rPr>
                <w:sz w:val="15"/>
                <w:szCs w:val="15"/>
                <w:color w:val="auto"/>
              </w:rPr>
            </w:pPr>
          </w:p>
        </w:tc>
        <w:tc>
          <w:tcPr>
            <w:tcW w:w="20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AS</w:t>
            </w:r>
          </w:p>
        </w:tc>
      </w:tr>
      <w:tr>
        <w:trPr>
          <w:trHeight w:val="183"/>
        </w:trPr>
        <w:tc>
          <w:tcPr>
            <w:tcW w:w="6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3"/>
              </w:rPr>
              <w:t>ACTUAL</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ADJUSTED</w:t>
            </w:r>
          </w:p>
        </w:tc>
      </w:tr>
      <w:tr>
        <w:trPr>
          <w:trHeight w:val="183"/>
        </w:trPr>
        <w:tc>
          <w:tcPr>
            <w:tcW w:w="6920" w:type="dxa"/>
            <w:vAlign w:val="bottom"/>
          </w:tcPr>
          <w:p>
            <w:pPr>
              <w:spacing w:after="0"/>
              <w:rPr>
                <w:sz w:val="15"/>
                <w:szCs w:val="15"/>
                <w:color w:val="auto"/>
              </w:rPr>
            </w:pPr>
          </w:p>
        </w:tc>
        <w:tc>
          <w:tcPr>
            <w:tcW w:w="10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(IN THOUSANDS)</w:t>
            </w:r>
          </w:p>
        </w:tc>
      </w:tr>
      <w:tr>
        <w:trPr>
          <w:trHeight w:val="367"/>
        </w:trPr>
        <w:tc>
          <w:tcPr>
            <w:tcW w:w="6920" w:type="dxa"/>
            <w:vAlign w:val="bottom"/>
          </w:tcPr>
          <w:p>
            <w:pPr>
              <w:spacing w:after="0"/>
              <w:rPr>
                <w:sz w:val="20"/>
                <w:szCs w:val="20"/>
                <w:color w:val="auto"/>
              </w:rPr>
            </w:pPr>
            <w:r>
              <w:rPr>
                <w:rFonts w:ascii="Courier New" w:cs="Courier New" w:eastAsia="Courier New" w:hAnsi="Courier New"/>
                <w:sz w:val="16"/>
                <w:szCs w:val="16"/>
                <w:color w:val="auto"/>
              </w:rPr>
              <w:t>Long-Term Debt, net of current portion:</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3"/>
        </w:trPr>
        <w:tc>
          <w:tcPr>
            <w:tcW w:w="6920" w:type="dxa"/>
            <w:vAlign w:val="bottom"/>
          </w:tcPr>
          <w:p>
            <w:pPr>
              <w:spacing w:after="0"/>
              <w:rPr>
                <w:sz w:val="20"/>
                <w:szCs w:val="20"/>
                <w:color w:val="auto"/>
              </w:rPr>
            </w:pPr>
            <w:r>
              <w:rPr>
                <w:rFonts w:ascii="Courier New" w:cs="Courier New" w:eastAsia="Courier New" w:hAnsi="Courier New"/>
                <w:sz w:val="16"/>
                <w:szCs w:val="16"/>
                <w:color w:val="auto"/>
              </w:rPr>
              <w:t>Notes payable (including obligations under capitalized leases of</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6920" w:type="dxa"/>
            <w:vAlign w:val="bottom"/>
          </w:tcPr>
          <w:p>
            <w:pPr>
              <w:ind w:left="180"/>
              <w:spacing w:after="0"/>
              <w:rPr>
                <w:sz w:val="20"/>
                <w:szCs w:val="20"/>
                <w:color w:val="auto"/>
              </w:rPr>
            </w:pPr>
            <w:r>
              <w:rPr>
                <w:rFonts w:ascii="Courier New" w:cs="Courier New" w:eastAsia="Courier New" w:hAnsi="Courier New"/>
                <w:sz w:val="16"/>
                <w:szCs w:val="16"/>
                <w:color w:val="auto"/>
              </w:rPr>
              <w:t>$12,903 at March 31, 1996) with varying maturities through 2001......</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18,575</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$ 18,575</w:t>
            </w:r>
          </w:p>
        </w:tc>
      </w:tr>
      <w:tr>
        <w:trPr>
          <w:trHeight w:val="183"/>
        </w:trPr>
        <w:tc>
          <w:tcPr>
            <w:tcW w:w="6920" w:type="dxa"/>
            <w:vAlign w:val="bottom"/>
          </w:tcPr>
          <w:p>
            <w:pPr>
              <w:spacing w:after="0"/>
              <w:rPr>
                <w:sz w:val="20"/>
                <w:szCs w:val="20"/>
                <w:color w:val="auto"/>
              </w:rPr>
            </w:pPr>
            <w:r>
              <w:rPr>
                <w:rFonts w:ascii="Courier New" w:cs="Courier New" w:eastAsia="Courier New" w:hAnsi="Courier New"/>
                <w:sz w:val="16"/>
                <w:szCs w:val="16"/>
                <w:color w:val="auto"/>
              </w:rPr>
              <w:t>Mortgages payable, with varying maturities through 2000................</w:t>
            </w:r>
          </w:p>
        </w:tc>
        <w:tc>
          <w:tcPr>
            <w:tcW w:w="24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2,069</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2,069</w:t>
            </w:r>
          </w:p>
        </w:tc>
      </w:tr>
      <w:tr>
        <w:trPr>
          <w:trHeight w:val="183"/>
        </w:trPr>
        <w:tc>
          <w:tcPr>
            <w:tcW w:w="6920" w:type="dxa"/>
            <w:vAlign w:val="bottom"/>
          </w:tcPr>
          <w:p>
            <w:pPr>
              <w:spacing w:after="0"/>
              <w:rPr>
                <w:sz w:val="20"/>
                <w:szCs w:val="20"/>
                <w:color w:val="auto"/>
              </w:rPr>
            </w:pPr>
            <w:r>
              <w:rPr>
                <w:rFonts w:ascii="Courier New" w:cs="Courier New" w:eastAsia="Courier New" w:hAnsi="Courier New"/>
                <w:sz w:val="16"/>
                <w:szCs w:val="16"/>
                <w:color w:val="auto"/>
              </w:rPr>
              <w:t>Revolving credit and demand notes......................................</w:t>
            </w:r>
          </w:p>
        </w:tc>
        <w:tc>
          <w:tcPr>
            <w:tcW w:w="24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14,575</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90,820</w:t>
            </w:r>
          </w:p>
        </w:tc>
      </w:tr>
      <w:tr>
        <w:trPr>
          <w:trHeight w:val="183"/>
        </w:trPr>
        <w:tc>
          <w:tcPr>
            <w:tcW w:w="6920" w:type="dxa"/>
            <w:vAlign w:val="bottom"/>
          </w:tcPr>
          <w:p>
            <w:pPr>
              <w:spacing w:after="0"/>
              <w:rPr>
                <w:sz w:val="20"/>
                <w:szCs w:val="20"/>
                <w:color w:val="auto"/>
              </w:rPr>
            </w:pPr>
            <w:r>
              <w:rPr>
                <w:rFonts w:ascii="Courier New" w:cs="Courier New" w:eastAsia="Courier New" w:hAnsi="Courier New"/>
                <w:sz w:val="16"/>
                <w:szCs w:val="16"/>
                <w:color w:val="auto"/>
              </w:rPr>
              <w:t>Commercial paper.......................................................</w:t>
            </w:r>
          </w:p>
        </w:tc>
        <w:tc>
          <w:tcPr>
            <w:tcW w:w="24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50,000</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50,000</w:t>
            </w:r>
          </w:p>
        </w:tc>
      </w:tr>
      <w:tr>
        <w:trPr>
          <w:trHeight w:val="183"/>
        </w:trPr>
        <w:tc>
          <w:tcPr>
            <w:tcW w:w="6920" w:type="dxa"/>
            <w:vAlign w:val="bottom"/>
          </w:tcPr>
          <w:p>
            <w:pPr>
              <w:spacing w:after="0"/>
              <w:rPr>
                <w:sz w:val="20"/>
                <w:szCs w:val="20"/>
                <w:color w:val="auto"/>
              </w:rPr>
            </w:pPr>
            <w:r>
              <w:rPr>
                <w:rFonts w:ascii="Courier New" w:cs="Courier New" w:eastAsia="Courier New" w:hAnsi="Courier New"/>
                <w:sz w:val="16"/>
                <w:szCs w:val="16"/>
                <w:color w:val="auto"/>
              </w:rPr>
              <w:t>Revenue bonds:</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69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with varying maturities through 2015...............................</w:t>
            </w:r>
          </w:p>
        </w:tc>
        <w:tc>
          <w:tcPr>
            <w:tcW w:w="24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18,200</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18,200</w:t>
            </w:r>
          </w:p>
        </w:tc>
      </w:tr>
      <w:tr>
        <w:trPr>
          <w:trHeight w:val="183"/>
        </w:trPr>
        <w:tc>
          <w:tcPr>
            <w:tcW w:w="6920" w:type="dxa"/>
            <w:vAlign w:val="bottom"/>
          </w:tcPr>
          <w:p>
            <w:pPr>
              <w:spacing w:after="0"/>
              <w:rPr>
                <w:sz w:val="20"/>
                <w:szCs w:val="20"/>
                <w:color w:val="auto"/>
              </w:rPr>
            </w:pPr>
            <w:r>
              <w:rPr>
                <w:rFonts w:ascii="Courier New" w:cs="Courier New" w:eastAsia="Courier New" w:hAnsi="Courier New"/>
                <w:sz w:val="16"/>
                <w:szCs w:val="16"/>
                <w:color w:val="auto"/>
              </w:rPr>
              <w:t>8 3/4% Senior Notes due 2005, net of unamortized discount of $1,038....</w:t>
            </w:r>
          </w:p>
        </w:tc>
        <w:tc>
          <w:tcPr>
            <w:tcW w:w="24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5"/>
              </w:rPr>
              <w:t>133,962</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133,962</w:t>
            </w:r>
          </w:p>
        </w:tc>
      </w:tr>
      <w:tr>
        <w:trPr>
          <w:trHeight w:val="183"/>
        </w:trPr>
        <w:tc>
          <w:tcPr>
            <w:tcW w:w="6920" w:type="dxa"/>
            <w:vAlign w:val="bottom"/>
          </w:tcPr>
          <w:p>
            <w:pPr>
              <w:spacing w:after="0"/>
              <w:rPr>
                <w:sz w:val="15"/>
                <w:szCs w:val="15"/>
                <w:color w:val="auto"/>
              </w:rPr>
            </w:pPr>
          </w:p>
        </w:tc>
        <w:tc>
          <w:tcPr>
            <w:tcW w:w="10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920" w:type="dxa"/>
            <w:vAlign w:val="bottom"/>
          </w:tcPr>
          <w:p>
            <w:pPr>
              <w:ind w:left="580"/>
              <w:spacing w:after="0"/>
              <w:rPr>
                <w:sz w:val="20"/>
                <w:szCs w:val="20"/>
                <w:color w:val="auto"/>
              </w:rPr>
            </w:pPr>
            <w:r>
              <w:rPr>
                <w:rFonts w:ascii="Courier New" w:cs="Courier New" w:eastAsia="Courier New" w:hAnsi="Courier New"/>
                <w:sz w:val="16"/>
                <w:szCs w:val="16"/>
                <w:color w:val="auto"/>
              </w:rPr>
              <w:t>Total Long-Term Debt.............................................</w:t>
            </w:r>
          </w:p>
        </w:tc>
        <w:tc>
          <w:tcPr>
            <w:tcW w:w="24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5"/>
              </w:rPr>
              <w:t>237,381</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313,626</w:t>
            </w:r>
          </w:p>
        </w:tc>
      </w:tr>
      <w:tr>
        <w:trPr>
          <w:trHeight w:val="183"/>
        </w:trPr>
        <w:tc>
          <w:tcPr>
            <w:tcW w:w="69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Less: Amounts due within one year..............................</w:t>
            </w:r>
          </w:p>
        </w:tc>
        <w:tc>
          <w:tcPr>
            <w:tcW w:w="24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6,980</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6,980</w:t>
            </w:r>
          </w:p>
        </w:tc>
      </w:tr>
      <w:tr>
        <w:trPr>
          <w:trHeight w:val="183"/>
        </w:trPr>
        <w:tc>
          <w:tcPr>
            <w:tcW w:w="6920" w:type="dxa"/>
            <w:vAlign w:val="bottom"/>
          </w:tcPr>
          <w:p>
            <w:pPr>
              <w:spacing w:after="0"/>
              <w:rPr>
                <w:sz w:val="15"/>
                <w:szCs w:val="15"/>
                <w:color w:val="auto"/>
              </w:rPr>
            </w:pPr>
          </w:p>
        </w:tc>
        <w:tc>
          <w:tcPr>
            <w:tcW w:w="10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92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5"/>
              </w:rPr>
              <w:t>230,401</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$306,646</w:t>
            </w:r>
          </w:p>
        </w:tc>
      </w:tr>
      <w:tr>
        <w:trPr>
          <w:trHeight w:val="183"/>
        </w:trPr>
        <w:tc>
          <w:tcPr>
            <w:tcW w:w="6920" w:type="dxa"/>
            <w:vAlign w:val="bottom"/>
          </w:tcPr>
          <w:p>
            <w:pPr>
              <w:spacing w:after="0"/>
              <w:rPr>
                <w:sz w:val="15"/>
                <w:szCs w:val="15"/>
                <w:color w:val="auto"/>
              </w:rPr>
            </w:pPr>
          </w:p>
        </w:tc>
        <w:tc>
          <w:tcPr>
            <w:tcW w:w="10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920" w:type="dxa"/>
            <w:vAlign w:val="bottom"/>
          </w:tcPr>
          <w:p>
            <w:pPr>
              <w:spacing w:after="0"/>
              <w:rPr>
                <w:sz w:val="20"/>
                <w:szCs w:val="20"/>
                <w:color w:val="auto"/>
              </w:rPr>
            </w:pPr>
            <w:r>
              <w:rPr>
                <w:rFonts w:ascii="Courier New" w:cs="Courier New" w:eastAsia="Courier New" w:hAnsi="Courier New"/>
                <w:sz w:val="16"/>
                <w:szCs w:val="16"/>
                <w:color w:val="auto"/>
              </w:rPr>
              <w:t>Common Stockholders' Equity:</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6920" w:type="dxa"/>
            <w:vAlign w:val="bottom"/>
          </w:tcPr>
          <w:p>
            <w:pPr>
              <w:spacing w:after="0"/>
              <w:rPr>
                <w:sz w:val="20"/>
                <w:szCs w:val="20"/>
                <w:color w:val="auto"/>
              </w:rPr>
            </w:pPr>
            <w:r>
              <w:rPr>
                <w:rFonts w:ascii="Courier New" w:cs="Courier New" w:eastAsia="Courier New" w:hAnsi="Courier New"/>
                <w:sz w:val="16"/>
                <w:szCs w:val="16"/>
                <w:color w:val="auto"/>
              </w:rPr>
              <w:t>Class A Common Stock, voting, $.01 par value; authorized 12,000,000</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6920" w:type="dxa"/>
            <w:vAlign w:val="bottom"/>
          </w:tcPr>
          <w:p>
            <w:pPr>
              <w:ind w:left="180"/>
              <w:spacing w:after="0"/>
              <w:rPr>
                <w:sz w:val="20"/>
                <w:szCs w:val="20"/>
                <w:color w:val="auto"/>
              </w:rPr>
            </w:pPr>
            <w:r>
              <w:rPr>
                <w:rFonts w:ascii="Courier New" w:cs="Courier New" w:eastAsia="Courier New" w:hAnsi="Courier New"/>
                <w:sz w:val="16"/>
                <w:szCs w:val="16"/>
                <w:color w:val="auto"/>
              </w:rPr>
              <w:t>shares; issued and outstanding 2,181,054 shares at March 31, 1996;</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6920" w:type="dxa"/>
            <w:vAlign w:val="bottom"/>
          </w:tcPr>
          <w:p>
            <w:pPr>
              <w:ind w:left="180"/>
              <w:spacing w:after="0"/>
              <w:rPr>
                <w:sz w:val="20"/>
                <w:szCs w:val="20"/>
                <w:color w:val="auto"/>
              </w:rPr>
            </w:pPr>
            <w:r>
              <w:rPr>
                <w:rFonts w:ascii="Courier New" w:cs="Courier New" w:eastAsia="Courier New" w:hAnsi="Courier New"/>
                <w:sz w:val="16"/>
                <w:szCs w:val="16"/>
                <w:color w:val="auto"/>
              </w:rPr>
              <w:t>1,867,572 shares issued and oustanding, as adjusted..................</w:t>
            </w:r>
          </w:p>
        </w:tc>
        <w:tc>
          <w:tcPr>
            <w:tcW w:w="24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22</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19</w:t>
            </w:r>
          </w:p>
        </w:tc>
      </w:tr>
      <w:tr>
        <w:trPr>
          <w:trHeight w:val="183"/>
        </w:trPr>
        <w:tc>
          <w:tcPr>
            <w:tcW w:w="6920" w:type="dxa"/>
            <w:vAlign w:val="bottom"/>
          </w:tcPr>
          <w:p>
            <w:pPr>
              <w:spacing w:after="0"/>
              <w:rPr>
                <w:sz w:val="20"/>
                <w:szCs w:val="20"/>
                <w:color w:val="auto"/>
              </w:rPr>
            </w:pPr>
            <w:r>
              <w:rPr>
                <w:rFonts w:ascii="Courier New" w:cs="Courier New" w:eastAsia="Courier New" w:hAnsi="Courier New"/>
                <w:sz w:val="16"/>
                <w:szCs w:val="16"/>
                <w:color w:val="auto"/>
              </w:rPr>
              <w:t>Class B Common Stock, limited voting, $.01 par value; authorized</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6920" w:type="dxa"/>
            <w:vAlign w:val="bottom"/>
          </w:tcPr>
          <w:p>
            <w:pPr>
              <w:ind w:left="180"/>
              <w:spacing w:after="0"/>
              <w:rPr>
                <w:sz w:val="20"/>
                <w:szCs w:val="20"/>
                <w:color w:val="auto"/>
              </w:rPr>
            </w:pPr>
            <w:r>
              <w:rPr>
                <w:rFonts w:ascii="Courier New" w:cs="Courier New" w:eastAsia="Courier New" w:hAnsi="Courier New"/>
                <w:sz w:val="16"/>
                <w:szCs w:val="16"/>
                <w:color w:val="auto"/>
              </w:rPr>
              <w:t>50,000,000 shares; issued and outstanding 25,480,886 shares at March</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6920" w:type="dxa"/>
            <w:vAlign w:val="bottom"/>
          </w:tcPr>
          <w:p>
            <w:pPr>
              <w:ind w:left="180"/>
              <w:spacing w:after="0"/>
              <w:rPr>
                <w:sz w:val="20"/>
                <w:szCs w:val="20"/>
                <w:color w:val="auto"/>
              </w:rPr>
            </w:pPr>
            <w:r>
              <w:rPr>
                <w:rFonts w:ascii="Courier New" w:cs="Courier New" w:eastAsia="Courier New" w:hAnsi="Courier New"/>
                <w:sz w:val="16"/>
                <w:szCs w:val="16"/>
                <w:color w:val="auto"/>
              </w:rPr>
              <w:t>31, 1996; 29,825,716 shares issued and outstanding, as adjusted......</w:t>
            </w:r>
          </w:p>
        </w:tc>
        <w:tc>
          <w:tcPr>
            <w:tcW w:w="24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255</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298</w:t>
            </w:r>
          </w:p>
        </w:tc>
      </w:tr>
      <w:tr>
        <w:trPr>
          <w:trHeight w:val="183"/>
        </w:trPr>
        <w:tc>
          <w:tcPr>
            <w:tcW w:w="6920" w:type="dxa"/>
            <w:vAlign w:val="bottom"/>
          </w:tcPr>
          <w:p>
            <w:pPr>
              <w:spacing w:after="0"/>
              <w:rPr>
                <w:sz w:val="20"/>
                <w:szCs w:val="20"/>
                <w:color w:val="auto"/>
              </w:rPr>
            </w:pPr>
            <w:r>
              <w:rPr>
                <w:rFonts w:ascii="Courier New" w:cs="Courier New" w:eastAsia="Courier New" w:hAnsi="Courier New"/>
                <w:sz w:val="16"/>
                <w:szCs w:val="16"/>
                <w:color w:val="auto"/>
              </w:rPr>
              <w:t>Class C Common Stock, voting, $.01 par value; authorized 1,200,000</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6920" w:type="dxa"/>
            <w:vAlign w:val="bottom"/>
          </w:tcPr>
          <w:p>
            <w:pPr>
              <w:ind w:left="180"/>
              <w:spacing w:after="0"/>
              <w:rPr>
                <w:sz w:val="20"/>
                <w:szCs w:val="20"/>
                <w:color w:val="auto"/>
              </w:rPr>
            </w:pPr>
            <w:r>
              <w:rPr>
                <w:rFonts w:ascii="Courier New" w:cs="Courier New" w:eastAsia="Courier New" w:hAnsi="Courier New"/>
                <w:sz w:val="16"/>
                <w:szCs w:val="16"/>
                <w:color w:val="auto"/>
              </w:rPr>
              <w:t>shares; issued and outstanding 219,244 shares at March 31, 1996;</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6920" w:type="dxa"/>
            <w:vAlign w:val="bottom"/>
          </w:tcPr>
          <w:p>
            <w:pPr>
              <w:ind w:left="180"/>
              <w:spacing w:after="0"/>
              <w:rPr>
                <w:sz w:val="20"/>
                <w:szCs w:val="20"/>
                <w:color w:val="auto"/>
              </w:rPr>
            </w:pPr>
            <w:r>
              <w:rPr>
                <w:rFonts w:ascii="Courier New" w:cs="Courier New" w:eastAsia="Courier New" w:hAnsi="Courier New"/>
                <w:sz w:val="16"/>
                <w:szCs w:val="16"/>
                <w:color w:val="auto"/>
              </w:rPr>
              <w:t>187,896 shares issued and outstanding, as adjusted...................</w:t>
            </w:r>
          </w:p>
        </w:tc>
        <w:tc>
          <w:tcPr>
            <w:tcW w:w="24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183"/>
        </w:trPr>
        <w:tc>
          <w:tcPr>
            <w:tcW w:w="6920" w:type="dxa"/>
            <w:vAlign w:val="bottom"/>
          </w:tcPr>
          <w:p>
            <w:pPr>
              <w:spacing w:after="0"/>
              <w:rPr>
                <w:sz w:val="20"/>
                <w:szCs w:val="20"/>
                <w:color w:val="auto"/>
              </w:rPr>
            </w:pPr>
            <w:r>
              <w:rPr>
                <w:rFonts w:ascii="Courier New" w:cs="Courier New" w:eastAsia="Courier New" w:hAnsi="Courier New"/>
                <w:sz w:val="16"/>
                <w:szCs w:val="16"/>
                <w:color w:val="auto"/>
              </w:rPr>
              <w:t>Class D Common Stock, limited voting, $.01 par value; authorized</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6920" w:type="dxa"/>
            <w:vAlign w:val="bottom"/>
          </w:tcPr>
          <w:p>
            <w:pPr>
              <w:ind w:left="180"/>
              <w:spacing w:after="0"/>
              <w:rPr>
                <w:sz w:val="20"/>
                <w:szCs w:val="20"/>
                <w:color w:val="auto"/>
              </w:rPr>
            </w:pPr>
            <w:r>
              <w:rPr>
                <w:rFonts w:ascii="Courier New" w:cs="Courier New" w:eastAsia="Courier New" w:hAnsi="Courier New"/>
                <w:sz w:val="16"/>
                <w:szCs w:val="16"/>
                <w:color w:val="auto"/>
              </w:rPr>
              <w:t>5,000,000 shares; issued and outstanding 40,632 shares at March 31,</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6920" w:type="dxa"/>
            <w:vAlign w:val="bottom"/>
          </w:tcPr>
          <w:p>
            <w:pPr>
              <w:ind w:left="180"/>
              <w:spacing w:after="0"/>
              <w:rPr>
                <w:sz w:val="20"/>
                <w:szCs w:val="20"/>
                <w:color w:val="auto"/>
              </w:rPr>
            </w:pPr>
            <w:r>
              <w:rPr>
                <w:rFonts w:ascii="Courier New" w:cs="Courier New" w:eastAsia="Courier New" w:hAnsi="Courier New"/>
                <w:sz w:val="16"/>
                <w:szCs w:val="16"/>
                <w:color w:val="auto"/>
              </w:rPr>
              <w:t>1996; 40,632 shares issued and oustanding, as adjusted...............</w:t>
            </w:r>
          </w:p>
        </w:tc>
        <w:tc>
          <w:tcPr>
            <w:tcW w:w="24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r>
      <w:tr>
        <w:trPr>
          <w:trHeight w:val="183"/>
        </w:trPr>
        <w:tc>
          <w:tcPr>
            <w:tcW w:w="6920" w:type="dxa"/>
            <w:vAlign w:val="bottom"/>
          </w:tcPr>
          <w:p>
            <w:pPr>
              <w:spacing w:after="0"/>
              <w:rPr>
                <w:sz w:val="20"/>
                <w:szCs w:val="20"/>
                <w:color w:val="auto"/>
              </w:rPr>
            </w:pPr>
            <w:r>
              <w:rPr>
                <w:rFonts w:ascii="Courier New" w:cs="Courier New" w:eastAsia="Courier New" w:hAnsi="Courier New"/>
                <w:sz w:val="16"/>
                <w:szCs w:val="16"/>
                <w:color w:val="auto"/>
              </w:rPr>
              <w:t>Capital in excess of par value, net of deferred compensation of $516 at</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6920" w:type="dxa"/>
            <w:vAlign w:val="bottom"/>
          </w:tcPr>
          <w:p>
            <w:pPr>
              <w:ind w:left="180"/>
              <w:spacing w:after="0"/>
              <w:rPr>
                <w:sz w:val="20"/>
                <w:szCs w:val="20"/>
                <w:color w:val="auto"/>
              </w:rPr>
            </w:pPr>
            <w:r>
              <w:rPr>
                <w:rFonts w:ascii="Courier New" w:cs="Courier New" w:eastAsia="Courier New" w:hAnsi="Courier New"/>
                <w:sz w:val="16"/>
                <w:szCs w:val="16"/>
                <w:color w:val="auto"/>
              </w:rPr>
              <w:t>March 31, 1996.......................................................</w:t>
            </w:r>
          </w:p>
        </w:tc>
        <w:tc>
          <w:tcPr>
            <w:tcW w:w="24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92,366</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185,146</w:t>
            </w:r>
          </w:p>
        </w:tc>
      </w:tr>
      <w:tr>
        <w:trPr>
          <w:trHeight w:val="183"/>
        </w:trPr>
        <w:tc>
          <w:tcPr>
            <w:tcW w:w="6920" w:type="dxa"/>
            <w:vAlign w:val="bottom"/>
          </w:tcPr>
          <w:p>
            <w:pPr>
              <w:spacing w:after="0"/>
              <w:rPr>
                <w:sz w:val="20"/>
                <w:szCs w:val="20"/>
                <w:color w:val="auto"/>
              </w:rPr>
            </w:pPr>
            <w:r>
              <w:rPr>
                <w:rFonts w:ascii="Courier New" w:cs="Courier New" w:eastAsia="Courier New" w:hAnsi="Courier New"/>
                <w:sz w:val="16"/>
                <w:szCs w:val="16"/>
                <w:color w:val="auto"/>
              </w:rPr>
              <w:t>Retained earnings......................................................</w:t>
            </w:r>
          </w:p>
        </w:tc>
        <w:tc>
          <w:tcPr>
            <w:tcW w:w="24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5"/>
              </w:rPr>
              <w:t>223,181</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223,181</w:t>
            </w:r>
          </w:p>
        </w:tc>
      </w:tr>
      <w:tr>
        <w:trPr>
          <w:trHeight w:val="183"/>
        </w:trPr>
        <w:tc>
          <w:tcPr>
            <w:tcW w:w="6920" w:type="dxa"/>
            <w:vAlign w:val="bottom"/>
          </w:tcPr>
          <w:p>
            <w:pPr>
              <w:spacing w:after="0"/>
              <w:rPr>
                <w:sz w:val="15"/>
                <w:szCs w:val="15"/>
                <w:color w:val="auto"/>
              </w:rPr>
            </w:pPr>
          </w:p>
        </w:tc>
        <w:tc>
          <w:tcPr>
            <w:tcW w:w="10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920" w:type="dxa"/>
            <w:vAlign w:val="bottom"/>
          </w:tcPr>
          <w:p>
            <w:pPr>
              <w:ind w:left="580"/>
              <w:spacing w:after="0"/>
              <w:rPr>
                <w:sz w:val="20"/>
                <w:szCs w:val="20"/>
                <w:color w:val="auto"/>
              </w:rPr>
            </w:pPr>
            <w:r>
              <w:rPr>
                <w:rFonts w:ascii="Courier New" w:cs="Courier New" w:eastAsia="Courier New" w:hAnsi="Courier New"/>
                <w:sz w:val="16"/>
                <w:szCs w:val="16"/>
                <w:color w:val="auto"/>
              </w:rPr>
              <w:t>Total Stockholders' Equity</w:t>
            </w:r>
          </w:p>
        </w:tc>
        <w:tc>
          <w:tcPr>
            <w:tcW w:w="24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5"/>
              </w:rPr>
              <w:t>315,826</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408,646</w:t>
            </w:r>
          </w:p>
        </w:tc>
      </w:tr>
      <w:tr>
        <w:trPr>
          <w:trHeight w:val="183"/>
        </w:trPr>
        <w:tc>
          <w:tcPr>
            <w:tcW w:w="6920" w:type="dxa"/>
            <w:vAlign w:val="bottom"/>
          </w:tcPr>
          <w:p>
            <w:pPr>
              <w:spacing w:after="0"/>
              <w:rPr>
                <w:sz w:val="15"/>
                <w:szCs w:val="15"/>
                <w:color w:val="auto"/>
              </w:rPr>
            </w:pPr>
          </w:p>
        </w:tc>
        <w:tc>
          <w:tcPr>
            <w:tcW w:w="10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920" w:type="dxa"/>
            <w:vAlign w:val="bottom"/>
          </w:tcPr>
          <w:p>
            <w:pPr>
              <w:ind w:left="580"/>
              <w:spacing w:after="0"/>
              <w:rPr>
                <w:sz w:val="20"/>
                <w:szCs w:val="20"/>
                <w:color w:val="auto"/>
              </w:rPr>
            </w:pPr>
            <w:r>
              <w:rPr>
                <w:rFonts w:ascii="Courier New" w:cs="Courier New" w:eastAsia="Courier New" w:hAnsi="Courier New"/>
                <w:sz w:val="16"/>
                <w:szCs w:val="16"/>
                <w:color w:val="auto"/>
              </w:rPr>
              <w:t>Total Capitalization</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5"/>
              </w:rPr>
              <w:t>553,207</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$722,272</w:t>
            </w:r>
          </w:p>
        </w:tc>
      </w:tr>
      <w:tr>
        <w:trPr>
          <w:trHeight w:val="183"/>
        </w:trPr>
        <w:tc>
          <w:tcPr>
            <w:tcW w:w="6920" w:type="dxa"/>
            <w:vAlign w:val="bottom"/>
          </w:tcPr>
          <w:p>
            <w:pPr>
              <w:spacing w:after="0"/>
              <w:rPr>
                <w:sz w:val="15"/>
                <w:szCs w:val="15"/>
                <w:color w:val="auto"/>
              </w:rPr>
            </w:pPr>
          </w:p>
        </w:tc>
        <w:tc>
          <w:tcPr>
            <w:tcW w:w="10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920" w:type="dxa"/>
            <w:vAlign w:val="bottom"/>
          </w:tcPr>
          <w:p>
            <w:pPr>
              <w:spacing w:after="0"/>
              <w:rPr>
                <w:sz w:val="15"/>
                <w:szCs w:val="15"/>
                <w:color w:val="auto"/>
              </w:rPr>
            </w:pPr>
          </w:p>
        </w:tc>
        <w:tc>
          <w:tcPr>
            <w:tcW w:w="10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734"/>
        </w:trPr>
        <w:tc>
          <w:tcPr>
            <w:tcW w:w="6920" w:type="dxa"/>
            <w:vAlign w:val="bottom"/>
          </w:tcPr>
          <w:p>
            <w:pPr>
              <w:ind w:left="3720"/>
              <w:spacing w:after="0"/>
              <w:rPr>
                <w:sz w:val="20"/>
                <w:szCs w:val="20"/>
                <w:color w:val="auto"/>
              </w:rPr>
            </w:pPr>
            <w:r>
              <w:rPr>
                <w:rFonts w:ascii="Courier New" w:cs="Courier New" w:eastAsia="Courier New" w:hAnsi="Courier New"/>
                <w:sz w:val="16"/>
                <w:szCs w:val="16"/>
                <w:color w:val="auto"/>
              </w:rPr>
              <w:t>10</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0219"/>
          </w:cols>
          <w:pgMar w:left="240" w:top="481" w:right="1440" w:bottom="1440" w:gutter="0" w:footer="0" w:header="0"/>
        </w:sectPr>
      </w:pPr>
    </w:p>
    <w:bookmarkStart w:id="14" w:name="page15"/>
    <w:bookmarkEnd w:id="14"/>
    <w:p>
      <w:pPr>
        <w:ind w:left="2280"/>
        <w:spacing w:after="0"/>
        <w:rPr>
          <w:sz w:val="20"/>
          <w:szCs w:val="20"/>
          <w:color w:val="auto"/>
        </w:rPr>
      </w:pPr>
      <w:r>
        <w:rPr>
          <w:rFonts w:ascii="Courier New" w:cs="Courier New" w:eastAsia="Courier New" w:hAnsi="Courier New"/>
          <w:sz w:val="16"/>
          <w:szCs w:val="16"/>
          <w:color w:val="auto"/>
        </w:rPr>
        <w:t>PRO FORMA FINANCIAL INFORMATION</w:t>
      </w:r>
    </w:p>
    <w:p>
      <w:pPr>
        <w:spacing w:after="0" w:line="188"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The Company has entered into an agreement to purchase (i) substantially all of the assets and operations of four behavioral health centers located in Pennsylvania; (ii) management contracts for seven other behavioral health centers; and (iii) 33 acres of land adjacent to the Company's Wellington Regional Medical Center, for $36.5 million and up to an additional $5 million which is contingent upon the future operating performance of the acquired assets. In May 1996, the Company advanced $36.5 million to the seller pursuant to a term note, which is secured by the stock of the subsidiaries to be acquired by the Company. The term note matures upon the earlier of the granting of regulatory approval and the closing of the purchase transaction, or October 31, 1996. Also in connection with this transaction, the Company entered into a $7 million loan agreement which is secured by the stock of the subsidiaries to be acquired by the Company. The $7 million note, the term of which may be extended upon closing of the above mentioned purchase transaction, is scheduled to mature upon the earlier of the granting of regulatory approval and the closing of the purchase transaction described above, or October 31, 1996. See "Management's Discussion and Analysis of Financial Condition and Results of Operations--Liquidity and Capital Resources."</w:t>
      </w:r>
    </w:p>
    <w:p>
      <w:pPr>
        <w:spacing w:after="0" w:line="378"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In May 1996, the Company acquired substantially all of the assets and operations of Northwest Texas Healthcare Systems, a 360-bed medical complex located in Amarillo, Texas for $126 million in cash. The assets acquired include the real and personal property, working capital and tangible assets. The Company also will be required to pay additional amounts to the seller equal to 15% of any amount of the hospital's earnings before depreciation, interest and taxes in excess of $24 million in each year of the seven year period commencing April 1, 1996 and ending March 31, 2003. In addition, under terms of the agreement, the seller will pay the Company $8 million per year for the first four years and $6 million per year (subject to certain adjustments for inflation) for up to an additional 36 years to help support the cost of medical services to indigent patients.</w:t>
      </w:r>
    </w:p>
    <w:p>
      <w:pPr>
        <w:spacing w:after="0" w:line="375" w:lineRule="exact"/>
        <w:rPr>
          <w:sz w:val="20"/>
          <w:szCs w:val="20"/>
          <w:color w:val="auto"/>
        </w:rPr>
      </w:pPr>
    </w:p>
    <w:p>
      <w:pPr>
        <w:ind w:right="2779" w:firstLine="382"/>
        <w:spacing w:after="0" w:line="241" w:lineRule="auto"/>
        <w:rPr>
          <w:sz w:val="20"/>
          <w:szCs w:val="20"/>
          <w:color w:val="auto"/>
        </w:rPr>
      </w:pPr>
      <w:r>
        <w:rPr>
          <w:rFonts w:ascii="Courier New" w:cs="Courier New" w:eastAsia="Courier New" w:hAnsi="Courier New"/>
          <w:sz w:val="16"/>
          <w:szCs w:val="16"/>
          <w:color w:val="auto"/>
        </w:rPr>
        <w:t>In August 1995, the Company acquired substantially all of the assets of Manatee Memorial Hospital, a 512-bed acute care hospital located in Bradenton, Florida for $139 million in cash and assumption of net liabilities of approximately $4 million. The assets acquired include the real and personal property, working capital and intangible assets.</w:t>
      </w:r>
    </w:p>
    <w:p>
      <w:pPr>
        <w:spacing w:after="0" w:line="190"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In July, 1995, the Company acquired the operations and fixed assets of Aiken Regional Medical Centers, including Aiken Regional Medical Center, The Carolina Cancer Center and the Aurora Pavilion from a subsidiary of Columbia/HCA Healthcare Corporation ("Columbia"). The acquired assets included the real property and moveable equipment together with intangible assets and certain working capital accounts, excluding accounts receivable.</w:t>
      </w:r>
    </w:p>
    <w:p>
      <w:pPr>
        <w:spacing w:after="0" w:line="187"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In exchange for Aiken, the Company transferred to Columbia the assets and operations of Westlake Medical Center and Dallas Family Hospital and approximately $44 million in cash. In connection with the Aiken transaction, the Company acquired the property of Westlake Medical Center which it leased from Universal Health Realty Income Trust ("UHT"), in exchange for other property consisting of additional real estate assets owned by the Company but related to three acute care facilities owned by UHT and operated by the Company, which were transferred to and leased back from UHT. These additional real estate assets represent major additions and expansions made to the facilities since the purchase of the properties from the Company in 1986. The Westlake property was then transferred to Columbia. In addition to the Westlake property, the real and personal property of Dallas Family Hospital, and certain working capital accounts of both facilities, excluding accounts receivable, were acquired by Columbia.</w:t>
      </w:r>
    </w:p>
    <w:p>
      <w:pPr>
        <w:spacing w:after="0" w:line="192" w:lineRule="exact"/>
        <w:rPr>
          <w:sz w:val="20"/>
          <w:szCs w:val="20"/>
          <w:color w:val="auto"/>
        </w:rPr>
      </w:pPr>
    </w:p>
    <w:p>
      <w:pPr>
        <w:ind w:right="2599" w:firstLine="382"/>
        <w:spacing w:after="0" w:line="241" w:lineRule="auto"/>
        <w:rPr>
          <w:sz w:val="20"/>
          <w:szCs w:val="20"/>
          <w:color w:val="auto"/>
        </w:rPr>
      </w:pPr>
      <w:r>
        <w:rPr>
          <w:rFonts w:ascii="Courier New" w:cs="Courier New" w:eastAsia="Courier New" w:hAnsi="Courier New"/>
          <w:sz w:val="16"/>
          <w:szCs w:val="16"/>
          <w:color w:val="auto"/>
        </w:rPr>
        <w:t>In October 1995, the Company sold the real and personal property and substantially all of the operating assets of Universal Medical Center, a 202-bed acute care hospital, located in Plantation, Florida for approximately $19.5 million in cash.</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481" w:right="1440" w:bottom="1440" w:gutter="0" w:footer="0" w:header="0"/>
        </w:sectPr>
      </w:pPr>
    </w:p>
    <w:bookmarkStart w:id="15" w:name="page16"/>
    <w:bookmarkEnd w:id="15"/>
    <w:p>
      <w:pPr>
        <w:ind w:right="2679" w:firstLine="382"/>
        <w:spacing w:after="0" w:line="265" w:lineRule="auto"/>
        <w:rPr>
          <w:sz w:val="20"/>
          <w:szCs w:val="20"/>
          <w:color w:val="auto"/>
        </w:rPr>
      </w:pPr>
      <w:r>
        <w:rPr>
          <w:rFonts w:ascii="Courier New" w:cs="Courier New" w:eastAsia="Courier New" w:hAnsi="Courier New"/>
          <w:sz w:val="15"/>
          <w:szCs w:val="15"/>
          <w:color w:val="auto"/>
        </w:rPr>
        <w:t>All of the acquisitions have been accounted for as purchases by the Company and the operating results of the entities have been included in the Company's historical operating results from their respective dates of acquisition.</w:t>
      </w:r>
    </w:p>
    <w:p>
      <w:pPr>
        <w:spacing w:after="0" w:line="354" w:lineRule="exact"/>
        <w:rPr>
          <w:sz w:val="20"/>
          <w:szCs w:val="20"/>
          <w:color w:val="auto"/>
        </w:rPr>
      </w:pPr>
    </w:p>
    <w:p>
      <w:pPr>
        <w:ind w:right="2679" w:firstLine="382"/>
        <w:spacing w:after="0" w:line="261" w:lineRule="auto"/>
        <w:rPr>
          <w:sz w:val="20"/>
          <w:szCs w:val="20"/>
          <w:color w:val="auto"/>
        </w:rPr>
      </w:pPr>
      <w:r>
        <w:rPr>
          <w:rFonts w:ascii="Courier New" w:cs="Courier New" w:eastAsia="Courier New" w:hAnsi="Courier New"/>
          <w:sz w:val="15"/>
          <w:szCs w:val="15"/>
          <w:color w:val="auto"/>
        </w:rPr>
        <w:t>The Pro Forma Condensed Consolidated Statements of Income were prepared as if the above transactions and the Offering occurred as of January 1, 1995. The Pro Forma Condensed Consolidated Balance Sheet was prepared as if the above transactions occurred on March 31, 1996. These pro forma financial statements should be read in connection with the historical financial statements and notes thereto included elsewhere or incorporated by reference in this Prospectus.</w:t>
      </w:r>
    </w:p>
    <w:p>
      <w:pPr>
        <w:spacing w:after="0" w:line="200" w:lineRule="exact"/>
        <w:rPr>
          <w:sz w:val="20"/>
          <w:szCs w:val="20"/>
          <w:color w:val="auto"/>
        </w:rPr>
      </w:pPr>
    </w:p>
    <w:p>
      <w:pPr>
        <w:spacing w:after="0" w:line="342" w:lineRule="exact"/>
        <w:rPr>
          <w:sz w:val="20"/>
          <w:szCs w:val="20"/>
          <w:color w:val="auto"/>
        </w:rPr>
      </w:pPr>
    </w:p>
    <w:p>
      <w:pPr>
        <w:ind w:right="2599" w:firstLine="382"/>
        <w:spacing w:after="0" w:line="241" w:lineRule="auto"/>
        <w:rPr>
          <w:sz w:val="20"/>
          <w:szCs w:val="20"/>
          <w:color w:val="auto"/>
        </w:rPr>
      </w:pPr>
      <w:r>
        <w:rPr>
          <w:rFonts w:ascii="Courier New" w:cs="Courier New" w:eastAsia="Courier New" w:hAnsi="Courier New"/>
          <w:sz w:val="16"/>
          <w:szCs w:val="16"/>
          <w:color w:val="auto"/>
        </w:rPr>
        <w:t>The pro forma financial information is unaudited and is not necessarily indicative of the consolidated results which actually would have occurred if the transactions and the Offering had been consummated at the beginning of the periods presented, nor does it purport to present the future financial position and results of operations for future periods.</w:t>
      </w:r>
    </w:p>
    <w:p>
      <w:pPr>
        <w:spacing w:after="0" w:line="37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484" w:right="1440" w:bottom="1440" w:gutter="0" w:footer="0" w:header="0"/>
        </w:sectPr>
      </w:pPr>
    </w:p>
    <w:bookmarkStart w:id="16" w:name="page17"/>
    <w:bookmarkEnd w:id="16"/>
    <w:p>
      <w:pPr>
        <w:ind w:left="3040"/>
        <w:spacing w:after="0"/>
        <w:rPr>
          <w:sz w:val="20"/>
          <w:szCs w:val="20"/>
          <w:color w:val="auto"/>
        </w:rPr>
      </w:pPr>
      <w:r>
        <w:rPr>
          <w:rFonts w:ascii="Courier New" w:cs="Courier New" w:eastAsia="Courier New" w:hAnsi="Courier New"/>
          <w:sz w:val="16"/>
          <w:szCs w:val="16"/>
          <w:color w:val="auto"/>
        </w:rPr>
        <w:t>UNIVERSAL HEALTH SERVICES, INC.</w:t>
      </w:r>
    </w:p>
    <w:p>
      <w:pPr>
        <w:spacing w:after="0" w:line="2" w:lineRule="exact"/>
        <w:rPr>
          <w:sz w:val="20"/>
          <w:szCs w:val="20"/>
          <w:color w:val="auto"/>
        </w:rPr>
      </w:pPr>
    </w:p>
    <w:p>
      <w:pPr>
        <w:ind w:left="2380"/>
        <w:spacing w:after="0"/>
        <w:rPr>
          <w:sz w:val="20"/>
          <w:szCs w:val="20"/>
          <w:color w:val="auto"/>
        </w:rPr>
      </w:pPr>
      <w:r>
        <w:rPr>
          <w:rFonts w:ascii="Courier New" w:cs="Courier New" w:eastAsia="Courier New" w:hAnsi="Courier New"/>
          <w:sz w:val="16"/>
          <w:szCs w:val="16"/>
          <w:color w:val="auto"/>
        </w:rPr>
        <w:t>PRO FORMA CONDENSED CONSOLIDATED BALANCE SHEET</w:t>
      </w:r>
    </w:p>
    <w:p>
      <w:pPr>
        <w:spacing w:after="0" w:line="2"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MARCH 31, 1996</w:t>
      </w:r>
    </w:p>
    <w:p>
      <w:pPr>
        <w:spacing w:after="0" w:line="2"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(UNAUDITED)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20" w:type="dxa"/>
            <w:vAlign w:val="bottom"/>
          </w:tcPr>
          <w:p>
            <w:pPr>
              <w:spacing w:after="0"/>
              <w:rPr>
                <w:sz w:val="15"/>
                <w:szCs w:val="15"/>
                <w:color w:val="auto"/>
              </w:rPr>
            </w:pPr>
          </w:p>
        </w:tc>
        <w:tc>
          <w:tcPr>
            <w:tcW w:w="1480" w:type="dxa"/>
            <w:vAlign w:val="bottom"/>
            <w:gridSpan w:val="3"/>
          </w:tcPr>
          <w:p>
            <w:pPr>
              <w:ind w:left="80"/>
              <w:spacing w:after="0"/>
              <w:rPr>
                <w:sz w:val="20"/>
                <w:szCs w:val="20"/>
                <w:color w:val="auto"/>
              </w:rPr>
            </w:pPr>
            <w:r>
              <w:rPr>
                <w:rFonts w:ascii="Courier New" w:cs="Courier New" w:eastAsia="Courier New" w:hAnsi="Courier New"/>
                <w:sz w:val="16"/>
                <w:szCs w:val="16"/>
                <w:color w:val="auto"/>
              </w:rPr>
              <w:t>(IN THOUSANDS)</w:t>
            </w:r>
          </w:p>
        </w:tc>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734"/>
        </w:trPr>
        <w:tc>
          <w:tcPr>
            <w:tcW w:w="3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60" w:type="dxa"/>
            <w:vAlign w:val="bottom"/>
            <w:gridSpan w:val="3"/>
          </w:tcPr>
          <w:p>
            <w:pPr>
              <w:jc w:val="right"/>
              <w:ind w:right="541"/>
              <w:spacing w:after="0"/>
              <w:rPr>
                <w:sz w:val="20"/>
                <w:szCs w:val="20"/>
                <w:color w:val="auto"/>
              </w:rPr>
            </w:pPr>
            <w:r>
              <w:rPr>
                <w:rFonts w:ascii="Courier New" w:cs="Courier New" w:eastAsia="Courier New" w:hAnsi="Courier New"/>
                <w:sz w:val="16"/>
                <w:szCs w:val="16"/>
                <w:color w:val="auto"/>
              </w:rPr>
              <w:t>1996 ACQUISITIONS</w:t>
            </w: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3"/>
        </w:trPr>
        <w:tc>
          <w:tcPr>
            <w:tcW w:w="3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60" w:type="dxa"/>
            <w:vAlign w:val="bottom"/>
            <w:gridSpan w:val="4"/>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3"/>
        </w:trPr>
        <w:tc>
          <w:tcPr>
            <w:tcW w:w="3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jc w:val="right"/>
              <w:ind w:right="441"/>
              <w:spacing w:after="0"/>
              <w:rPr>
                <w:sz w:val="20"/>
                <w:szCs w:val="20"/>
                <w:color w:val="auto"/>
              </w:rPr>
            </w:pPr>
            <w:r>
              <w:rPr>
                <w:rFonts w:ascii="Courier New" w:cs="Courier New" w:eastAsia="Courier New" w:hAnsi="Courier New"/>
                <w:sz w:val="16"/>
                <w:szCs w:val="16"/>
                <w:color w:val="auto"/>
                <w:w w:val="90"/>
              </w:rPr>
              <w:t>THE</w:t>
            </w:r>
          </w:p>
        </w:tc>
        <w:tc>
          <w:tcPr>
            <w:tcW w:w="13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NORTHWEST</w:t>
            </w:r>
          </w:p>
        </w:tc>
        <w:tc>
          <w:tcPr>
            <w:tcW w:w="460" w:type="dxa"/>
            <w:vAlign w:val="bottom"/>
          </w:tcPr>
          <w:p>
            <w:pPr>
              <w:spacing w:after="0"/>
              <w:rPr>
                <w:sz w:val="15"/>
                <w:szCs w:val="15"/>
                <w:color w:val="auto"/>
              </w:rPr>
            </w:pPr>
          </w:p>
        </w:tc>
        <w:tc>
          <w:tcPr>
            <w:tcW w:w="1100" w:type="dxa"/>
            <w:vAlign w:val="bottom"/>
          </w:tcPr>
          <w:p>
            <w:pPr>
              <w:jc w:val="right"/>
              <w:ind w:right="541"/>
              <w:spacing w:after="0"/>
              <w:rPr>
                <w:sz w:val="20"/>
                <w:szCs w:val="20"/>
                <w:color w:val="auto"/>
              </w:rPr>
            </w:pPr>
            <w:r>
              <w:rPr>
                <w:rFonts w:ascii="Courier New" w:cs="Courier New" w:eastAsia="Courier New" w:hAnsi="Courier New"/>
                <w:sz w:val="16"/>
                <w:szCs w:val="16"/>
                <w:color w:val="auto"/>
                <w:w w:val="95"/>
              </w:rPr>
              <w:t>FIRST</w:t>
            </w:r>
          </w:p>
        </w:tc>
        <w:tc>
          <w:tcPr>
            <w:tcW w:w="1440" w:type="dxa"/>
            <w:vAlign w:val="bottom"/>
          </w:tcPr>
          <w:p>
            <w:pPr>
              <w:jc w:val="center"/>
              <w:ind w:right="1"/>
              <w:spacing w:after="0"/>
              <w:rPr>
                <w:sz w:val="20"/>
                <w:szCs w:val="20"/>
                <w:color w:val="auto"/>
              </w:rPr>
            </w:pPr>
            <w:r>
              <w:rPr>
                <w:rFonts w:ascii="Courier New" w:cs="Courier New" w:eastAsia="Courier New" w:hAnsi="Courier New"/>
                <w:sz w:val="16"/>
                <w:szCs w:val="16"/>
                <w:color w:val="auto"/>
                <w:w w:val="99"/>
              </w:rPr>
              <w:t>OTHER</w:t>
            </w:r>
          </w:p>
        </w:tc>
        <w:tc>
          <w:tcPr>
            <w:tcW w:w="140" w:type="dxa"/>
            <w:vAlign w:val="bottom"/>
          </w:tcPr>
          <w:p>
            <w:pPr>
              <w:spacing w:after="0"/>
              <w:rPr>
                <w:sz w:val="15"/>
                <w:szCs w:val="15"/>
                <w:color w:val="auto"/>
              </w:rPr>
            </w:pP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THE</w:t>
            </w:r>
          </w:p>
        </w:tc>
      </w:tr>
      <w:tr>
        <w:trPr>
          <w:trHeight w:val="183"/>
        </w:trPr>
        <w:tc>
          <w:tcPr>
            <w:tcW w:w="3820" w:type="dxa"/>
            <w:vAlign w:val="bottom"/>
          </w:tcPr>
          <w:p>
            <w:pPr>
              <w:spacing w:after="0"/>
              <w:rPr>
                <w:sz w:val="15"/>
                <w:szCs w:val="15"/>
                <w:color w:val="auto"/>
              </w:rPr>
            </w:pPr>
          </w:p>
        </w:tc>
        <w:tc>
          <w:tcPr>
            <w:tcW w:w="11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COMPANY</w:t>
            </w:r>
          </w:p>
        </w:tc>
        <w:tc>
          <w:tcPr>
            <w:tcW w:w="300" w:type="dxa"/>
            <w:vAlign w:val="bottom"/>
          </w:tcPr>
          <w:p>
            <w:pPr>
              <w:spacing w:after="0"/>
              <w:rPr>
                <w:sz w:val="15"/>
                <w:szCs w:val="15"/>
                <w:color w:val="auto"/>
              </w:rPr>
            </w:pPr>
          </w:p>
        </w:tc>
        <w:tc>
          <w:tcPr>
            <w:tcW w:w="10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TEXAS</w:t>
            </w:r>
          </w:p>
        </w:tc>
        <w:tc>
          <w:tcPr>
            <w:tcW w:w="156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HOSPITAL</w:t>
            </w:r>
          </w:p>
        </w:tc>
        <w:tc>
          <w:tcPr>
            <w:tcW w:w="1440" w:type="dxa"/>
            <w:vAlign w:val="bottom"/>
          </w:tcPr>
          <w:p>
            <w:pPr>
              <w:jc w:val="center"/>
              <w:ind w:right="21"/>
              <w:spacing w:after="0"/>
              <w:rPr>
                <w:sz w:val="20"/>
                <w:szCs w:val="20"/>
                <w:color w:val="auto"/>
              </w:rPr>
            </w:pPr>
            <w:r>
              <w:rPr>
                <w:rFonts w:ascii="Courier New" w:cs="Courier New" w:eastAsia="Courier New" w:hAnsi="Courier New"/>
                <w:sz w:val="16"/>
                <w:szCs w:val="16"/>
                <w:color w:val="auto"/>
                <w:w w:val="99"/>
              </w:rPr>
              <w:t>PRO FORMA</w:t>
            </w:r>
          </w:p>
        </w:tc>
        <w:tc>
          <w:tcPr>
            <w:tcW w:w="1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COMPANY</w:t>
            </w:r>
          </w:p>
        </w:tc>
      </w:tr>
      <w:tr>
        <w:trPr>
          <w:trHeight w:val="183"/>
        </w:trPr>
        <w:tc>
          <w:tcPr>
            <w:tcW w:w="3820" w:type="dxa"/>
            <w:vAlign w:val="bottom"/>
          </w:tcPr>
          <w:p>
            <w:pPr>
              <w:spacing w:after="0"/>
              <w:rPr>
                <w:sz w:val="15"/>
                <w:szCs w:val="15"/>
                <w:color w:val="auto"/>
              </w:rPr>
            </w:pPr>
          </w:p>
        </w:tc>
        <w:tc>
          <w:tcPr>
            <w:tcW w:w="118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HISTORICAL</w:t>
            </w:r>
          </w:p>
        </w:tc>
        <w:tc>
          <w:tcPr>
            <w:tcW w:w="13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HEALTH (A)</w:t>
            </w:r>
          </w:p>
        </w:tc>
        <w:tc>
          <w:tcPr>
            <w:tcW w:w="156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PROPERTIES (B)</w:t>
            </w:r>
          </w:p>
        </w:tc>
        <w:tc>
          <w:tcPr>
            <w:tcW w:w="1440" w:type="dxa"/>
            <w:vAlign w:val="bottom"/>
          </w:tcPr>
          <w:p>
            <w:pPr>
              <w:jc w:val="center"/>
              <w:ind w:right="21"/>
              <w:spacing w:after="0"/>
              <w:rPr>
                <w:sz w:val="20"/>
                <w:szCs w:val="20"/>
                <w:color w:val="auto"/>
              </w:rPr>
            </w:pPr>
            <w:r>
              <w:rPr>
                <w:rFonts w:ascii="Courier New" w:cs="Courier New" w:eastAsia="Courier New" w:hAnsi="Courier New"/>
                <w:sz w:val="16"/>
                <w:szCs w:val="16"/>
                <w:color w:val="auto"/>
              </w:rPr>
              <w:t>ADJUSTMENTS</w:t>
            </w:r>
          </w:p>
        </w:tc>
        <w:tc>
          <w:tcPr>
            <w:tcW w:w="90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7"/>
              </w:rPr>
              <w:t>PRO FORMA</w:t>
            </w:r>
          </w:p>
        </w:tc>
      </w:tr>
      <w:tr>
        <w:trPr>
          <w:trHeight w:val="183"/>
        </w:trPr>
        <w:tc>
          <w:tcPr>
            <w:tcW w:w="3820" w:type="dxa"/>
            <w:vAlign w:val="bottom"/>
          </w:tcPr>
          <w:p>
            <w:pPr>
              <w:spacing w:after="0"/>
              <w:rPr>
                <w:sz w:val="15"/>
                <w:szCs w:val="15"/>
                <w:color w:val="auto"/>
              </w:rPr>
            </w:pPr>
          </w:p>
        </w:tc>
        <w:tc>
          <w:tcPr>
            <w:tcW w:w="11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center"/>
              <w:ind w:right="2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w:t>
            </w:r>
          </w:p>
        </w:tc>
      </w:tr>
      <w:tr>
        <w:trPr>
          <w:trHeight w:val="367"/>
        </w:trPr>
        <w:tc>
          <w:tcPr>
            <w:tcW w:w="3820" w:type="dxa"/>
            <w:vAlign w:val="bottom"/>
          </w:tcPr>
          <w:p>
            <w:pPr>
              <w:jc w:val="right"/>
              <w:ind w:right="2881"/>
              <w:spacing w:after="0"/>
              <w:rPr>
                <w:sz w:val="20"/>
                <w:szCs w:val="20"/>
                <w:color w:val="auto"/>
              </w:rPr>
            </w:pPr>
            <w:r>
              <w:rPr>
                <w:rFonts w:ascii="Courier New" w:cs="Courier New" w:eastAsia="Courier New" w:hAnsi="Courier New"/>
                <w:sz w:val="16"/>
                <w:szCs w:val="16"/>
                <w:color w:val="auto"/>
              </w:rPr>
              <w:t>ASSETS</w:t>
            </w: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3"/>
        </w:trPr>
        <w:tc>
          <w:tcPr>
            <w:tcW w:w="382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3"/>
        </w:trPr>
        <w:tc>
          <w:tcPr>
            <w:tcW w:w="3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Cash and cash equivalents............</w:t>
            </w:r>
          </w:p>
        </w:tc>
        <w:tc>
          <w:tcPr>
            <w:tcW w:w="38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762</w:t>
            </w:r>
          </w:p>
        </w:tc>
        <w:tc>
          <w:tcPr>
            <w:tcW w:w="13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 (125,565)</w:t>
            </w:r>
          </w:p>
        </w:tc>
        <w:tc>
          <w:tcPr>
            <w:tcW w:w="156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$(43,500)</w:t>
            </w:r>
          </w:p>
        </w:tc>
        <w:tc>
          <w:tcPr>
            <w:tcW w:w="1440" w:type="dxa"/>
            <w:vAlign w:val="bottom"/>
          </w:tcPr>
          <w:p>
            <w:pPr>
              <w:ind w:left="240"/>
              <w:spacing w:after="0"/>
              <w:rPr>
                <w:sz w:val="20"/>
                <w:szCs w:val="20"/>
                <w:color w:val="auto"/>
              </w:rPr>
            </w:pPr>
            <w:r>
              <w:rPr>
                <w:rFonts w:ascii="Courier New" w:cs="Courier New" w:eastAsia="Courier New" w:hAnsi="Courier New"/>
                <w:sz w:val="16"/>
                <w:szCs w:val="16"/>
                <w:color w:val="auto"/>
              </w:rPr>
              <w:t>$ 169,065(C)</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762</w:t>
            </w:r>
          </w:p>
        </w:tc>
      </w:tr>
      <w:tr>
        <w:trPr>
          <w:trHeight w:val="183"/>
        </w:trPr>
        <w:tc>
          <w:tcPr>
            <w:tcW w:w="3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Accounts receivable, net.............</w:t>
            </w:r>
          </w:p>
        </w:tc>
        <w:tc>
          <w:tcPr>
            <w:tcW w:w="38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116,400</w:t>
            </w:r>
          </w:p>
        </w:tc>
        <w:tc>
          <w:tcPr>
            <w:tcW w:w="300" w:type="dxa"/>
            <w:vAlign w:val="bottom"/>
          </w:tcPr>
          <w:p>
            <w:pPr>
              <w:spacing w:after="0"/>
              <w:rPr>
                <w:sz w:val="15"/>
                <w:szCs w:val="15"/>
                <w:color w:val="auto"/>
              </w:rPr>
            </w:pP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16,764</w:t>
            </w:r>
          </w:p>
        </w:tc>
        <w:tc>
          <w:tcPr>
            <w:tcW w:w="460" w:type="dxa"/>
            <w:vAlign w:val="bottom"/>
          </w:tcPr>
          <w:p>
            <w:pPr>
              <w:spacing w:after="0"/>
              <w:rPr>
                <w:sz w:val="15"/>
                <w:szCs w:val="15"/>
                <w:color w:val="auto"/>
              </w:rPr>
            </w:pPr>
          </w:p>
        </w:tc>
        <w:tc>
          <w:tcPr>
            <w:tcW w:w="11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7,099</w:t>
            </w:r>
          </w:p>
        </w:tc>
        <w:tc>
          <w:tcPr>
            <w:tcW w:w="1440" w:type="dxa"/>
            <w:vAlign w:val="bottom"/>
          </w:tcPr>
          <w:p>
            <w:pPr>
              <w:ind w:left="54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760" w:type="dxa"/>
            <w:vAlign w:val="bottom"/>
          </w:tcPr>
          <w:p>
            <w:pPr>
              <w:jc w:val="center"/>
              <w:ind w:right="21"/>
              <w:spacing w:after="0"/>
              <w:rPr>
                <w:sz w:val="20"/>
                <w:szCs w:val="20"/>
                <w:color w:val="auto"/>
              </w:rPr>
            </w:pPr>
            <w:r>
              <w:rPr>
                <w:rFonts w:ascii="Courier New" w:cs="Courier New" w:eastAsia="Courier New" w:hAnsi="Courier New"/>
                <w:sz w:val="16"/>
                <w:szCs w:val="16"/>
                <w:color w:val="auto"/>
                <w:w w:val="98"/>
              </w:rPr>
              <w:t>140,263</w:t>
            </w:r>
          </w:p>
        </w:tc>
      </w:tr>
      <w:tr>
        <w:trPr>
          <w:trHeight w:val="183"/>
        </w:trPr>
        <w:tc>
          <w:tcPr>
            <w:tcW w:w="3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Other current assets.................</w:t>
            </w:r>
          </w:p>
        </w:tc>
        <w:tc>
          <w:tcPr>
            <w:tcW w:w="38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23,892</w:t>
            </w:r>
          </w:p>
        </w:tc>
        <w:tc>
          <w:tcPr>
            <w:tcW w:w="300" w:type="dxa"/>
            <w:vAlign w:val="bottom"/>
          </w:tcPr>
          <w:p>
            <w:pPr>
              <w:spacing w:after="0"/>
              <w:rPr>
                <w:sz w:val="15"/>
                <w:szCs w:val="15"/>
                <w:color w:val="auto"/>
              </w:rPr>
            </w:pP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9,816</w:t>
            </w:r>
          </w:p>
        </w:tc>
        <w:tc>
          <w:tcPr>
            <w:tcW w:w="460" w:type="dxa"/>
            <w:vAlign w:val="bottom"/>
          </w:tcPr>
          <w:p>
            <w:pPr>
              <w:spacing w:after="0"/>
              <w:rPr>
                <w:sz w:val="15"/>
                <w:szCs w:val="15"/>
                <w:color w:val="auto"/>
              </w:rPr>
            </w:pPr>
          </w:p>
        </w:tc>
        <w:tc>
          <w:tcPr>
            <w:tcW w:w="11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760</w:t>
            </w:r>
          </w:p>
        </w:tc>
        <w:tc>
          <w:tcPr>
            <w:tcW w:w="1440" w:type="dxa"/>
            <w:vAlign w:val="bottom"/>
          </w:tcPr>
          <w:p>
            <w:pPr>
              <w:ind w:left="54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34,468</w:t>
            </w:r>
          </w:p>
        </w:tc>
      </w:tr>
      <w:tr>
        <w:trPr>
          <w:trHeight w:val="183"/>
        </w:trPr>
        <w:tc>
          <w:tcPr>
            <w:tcW w:w="3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Deferred income taxes................</w:t>
            </w:r>
          </w:p>
        </w:tc>
        <w:tc>
          <w:tcPr>
            <w:tcW w:w="38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15,304</w:t>
            </w:r>
          </w:p>
        </w:tc>
        <w:tc>
          <w:tcPr>
            <w:tcW w:w="300" w:type="dxa"/>
            <w:vAlign w:val="bottom"/>
          </w:tcPr>
          <w:p>
            <w:pPr>
              <w:spacing w:after="0"/>
              <w:rPr>
                <w:sz w:val="15"/>
                <w:szCs w:val="15"/>
                <w:color w:val="auto"/>
              </w:rPr>
            </w:pPr>
          </w:p>
        </w:tc>
        <w:tc>
          <w:tcPr>
            <w:tcW w:w="100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spacing w:after="0"/>
              <w:rPr>
                <w:sz w:val="15"/>
                <w:szCs w:val="15"/>
                <w:color w:val="auto"/>
              </w:rPr>
            </w:pPr>
          </w:p>
        </w:tc>
        <w:tc>
          <w:tcPr>
            <w:tcW w:w="1100" w:type="dxa"/>
            <w:vAlign w:val="bottom"/>
          </w:tcPr>
          <w:p>
            <w:pPr>
              <w:jc w:val="right"/>
              <w:ind w:right="821"/>
              <w:spacing w:after="0"/>
              <w:rPr>
                <w:sz w:val="20"/>
                <w:szCs w:val="20"/>
                <w:color w:val="auto"/>
              </w:rPr>
            </w:pPr>
            <w:r>
              <w:rPr>
                <w:rFonts w:ascii="Courier New" w:cs="Courier New" w:eastAsia="Courier New" w:hAnsi="Courier New"/>
                <w:sz w:val="16"/>
                <w:szCs w:val="16"/>
                <w:color w:val="auto"/>
                <w:w w:val="93"/>
              </w:rPr>
              <w:t>--</w:t>
            </w:r>
          </w:p>
        </w:tc>
        <w:tc>
          <w:tcPr>
            <w:tcW w:w="1440" w:type="dxa"/>
            <w:vAlign w:val="bottom"/>
          </w:tcPr>
          <w:p>
            <w:pPr>
              <w:ind w:left="54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15,304</w:t>
            </w:r>
          </w:p>
        </w:tc>
      </w:tr>
      <w:tr>
        <w:trPr>
          <w:trHeight w:val="183"/>
        </w:trPr>
        <w:tc>
          <w:tcPr>
            <w:tcW w:w="3820" w:type="dxa"/>
            <w:vAlign w:val="bottom"/>
          </w:tcPr>
          <w:p>
            <w:pPr>
              <w:spacing w:after="0"/>
              <w:rPr>
                <w:sz w:val="15"/>
                <w:szCs w:val="15"/>
                <w:color w:val="auto"/>
              </w:rPr>
            </w:pPr>
          </w:p>
        </w:tc>
        <w:tc>
          <w:tcPr>
            <w:tcW w:w="11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center"/>
              <w:ind w:right="2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w:t>
            </w:r>
          </w:p>
        </w:tc>
      </w:tr>
      <w:tr>
        <w:trPr>
          <w:trHeight w:val="183"/>
        </w:trPr>
        <w:tc>
          <w:tcPr>
            <w:tcW w:w="3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TOTAL CURRENT ASSETS...............</w:t>
            </w:r>
          </w:p>
        </w:tc>
        <w:tc>
          <w:tcPr>
            <w:tcW w:w="38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156,358</w:t>
            </w:r>
          </w:p>
        </w:tc>
        <w:tc>
          <w:tcPr>
            <w:tcW w:w="300" w:type="dxa"/>
            <w:vAlign w:val="bottom"/>
          </w:tcPr>
          <w:p>
            <w:pPr>
              <w:spacing w:after="0"/>
              <w:rPr>
                <w:sz w:val="15"/>
                <w:szCs w:val="15"/>
                <w:color w:val="auto"/>
              </w:rPr>
            </w:pP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(98,985)</w:t>
            </w:r>
          </w:p>
        </w:tc>
        <w:tc>
          <w:tcPr>
            <w:tcW w:w="460" w:type="dxa"/>
            <w:vAlign w:val="bottom"/>
          </w:tcPr>
          <w:p>
            <w:pPr>
              <w:spacing w:after="0"/>
              <w:rPr>
                <w:sz w:val="15"/>
                <w:szCs w:val="15"/>
                <w:color w:val="auto"/>
              </w:rPr>
            </w:pPr>
          </w:p>
        </w:tc>
        <w:tc>
          <w:tcPr>
            <w:tcW w:w="1100" w:type="dxa"/>
            <w:vAlign w:val="bottom"/>
          </w:tcPr>
          <w:p>
            <w:pPr>
              <w:jc w:val="right"/>
              <w:ind w:right="241"/>
              <w:spacing w:after="0"/>
              <w:rPr>
                <w:sz w:val="20"/>
                <w:szCs w:val="20"/>
                <w:color w:val="auto"/>
              </w:rPr>
            </w:pPr>
            <w:r>
              <w:rPr>
                <w:rFonts w:ascii="Courier New" w:cs="Courier New" w:eastAsia="Courier New" w:hAnsi="Courier New"/>
                <w:sz w:val="16"/>
                <w:szCs w:val="16"/>
                <w:color w:val="auto"/>
                <w:w w:val="98"/>
              </w:rPr>
              <w:t>(35,641)</w:t>
            </w:r>
          </w:p>
        </w:tc>
        <w:tc>
          <w:tcPr>
            <w:tcW w:w="1440" w:type="dxa"/>
            <w:vAlign w:val="bottom"/>
          </w:tcPr>
          <w:p>
            <w:pPr>
              <w:ind w:left="440"/>
              <w:spacing w:after="0"/>
              <w:rPr>
                <w:sz w:val="20"/>
                <w:szCs w:val="20"/>
                <w:color w:val="auto"/>
              </w:rPr>
            </w:pPr>
            <w:r>
              <w:rPr>
                <w:rFonts w:ascii="Courier New" w:cs="Courier New" w:eastAsia="Courier New" w:hAnsi="Courier New"/>
                <w:sz w:val="16"/>
                <w:szCs w:val="16"/>
                <w:color w:val="auto"/>
              </w:rPr>
              <w:t>169,065</w:t>
            </w:r>
          </w:p>
        </w:tc>
        <w:tc>
          <w:tcPr>
            <w:tcW w:w="140" w:type="dxa"/>
            <w:vAlign w:val="bottom"/>
          </w:tcPr>
          <w:p>
            <w:pPr>
              <w:spacing w:after="0"/>
              <w:rPr>
                <w:sz w:val="15"/>
                <w:szCs w:val="15"/>
                <w:color w:val="auto"/>
              </w:rPr>
            </w:pPr>
          </w:p>
        </w:tc>
        <w:tc>
          <w:tcPr>
            <w:tcW w:w="760" w:type="dxa"/>
            <w:vAlign w:val="bottom"/>
          </w:tcPr>
          <w:p>
            <w:pPr>
              <w:jc w:val="center"/>
              <w:ind w:right="21"/>
              <w:spacing w:after="0"/>
              <w:rPr>
                <w:sz w:val="20"/>
                <w:szCs w:val="20"/>
                <w:color w:val="auto"/>
              </w:rPr>
            </w:pPr>
            <w:r>
              <w:rPr>
                <w:rFonts w:ascii="Courier New" w:cs="Courier New" w:eastAsia="Courier New" w:hAnsi="Courier New"/>
                <w:sz w:val="16"/>
                <w:szCs w:val="16"/>
                <w:color w:val="auto"/>
                <w:w w:val="98"/>
              </w:rPr>
              <w:t>190,797</w:t>
            </w:r>
          </w:p>
        </w:tc>
      </w:tr>
      <w:tr>
        <w:trPr>
          <w:trHeight w:val="183"/>
        </w:trPr>
        <w:tc>
          <w:tcPr>
            <w:tcW w:w="3820" w:type="dxa"/>
            <w:vAlign w:val="bottom"/>
          </w:tcPr>
          <w:p>
            <w:pPr>
              <w:spacing w:after="0"/>
              <w:rPr>
                <w:sz w:val="15"/>
                <w:szCs w:val="15"/>
                <w:color w:val="auto"/>
              </w:rPr>
            </w:pPr>
          </w:p>
        </w:tc>
        <w:tc>
          <w:tcPr>
            <w:tcW w:w="11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center"/>
              <w:ind w:right="2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w:t>
            </w:r>
          </w:p>
        </w:tc>
      </w:tr>
      <w:tr>
        <w:trPr>
          <w:trHeight w:val="183"/>
        </w:trPr>
        <w:tc>
          <w:tcPr>
            <w:tcW w:w="38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Property and equipment, net............</w:t>
            </w:r>
          </w:p>
        </w:tc>
        <w:tc>
          <w:tcPr>
            <w:tcW w:w="38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411,215</w:t>
            </w:r>
          </w:p>
        </w:tc>
        <w:tc>
          <w:tcPr>
            <w:tcW w:w="300" w:type="dxa"/>
            <w:vAlign w:val="bottom"/>
          </w:tcPr>
          <w:p>
            <w:pPr>
              <w:spacing w:after="0"/>
              <w:rPr>
                <w:sz w:val="15"/>
                <w:szCs w:val="15"/>
                <w:color w:val="auto"/>
              </w:rPr>
            </w:pP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85,785</w:t>
            </w:r>
          </w:p>
        </w:tc>
        <w:tc>
          <w:tcPr>
            <w:tcW w:w="460" w:type="dxa"/>
            <w:vAlign w:val="bottom"/>
          </w:tcPr>
          <w:p>
            <w:pPr>
              <w:spacing w:after="0"/>
              <w:rPr>
                <w:sz w:val="15"/>
                <w:szCs w:val="15"/>
                <w:color w:val="auto"/>
              </w:rPr>
            </w:pPr>
          </w:p>
        </w:tc>
        <w:tc>
          <w:tcPr>
            <w:tcW w:w="11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32,000</w:t>
            </w:r>
          </w:p>
        </w:tc>
        <w:tc>
          <w:tcPr>
            <w:tcW w:w="1440" w:type="dxa"/>
            <w:vAlign w:val="bottom"/>
          </w:tcPr>
          <w:p>
            <w:pPr>
              <w:ind w:left="54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760" w:type="dxa"/>
            <w:vAlign w:val="bottom"/>
          </w:tcPr>
          <w:p>
            <w:pPr>
              <w:jc w:val="center"/>
              <w:ind w:right="21"/>
              <w:spacing w:after="0"/>
              <w:rPr>
                <w:sz w:val="20"/>
                <w:szCs w:val="20"/>
                <w:color w:val="auto"/>
              </w:rPr>
            </w:pPr>
            <w:r>
              <w:rPr>
                <w:rFonts w:ascii="Courier New" w:cs="Courier New" w:eastAsia="Courier New" w:hAnsi="Courier New"/>
                <w:sz w:val="16"/>
                <w:szCs w:val="16"/>
                <w:color w:val="auto"/>
                <w:w w:val="98"/>
              </w:rPr>
              <w:t>529,000</w:t>
            </w:r>
          </w:p>
        </w:tc>
      </w:tr>
      <w:tr>
        <w:trPr>
          <w:trHeight w:val="183"/>
        </w:trPr>
        <w:tc>
          <w:tcPr>
            <w:tcW w:w="382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3"/>
        </w:trPr>
        <w:tc>
          <w:tcPr>
            <w:tcW w:w="3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Excess of cost over fair value of net</w:t>
            </w: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3"/>
        </w:trPr>
        <w:tc>
          <w:tcPr>
            <w:tcW w:w="3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tangible assets acquired...........</w:t>
            </w:r>
          </w:p>
        </w:tc>
        <w:tc>
          <w:tcPr>
            <w:tcW w:w="38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134,421</w:t>
            </w:r>
          </w:p>
        </w:tc>
        <w:tc>
          <w:tcPr>
            <w:tcW w:w="300" w:type="dxa"/>
            <w:vAlign w:val="bottom"/>
          </w:tcPr>
          <w:p>
            <w:pPr>
              <w:spacing w:after="0"/>
              <w:rPr>
                <w:sz w:val="15"/>
                <w:szCs w:val="15"/>
                <w:color w:val="auto"/>
              </w:rPr>
            </w:pP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22,362</w:t>
            </w:r>
          </w:p>
        </w:tc>
        <w:tc>
          <w:tcPr>
            <w:tcW w:w="460" w:type="dxa"/>
            <w:vAlign w:val="bottom"/>
          </w:tcPr>
          <w:p>
            <w:pPr>
              <w:spacing w:after="0"/>
              <w:rPr>
                <w:sz w:val="15"/>
                <w:szCs w:val="15"/>
                <w:color w:val="auto"/>
              </w:rPr>
            </w:pPr>
          </w:p>
        </w:tc>
        <w:tc>
          <w:tcPr>
            <w:tcW w:w="11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1,500</w:t>
            </w:r>
          </w:p>
        </w:tc>
        <w:tc>
          <w:tcPr>
            <w:tcW w:w="1440" w:type="dxa"/>
            <w:vAlign w:val="bottom"/>
          </w:tcPr>
          <w:p>
            <w:pPr>
              <w:ind w:left="54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760" w:type="dxa"/>
            <w:vAlign w:val="bottom"/>
          </w:tcPr>
          <w:p>
            <w:pPr>
              <w:jc w:val="center"/>
              <w:ind w:right="21"/>
              <w:spacing w:after="0"/>
              <w:rPr>
                <w:sz w:val="20"/>
                <w:szCs w:val="20"/>
                <w:color w:val="auto"/>
              </w:rPr>
            </w:pPr>
            <w:r>
              <w:rPr>
                <w:rFonts w:ascii="Courier New" w:cs="Courier New" w:eastAsia="Courier New" w:hAnsi="Courier New"/>
                <w:sz w:val="16"/>
                <w:szCs w:val="16"/>
                <w:color w:val="auto"/>
                <w:w w:val="98"/>
              </w:rPr>
              <w:t>158,283</w:t>
            </w:r>
          </w:p>
        </w:tc>
      </w:tr>
      <w:tr>
        <w:trPr>
          <w:trHeight w:val="183"/>
        </w:trPr>
        <w:tc>
          <w:tcPr>
            <w:tcW w:w="3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Deferred income taxes................</w:t>
            </w:r>
          </w:p>
        </w:tc>
        <w:tc>
          <w:tcPr>
            <w:tcW w:w="38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18,717</w:t>
            </w:r>
          </w:p>
        </w:tc>
        <w:tc>
          <w:tcPr>
            <w:tcW w:w="300" w:type="dxa"/>
            <w:vAlign w:val="bottom"/>
          </w:tcPr>
          <w:p>
            <w:pPr>
              <w:spacing w:after="0"/>
              <w:rPr>
                <w:sz w:val="15"/>
                <w:szCs w:val="15"/>
                <w:color w:val="auto"/>
              </w:rPr>
            </w:pPr>
          </w:p>
        </w:tc>
        <w:tc>
          <w:tcPr>
            <w:tcW w:w="100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spacing w:after="0"/>
              <w:rPr>
                <w:sz w:val="15"/>
                <w:szCs w:val="15"/>
                <w:color w:val="auto"/>
              </w:rPr>
            </w:pPr>
          </w:p>
        </w:tc>
        <w:tc>
          <w:tcPr>
            <w:tcW w:w="1100" w:type="dxa"/>
            <w:vAlign w:val="bottom"/>
          </w:tcPr>
          <w:p>
            <w:pPr>
              <w:jc w:val="right"/>
              <w:ind w:right="821"/>
              <w:spacing w:after="0"/>
              <w:rPr>
                <w:sz w:val="20"/>
                <w:szCs w:val="20"/>
                <w:color w:val="auto"/>
              </w:rPr>
            </w:pPr>
            <w:r>
              <w:rPr>
                <w:rFonts w:ascii="Courier New" w:cs="Courier New" w:eastAsia="Courier New" w:hAnsi="Courier New"/>
                <w:sz w:val="16"/>
                <w:szCs w:val="16"/>
                <w:color w:val="auto"/>
                <w:w w:val="93"/>
              </w:rPr>
              <w:t>--</w:t>
            </w:r>
          </w:p>
        </w:tc>
        <w:tc>
          <w:tcPr>
            <w:tcW w:w="1440" w:type="dxa"/>
            <w:vAlign w:val="bottom"/>
          </w:tcPr>
          <w:p>
            <w:pPr>
              <w:ind w:left="54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18,717</w:t>
            </w:r>
          </w:p>
        </w:tc>
      </w:tr>
      <w:tr>
        <w:trPr>
          <w:trHeight w:val="183"/>
        </w:trPr>
        <w:tc>
          <w:tcPr>
            <w:tcW w:w="3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Deferred charges and other...........</w:t>
            </w:r>
          </w:p>
        </w:tc>
        <w:tc>
          <w:tcPr>
            <w:tcW w:w="38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47,231</w:t>
            </w:r>
          </w:p>
        </w:tc>
        <w:tc>
          <w:tcPr>
            <w:tcW w:w="300" w:type="dxa"/>
            <w:vAlign w:val="bottom"/>
          </w:tcPr>
          <w:p>
            <w:pPr>
              <w:spacing w:after="0"/>
              <w:rPr>
                <w:sz w:val="15"/>
                <w:szCs w:val="15"/>
                <w:color w:val="auto"/>
              </w:rPr>
            </w:pPr>
          </w:p>
        </w:tc>
        <w:tc>
          <w:tcPr>
            <w:tcW w:w="100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spacing w:after="0"/>
              <w:rPr>
                <w:sz w:val="15"/>
                <w:szCs w:val="15"/>
                <w:color w:val="auto"/>
              </w:rPr>
            </w:pPr>
          </w:p>
        </w:tc>
        <w:tc>
          <w:tcPr>
            <w:tcW w:w="11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7,000</w:t>
            </w:r>
          </w:p>
        </w:tc>
        <w:tc>
          <w:tcPr>
            <w:tcW w:w="1440" w:type="dxa"/>
            <w:vAlign w:val="bottom"/>
          </w:tcPr>
          <w:p>
            <w:pPr>
              <w:ind w:left="54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54,231</w:t>
            </w:r>
          </w:p>
        </w:tc>
      </w:tr>
      <w:tr>
        <w:trPr>
          <w:trHeight w:val="183"/>
        </w:trPr>
        <w:tc>
          <w:tcPr>
            <w:tcW w:w="3820" w:type="dxa"/>
            <w:vAlign w:val="bottom"/>
          </w:tcPr>
          <w:p>
            <w:pPr>
              <w:spacing w:after="0"/>
              <w:rPr>
                <w:sz w:val="15"/>
                <w:szCs w:val="15"/>
                <w:color w:val="auto"/>
              </w:rPr>
            </w:pPr>
          </w:p>
        </w:tc>
        <w:tc>
          <w:tcPr>
            <w:tcW w:w="11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center"/>
              <w:ind w:right="2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w:t>
            </w:r>
          </w:p>
        </w:tc>
      </w:tr>
      <w:tr>
        <w:trPr>
          <w:trHeight w:val="183"/>
        </w:trPr>
        <w:tc>
          <w:tcPr>
            <w:tcW w:w="3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TOTAL ASSETS.......................</w:t>
            </w:r>
          </w:p>
        </w:tc>
        <w:tc>
          <w:tcPr>
            <w:tcW w:w="38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767,942</w:t>
            </w:r>
          </w:p>
        </w:tc>
        <w:tc>
          <w:tcPr>
            <w:tcW w:w="30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9,162</w:t>
            </w:r>
          </w:p>
        </w:tc>
        <w:tc>
          <w:tcPr>
            <w:tcW w:w="460" w:type="dxa"/>
            <w:vAlign w:val="bottom"/>
          </w:tcPr>
          <w:p>
            <w:pPr>
              <w:ind w:left="38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4,859</w:t>
            </w:r>
          </w:p>
        </w:tc>
        <w:tc>
          <w:tcPr>
            <w:tcW w:w="1440" w:type="dxa"/>
            <w:vAlign w:val="bottom"/>
          </w:tcPr>
          <w:p>
            <w:pPr>
              <w:jc w:val="center"/>
              <w:ind w:right="21"/>
              <w:spacing w:after="0"/>
              <w:rPr>
                <w:sz w:val="20"/>
                <w:szCs w:val="20"/>
                <w:color w:val="auto"/>
              </w:rPr>
            </w:pPr>
            <w:r>
              <w:rPr>
                <w:rFonts w:ascii="Courier New" w:cs="Courier New" w:eastAsia="Courier New" w:hAnsi="Courier New"/>
                <w:sz w:val="16"/>
                <w:szCs w:val="16"/>
                <w:color w:val="auto"/>
                <w:w w:val="99"/>
              </w:rPr>
              <w:t>$ 169,065</w:t>
            </w:r>
          </w:p>
        </w:tc>
        <w:tc>
          <w:tcPr>
            <w:tcW w:w="9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$951,028</w:t>
            </w:r>
          </w:p>
        </w:tc>
      </w:tr>
      <w:tr>
        <w:trPr>
          <w:trHeight w:val="183"/>
        </w:trPr>
        <w:tc>
          <w:tcPr>
            <w:tcW w:w="3820" w:type="dxa"/>
            <w:vAlign w:val="bottom"/>
          </w:tcPr>
          <w:p>
            <w:pPr>
              <w:spacing w:after="0"/>
              <w:rPr>
                <w:sz w:val="15"/>
                <w:szCs w:val="15"/>
                <w:color w:val="auto"/>
              </w:rPr>
            </w:pPr>
          </w:p>
        </w:tc>
        <w:tc>
          <w:tcPr>
            <w:tcW w:w="11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center"/>
              <w:ind w:right="2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w:t>
            </w:r>
          </w:p>
        </w:tc>
      </w:tr>
      <w:tr>
        <w:trPr>
          <w:trHeight w:val="183"/>
        </w:trPr>
        <w:tc>
          <w:tcPr>
            <w:tcW w:w="3820" w:type="dxa"/>
            <w:vAlign w:val="bottom"/>
          </w:tcPr>
          <w:p>
            <w:pPr>
              <w:spacing w:after="0"/>
              <w:rPr>
                <w:sz w:val="15"/>
                <w:szCs w:val="15"/>
                <w:color w:val="auto"/>
              </w:rPr>
            </w:pPr>
          </w:p>
        </w:tc>
        <w:tc>
          <w:tcPr>
            <w:tcW w:w="11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center"/>
              <w:ind w:right="2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w:t>
            </w:r>
          </w:p>
        </w:tc>
      </w:tr>
      <w:tr>
        <w:trPr>
          <w:trHeight w:val="183"/>
        </w:trPr>
        <w:tc>
          <w:tcPr>
            <w:tcW w:w="38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LIABILITIES AND STOCKHOLDERS'</w:t>
            </w: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3"/>
        </w:trPr>
        <w:tc>
          <w:tcPr>
            <w:tcW w:w="3820" w:type="dxa"/>
            <w:vAlign w:val="bottom"/>
          </w:tcPr>
          <w:p>
            <w:pPr>
              <w:jc w:val="right"/>
              <w:ind w:right="2601"/>
              <w:spacing w:after="0"/>
              <w:rPr>
                <w:sz w:val="20"/>
                <w:szCs w:val="20"/>
                <w:color w:val="auto"/>
              </w:rPr>
            </w:pPr>
            <w:r>
              <w:rPr>
                <w:rFonts w:ascii="Courier New" w:cs="Courier New" w:eastAsia="Courier New" w:hAnsi="Courier New"/>
                <w:sz w:val="16"/>
                <w:szCs w:val="16"/>
                <w:color w:val="auto"/>
              </w:rPr>
              <w:t>EQUITY</w:t>
            </w: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3"/>
        </w:trPr>
        <w:tc>
          <w:tcPr>
            <w:tcW w:w="382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3"/>
        </w:trPr>
        <w:tc>
          <w:tcPr>
            <w:tcW w:w="3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Current maturities of debt...........</w:t>
            </w:r>
          </w:p>
        </w:tc>
        <w:tc>
          <w:tcPr>
            <w:tcW w:w="38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6,980</w:t>
            </w:r>
          </w:p>
        </w:tc>
        <w:tc>
          <w:tcPr>
            <w:tcW w:w="30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82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ind w:left="240"/>
              <w:spacing w:after="0"/>
              <w:rPr>
                <w:sz w:val="20"/>
                <w:szCs w:val="20"/>
                <w:color w:val="auto"/>
              </w:rPr>
            </w:pPr>
            <w:r>
              <w:rPr>
                <w:rFonts w:ascii="Courier New" w:cs="Courier New" w:eastAsia="Courier New" w:hAnsi="Courier New"/>
                <w:sz w:val="16"/>
                <w:szCs w:val="16"/>
                <w:color w:val="auto"/>
              </w:rPr>
              <w:t>$  --</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6,980</w:t>
            </w:r>
          </w:p>
        </w:tc>
      </w:tr>
      <w:tr>
        <w:trPr>
          <w:trHeight w:val="183"/>
        </w:trPr>
        <w:tc>
          <w:tcPr>
            <w:tcW w:w="3820" w:type="dxa"/>
            <w:vAlign w:val="bottom"/>
          </w:tcPr>
          <w:p>
            <w:pPr>
              <w:jc w:val="right"/>
              <w:ind w:right="881"/>
              <w:spacing w:after="0"/>
              <w:rPr>
                <w:sz w:val="20"/>
                <w:szCs w:val="20"/>
                <w:color w:val="auto"/>
              </w:rPr>
            </w:pPr>
            <w:r>
              <w:rPr>
                <w:rFonts w:ascii="Courier New" w:cs="Courier New" w:eastAsia="Courier New" w:hAnsi="Courier New"/>
                <w:sz w:val="16"/>
                <w:szCs w:val="16"/>
                <w:color w:val="auto"/>
              </w:rPr>
              <w:t>Accounts payable and accrued</w:t>
            </w: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3"/>
        </w:trPr>
        <w:tc>
          <w:tcPr>
            <w:tcW w:w="3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expenses...........................</w:t>
            </w:r>
          </w:p>
        </w:tc>
        <w:tc>
          <w:tcPr>
            <w:tcW w:w="38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126,871</w:t>
            </w:r>
          </w:p>
        </w:tc>
        <w:tc>
          <w:tcPr>
            <w:tcW w:w="300" w:type="dxa"/>
            <w:vAlign w:val="bottom"/>
          </w:tcPr>
          <w:p>
            <w:pPr>
              <w:spacing w:after="0"/>
              <w:rPr>
                <w:sz w:val="15"/>
                <w:szCs w:val="15"/>
                <w:color w:val="auto"/>
              </w:rPr>
            </w:pP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9,162</w:t>
            </w:r>
          </w:p>
        </w:tc>
        <w:tc>
          <w:tcPr>
            <w:tcW w:w="460" w:type="dxa"/>
            <w:vAlign w:val="bottom"/>
          </w:tcPr>
          <w:p>
            <w:pPr>
              <w:spacing w:after="0"/>
              <w:rPr>
                <w:sz w:val="15"/>
                <w:szCs w:val="15"/>
                <w:color w:val="auto"/>
              </w:rPr>
            </w:pPr>
          </w:p>
        </w:tc>
        <w:tc>
          <w:tcPr>
            <w:tcW w:w="11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4,859</w:t>
            </w:r>
          </w:p>
        </w:tc>
        <w:tc>
          <w:tcPr>
            <w:tcW w:w="1440" w:type="dxa"/>
            <w:vAlign w:val="bottom"/>
          </w:tcPr>
          <w:p>
            <w:pPr>
              <w:ind w:left="54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760" w:type="dxa"/>
            <w:vAlign w:val="bottom"/>
          </w:tcPr>
          <w:p>
            <w:pPr>
              <w:jc w:val="center"/>
              <w:ind w:right="21"/>
              <w:spacing w:after="0"/>
              <w:rPr>
                <w:sz w:val="20"/>
                <w:szCs w:val="20"/>
                <w:color w:val="auto"/>
              </w:rPr>
            </w:pPr>
            <w:r>
              <w:rPr>
                <w:rFonts w:ascii="Courier New" w:cs="Courier New" w:eastAsia="Courier New" w:hAnsi="Courier New"/>
                <w:sz w:val="16"/>
                <w:szCs w:val="16"/>
                <w:color w:val="auto"/>
                <w:w w:val="98"/>
              </w:rPr>
              <w:t>140,892</w:t>
            </w:r>
          </w:p>
        </w:tc>
      </w:tr>
      <w:tr>
        <w:trPr>
          <w:trHeight w:val="183"/>
        </w:trPr>
        <w:tc>
          <w:tcPr>
            <w:tcW w:w="3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Federal and state taxes..............</w:t>
            </w:r>
          </w:p>
        </w:tc>
        <w:tc>
          <w:tcPr>
            <w:tcW w:w="38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6,382</w:t>
            </w:r>
          </w:p>
        </w:tc>
        <w:tc>
          <w:tcPr>
            <w:tcW w:w="300" w:type="dxa"/>
            <w:vAlign w:val="bottom"/>
          </w:tcPr>
          <w:p>
            <w:pPr>
              <w:spacing w:after="0"/>
              <w:rPr>
                <w:sz w:val="15"/>
                <w:szCs w:val="15"/>
                <w:color w:val="auto"/>
              </w:rPr>
            </w:pPr>
          </w:p>
        </w:tc>
        <w:tc>
          <w:tcPr>
            <w:tcW w:w="100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spacing w:after="0"/>
              <w:rPr>
                <w:sz w:val="15"/>
                <w:szCs w:val="15"/>
                <w:color w:val="auto"/>
              </w:rPr>
            </w:pPr>
          </w:p>
        </w:tc>
        <w:tc>
          <w:tcPr>
            <w:tcW w:w="1100" w:type="dxa"/>
            <w:vAlign w:val="bottom"/>
          </w:tcPr>
          <w:p>
            <w:pPr>
              <w:jc w:val="right"/>
              <w:ind w:right="821"/>
              <w:spacing w:after="0"/>
              <w:rPr>
                <w:sz w:val="20"/>
                <w:szCs w:val="20"/>
                <w:color w:val="auto"/>
              </w:rPr>
            </w:pPr>
            <w:r>
              <w:rPr>
                <w:rFonts w:ascii="Courier New" w:cs="Courier New" w:eastAsia="Courier New" w:hAnsi="Courier New"/>
                <w:sz w:val="16"/>
                <w:szCs w:val="16"/>
                <w:color w:val="auto"/>
                <w:w w:val="93"/>
              </w:rPr>
              <w:t>--</w:t>
            </w:r>
          </w:p>
        </w:tc>
        <w:tc>
          <w:tcPr>
            <w:tcW w:w="1440" w:type="dxa"/>
            <w:vAlign w:val="bottom"/>
          </w:tcPr>
          <w:p>
            <w:pPr>
              <w:ind w:left="54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6,382</w:t>
            </w:r>
          </w:p>
        </w:tc>
      </w:tr>
      <w:tr>
        <w:trPr>
          <w:trHeight w:val="183"/>
        </w:trPr>
        <w:tc>
          <w:tcPr>
            <w:tcW w:w="3820" w:type="dxa"/>
            <w:vAlign w:val="bottom"/>
          </w:tcPr>
          <w:p>
            <w:pPr>
              <w:spacing w:after="0"/>
              <w:rPr>
                <w:sz w:val="15"/>
                <w:szCs w:val="15"/>
                <w:color w:val="auto"/>
              </w:rPr>
            </w:pPr>
          </w:p>
        </w:tc>
        <w:tc>
          <w:tcPr>
            <w:tcW w:w="11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center"/>
              <w:ind w:right="2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w:t>
            </w:r>
          </w:p>
        </w:tc>
      </w:tr>
      <w:tr>
        <w:trPr>
          <w:trHeight w:val="183"/>
        </w:trPr>
        <w:tc>
          <w:tcPr>
            <w:tcW w:w="3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TOTAL CURRENT LIABILITIES..........</w:t>
            </w:r>
          </w:p>
        </w:tc>
        <w:tc>
          <w:tcPr>
            <w:tcW w:w="38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140,233</w:t>
            </w:r>
          </w:p>
        </w:tc>
        <w:tc>
          <w:tcPr>
            <w:tcW w:w="300" w:type="dxa"/>
            <w:vAlign w:val="bottom"/>
          </w:tcPr>
          <w:p>
            <w:pPr>
              <w:spacing w:after="0"/>
              <w:rPr>
                <w:sz w:val="15"/>
                <w:szCs w:val="15"/>
                <w:color w:val="auto"/>
              </w:rPr>
            </w:pP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9,162</w:t>
            </w:r>
          </w:p>
        </w:tc>
        <w:tc>
          <w:tcPr>
            <w:tcW w:w="460" w:type="dxa"/>
            <w:vAlign w:val="bottom"/>
          </w:tcPr>
          <w:p>
            <w:pPr>
              <w:spacing w:after="0"/>
              <w:rPr>
                <w:sz w:val="15"/>
                <w:szCs w:val="15"/>
                <w:color w:val="auto"/>
              </w:rPr>
            </w:pPr>
          </w:p>
        </w:tc>
        <w:tc>
          <w:tcPr>
            <w:tcW w:w="11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4,859</w:t>
            </w:r>
          </w:p>
        </w:tc>
        <w:tc>
          <w:tcPr>
            <w:tcW w:w="1440" w:type="dxa"/>
            <w:vAlign w:val="bottom"/>
          </w:tcPr>
          <w:p>
            <w:pPr>
              <w:ind w:left="54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760" w:type="dxa"/>
            <w:vAlign w:val="bottom"/>
          </w:tcPr>
          <w:p>
            <w:pPr>
              <w:jc w:val="center"/>
              <w:ind w:right="21"/>
              <w:spacing w:after="0"/>
              <w:rPr>
                <w:sz w:val="20"/>
                <w:szCs w:val="20"/>
                <w:color w:val="auto"/>
              </w:rPr>
            </w:pPr>
            <w:r>
              <w:rPr>
                <w:rFonts w:ascii="Courier New" w:cs="Courier New" w:eastAsia="Courier New" w:hAnsi="Courier New"/>
                <w:sz w:val="16"/>
                <w:szCs w:val="16"/>
                <w:color w:val="auto"/>
                <w:w w:val="98"/>
              </w:rPr>
              <w:t>154,254</w:t>
            </w:r>
          </w:p>
        </w:tc>
      </w:tr>
      <w:tr>
        <w:trPr>
          <w:trHeight w:val="183"/>
        </w:trPr>
        <w:tc>
          <w:tcPr>
            <w:tcW w:w="3820" w:type="dxa"/>
            <w:vAlign w:val="bottom"/>
          </w:tcPr>
          <w:p>
            <w:pPr>
              <w:spacing w:after="0"/>
              <w:rPr>
                <w:sz w:val="15"/>
                <w:szCs w:val="15"/>
                <w:color w:val="auto"/>
              </w:rPr>
            </w:pPr>
          </w:p>
        </w:tc>
        <w:tc>
          <w:tcPr>
            <w:tcW w:w="11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center"/>
              <w:ind w:right="2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w:t>
            </w:r>
          </w:p>
        </w:tc>
      </w:tr>
      <w:tr>
        <w:trPr>
          <w:trHeight w:val="183"/>
        </w:trPr>
        <w:tc>
          <w:tcPr>
            <w:tcW w:w="38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Other non-current liabilities..........</w:t>
            </w:r>
          </w:p>
        </w:tc>
        <w:tc>
          <w:tcPr>
            <w:tcW w:w="38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81,482</w:t>
            </w:r>
          </w:p>
        </w:tc>
        <w:tc>
          <w:tcPr>
            <w:tcW w:w="300" w:type="dxa"/>
            <w:vAlign w:val="bottom"/>
          </w:tcPr>
          <w:p>
            <w:pPr>
              <w:spacing w:after="0"/>
              <w:rPr>
                <w:sz w:val="15"/>
                <w:szCs w:val="15"/>
                <w:color w:val="auto"/>
              </w:rPr>
            </w:pPr>
          </w:p>
        </w:tc>
        <w:tc>
          <w:tcPr>
            <w:tcW w:w="100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spacing w:after="0"/>
              <w:rPr>
                <w:sz w:val="15"/>
                <w:szCs w:val="15"/>
                <w:color w:val="auto"/>
              </w:rPr>
            </w:pPr>
          </w:p>
        </w:tc>
        <w:tc>
          <w:tcPr>
            <w:tcW w:w="1100" w:type="dxa"/>
            <w:vAlign w:val="bottom"/>
          </w:tcPr>
          <w:p>
            <w:pPr>
              <w:jc w:val="right"/>
              <w:ind w:right="821"/>
              <w:spacing w:after="0"/>
              <w:rPr>
                <w:sz w:val="20"/>
                <w:szCs w:val="20"/>
                <w:color w:val="auto"/>
              </w:rPr>
            </w:pPr>
            <w:r>
              <w:rPr>
                <w:rFonts w:ascii="Courier New" w:cs="Courier New" w:eastAsia="Courier New" w:hAnsi="Courier New"/>
                <w:sz w:val="16"/>
                <w:szCs w:val="16"/>
                <w:color w:val="auto"/>
                <w:w w:val="93"/>
              </w:rPr>
              <w:t>--</w:t>
            </w:r>
          </w:p>
        </w:tc>
        <w:tc>
          <w:tcPr>
            <w:tcW w:w="1440" w:type="dxa"/>
            <w:vAlign w:val="bottom"/>
          </w:tcPr>
          <w:p>
            <w:pPr>
              <w:ind w:left="54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81,482</w:t>
            </w:r>
          </w:p>
        </w:tc>
      </w:tr>
      <w:tr>
        <w:trPr>
          <w:trHeight w:val="183"/>
        </w:trPr>
        <w:tc>
          <w:tcPr>
            <w:tcW w:w="3820" w:type="dxa"/>
            <w:vAlign w:val="bottom"/>
          </w:tcPr>
          <w:p>
            <w:pPr>
              <w:spacing w:after="0"/>
              <w:rPr>
                <w:sz w:val="20"/>
                <w:szCs w:val="20"/>
                <w:color w:val="auto"/>
              </w:rPr>
            </w:pPr>
            <w:r>
              <w:rPr>
                <w:rFonts w:ascii="Courier New" w:cs="Courier New" w:eastAsia="Courier New" w:hAnsi="Courier New"/>
                <w:sz w:val="16"/>
                <w:szCs w:val="16"/>
                <w:color w:val="auto"/>
              </w:rPr>
              <w:t>Long-term debt, net of current</w:t>
            </w: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3"/>
        </w:trPr>
        <w:tc>
          <w:tcPr>
            <w:tcW w:w="3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maturities...........................</w:t>
            </w:r>
          </w:p>
        </w:tc>
        <w:tc>
          <w:tcPr>
            <w:tcW w:w="38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230,401</w:t>
            </w:r>
          </w:p>
        </w:tc>
        <w:tc>
          <w:tcPr>
            <w:tcW w:w="300" w:type="dxa"/>
            <w:vAlign w:val="bottom"/>
          </w:tcPr>
          <w:p>
            <w:pPr>
              <w:spacing w:after="0"/>
              <w:rPr>
                <w:sz w:val="15"/>
                <w:szCs w:val="15"/>
                <w:color w:val="auto"/>
              </w:rPr>
            </w:pPr>
          </w:p>
        </w:tc>
        <w:tc>
          <w:tcPr>
            <w:tcW w:w="100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spacing w:after="0"/>
              <w:rPr>
                <w:sz w:val="15"/>
                <w:szCs w:val="15"/>
                <w:color w:val="auto"/>
              </w:rPr>
            </w:pPr>
          </w:p>
        </w:tc>
        <w:tc>
          <w:tcPr>
            <w:tcW w:w="1100" w:type="dxa"/>
            <w:vAlign w:val="bottom"/>
          </w:tcPr>
          <w:p>
            <w:pPr>
              <w:jc w:val="right"/>
              <w:ind w:right="821"/>
              <w:spacing w:after="0"/>
              <w:rPr>
                <w:sz w:val="20"/>
                <w:szCs w:val="20"/>
                <w:color w:val="auto"/>
              </w:rPr>
            </w:pPr>
            <w:r>
              <w:rPr>
                <w:rFonts w:ascii="Courier New" w:cs="Courier New" w:eastAsia="Courier New" w:hAnsi="Courier New"/>
                <w:sz w:val="16"/>
                <w:szCs w:val="16"/>
                <w:color w:val="auto"/>
                <w:w w:val="93"/>
              </w:rPr>
              <w:t>--</w:t>
            </w:r>
          </w:p>
        </w:tc>
        <w:tc>
          <w:tcPr>
            <w:tcW w:w="1440" w:type="dxa"/>
            <w:vAlign w:val="bottom"/>
          </w:tcPr>
          <w:p>
            <w:pPr>
              <w:ind w:left="540"/>
              <w:spacing w:after="0"/>
              <w:rPr>
                <w:sz w:val="20"/>
                <w:szCs w:val="20"/>
                <w:color w:val="auto"/>
              </w:rPr>
            </w:pPr>
            <w:r>
              <w:rPr>
                <w:rFonts w:ascii="Courier New" w:cs="Courier New" w:eastAsia="Courier New" w:hAnsi="Courier New"/>
                <w:sz w:val="16"/>
                <w:szCs w:val="16"/>
                <w:color w:val="auto"/>
              </w:rPr>
              <w:t>76,245(D)</w:t>
            </w:r>
          </w:p>
        </w:tc>
        <w:tc>
          <w:tcPr>
            <w:tcW w:w="140" w:type="dxa"/>
            <w:vAlign w:val="bottom"/>
          </w:tcPr>
          <w:p>
            <w:pPr>
              <w:spacing w:after="0"/>
              <w:rPr>
                <w:sz w:val="15"/>
                <w:szCs w:val="15"/>
                <w:color w:val="auto"/>
              </w:rPr>
            </w:pPr>
          </w:p>
        </w:tc>
        <w:tc>
          <w:tcPr>
            <w:tcW w:w="760" w:type="dxa"/>
            <w:vAlign w:val="bottom"/>
          </w:tcPr>
          <w:p>
            <w:pPr>
              <w:jc w:val="center"/>
              <w:ind w:right="21"/>
              <w:spacing w:after="0"/>
              <w:rPr>
                <w:sz w:val="20"/>
                <w:szCs w:val="20"/>
                <w:color w:val="auto"/>
              </w:rPr>
            </w:pPr>
            <w:r>
              <w:rPr>
                <w:rFonts w:ascii="Courier New" w:cs="Courier New" w:eastAsia="Courier New" w:hAnsi="Courier New"/>
                <w:sz w:val="16"/>
                <w:szCs w:val="16"/>
                <w:color w:val="auto"/>
                <w:w w:val="98"/>
              </w:rPr>
              <w:t>306,646</w:t>
            </w:r>
          </w:p>
        </w:tc>
      </w:tr>
      <w:tr>
        <w:trPr>
          <w:trHeight w:val="183"/>
        </w:trPr>
        <w:tc>
          <w:tcPr>
            <w:tcW w:w="38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Common stockholders' equity............</w:t>
            </w:r>
          </w:p>
        </w:tc>
        <w:tc>
          <w:tcPr>
            <w:tcW w:w="38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315,826</w:t>
            </w:r>
          </w:p>
        </w:tc>
        <w:tc>
          <w:tcPr>
            <w:tcW w:w="300" w:type="dxa"/>
            <w:vAlign w:val="bottom"/>
          </w:tcPr>
          <w:p>
            <w:pPr>
              <w:spacing w:after="0"/>
              <w:rPr>
                <w:sz w:val="15"/>
                <w:szCs w:val="15"/>
                <w:color w:val="auto"/>
              </w:rPr>
            </w:pPr>
          </w:p>
        </w:tc>
        <w:tc>
          <w:tcPr>
            <w:tcW w:w="100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spacing w:after="0"/>
              <w:rPr>
                <w:sz w:val="15"/>
                <w:szCs w:val="15"/>
                <w:color w:val="auto"/>
              </w:rPr>
            </w:pPr>
          </w:p>
        </w:tc>
        <w:tc>
          <w:tcPr>
            <w:tcW w:w="1100" w:type="dxa"/>
            <w:vAlign w:val="bottom"/>
          </w:tcPr>
          <w:p>
            <w:pPr>
              <w:jc w:val="right"/>
              <w:ind w:right="821"/>
              <w:spacing w:after="0"/>
              <w:rPr>
                <w:sz w:val="20"/>
                <w:szCs w:val="20"/>
                <w:color w:val="auto"/>
              </w:rPr>
            </w:pPr>
            <w:r>
              <w:rPr>
                <w:rFonts w:ascii="Courier New" w:cs="Courier New" w:eastAsia="Courier New" w:hAnsi="Courier New"/>
                <w:sz w:val="16"/>
                <w:szCs w:val="16"/>
                <w:color w:val="auto"/>
                <w:w w:val="93"/>
              </w:rPr>
              <w:t>--</w:t>
            </w:r>
          </w:p>
        </w:tc>
        <w:tc>
          <w:tcPr>
            <w:tcW w:w="1440" w:type="dxa"/>
            <w:vAlign w:val="bottom"/>
          </w:tcPr>
          <w:p>
            <w:pPr>
              <w:ind w:left="540"/>
              <w:spacing w:after="0"/>
              <w:rPr>
                <w:sz w:val="20"/>
                <w:szCs w:val="20"/>
                <w:color w:val="auto"/>
              </w:rPr>
            </w:pPr>
            <w:r>
              <w:rPr>
                <w:rFonts w:ascii="Courier New" w:cs="Courier New" w:eastAsia="Courier New" w:hAnsi="Courier New"/>
                <w:sz w:val="16"/>
                <w:szCs w:val="16"/>
                <w:color w:val="auto"/>
              </w:rPr>
              <w:t>92,820(E)</w:t>
            </w:r>
          </w:p>
        </w:tc>
        <w:tc>
          <w:tcPr>
            <w:tcW w:w="140" w:type="dxa"/>
            <w:vAlign w:val="bottom"/>
          </w:tcPr>
          <w:p>
            <w:pPr>
              <w:spacing w:after="0"/>
              <w:rPr>
                <w:sz w:val="15"/>
                <w:szCs w:val="15"/>
                <w:color w:val="auto"/>
              </w:rPr>
            </w:pPr>
          </w:p>
        </w:tc>
        <w:tc>
          <w:tcPr>
            <w:tcW w:w="760" w:type="dxa"/>
            <w:vAlign w:val="bottom"/>
          </w:tcPr>
          <w:p>
            <w:pPr>
              <w:jc w:val="center"/>
              <w:ind w:right="21"/>
              <w:spacing w:after="0"/>
              <w:rPr>
                <w:sz w:val="20"/>
                <w:szCs w:val="20"/>
                <w:color w:val="auto"/>
              </w:rPr>
            </w:pPr>
            <w:r>
              <w:rPr>
                <w:rFonts w:ascii="Courier New" w:cs="Courier New" w:eastAsia="Courier New" w:hAnsi="Courier New"/>
                <w:sz w:val="16"/>
                <w:szCs w:val="16"/>
                <w:color w:val="auto"/>
                <w:w w:val="98"/>
              </w:rPr>
              <w:t>408,646</w:t>
            </w:r>
          </w:p>
        </w:tc>
      </w:tr>
      <w:tr>
        <w:trPr>
          <w:trHeight w:val="183"/>
        </w:trPr>
        <w:tc>
          <w:tcPr>
            <w:tcW w:w="3820" w:type="dxa"/>
            <w:vAlign w:val="bottom"/>
          </w:tcPr>
          <w:p>
            <w:pPr>
              <w:spacing w:after="0"/>
              <w:rPr>
                <w:sz w:val="15"/>
                <w:szCs w:val="15"/>
                <w:color w:val="auto"/>
              </w:rPr>
            </w:pPr>
          </w:p>
        </w:tc>
        <w:tc>
          <w:tcPr>
            <w:tcW w:w="11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center"/>
              <w:ind w:right="2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w:t>
            </w:r>
          </w:p>
        </w:tc>
      </w:tr>
      <w:tr>
        <w:trPr>
          <w:trHeight w:val="183"/>
        </w:trPr>
        <w:tc>
          <w:tcPr>
            <w:tcW w:w="3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TOTAL LIABILITIES AND STOCKHOLDERS'</w:t>
            </w: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3"/>
        </w:trPr>
        <w:tc>
          <w:tcPr>
            <w:tcW w:w="3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EQUITY...........................</w:t>
            </w:r>
          </w:p>
        </w:tc>
        <w:tc>
          <w:tcPr>
            <w:tcW w:w="38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767,942</w:t>
            </w:r>
          </w:p>
        </w:tc>
        <w:tc>
          <w:tcPr>
            <w:tcW w:w="30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9,162</w:t>
            </w:r>
          </w:p>
        </w:tc>
        <w:tc>
          <w:tcPr>
            <w:tcW w:w="460" w:type="dxa"/>
            <w:vAlign w:val="bottom"/>
          </w:tcPr>
          <w:p>
            <w:pPr>
              <w:ind w:left="38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4,859</w:t>
            </w:r>
          </w:p>
        </w:tc>
        <w:tc>
          <w:tcPr>
            <w:tcW w:w="1440" w:type="dxa"/>
            <w:vAlign w:val="bottom"/>
          </w:tcPr>
          <w:p>
            <w:pPr>
              <w:jc w:val="center"/>
              <w:ind w:right="21"/>
              <w:spacing w:after="0"/>
              <w:rPr>
                <w:sz w:val="20"/>
                <w:szCs w:val="20"/>
                <w:color w:val="auto"/>
              </w:rPr>
            </w:pPr>
            <w:r>
              <w:rPr>
                <w:rFonts w:ascii="Courier New" w:cs="Courier New" w:eastAsia="Courier New" w:hAnsi="Courier New"/>
                <w:sz w:val="16"/>
                <w:szCs w:val="16"/>
                <w:color w:val="auto"/>
                <w:w w:val="99"/>
              </w:rPr>
              <w:t>$ 169,065</w:t>
            </w:r>
          </w:p>
        </w:tc>
        <w:tc>
          <w:tcPr>
            <w:tcW w:w="9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$951,028</w:t>
            </w:r>
          </w:p>
        </w:tc>
      </w:tr>
      <w:tr>
        <w:trPr>
          <w:trHeight w:val="183"/>
        </w:trPr>
        <w:tc>
          <w:tcPr>
            <w:tcW w:w="3820" w:type="dxa"/>
            <w:vAlign w:val="bottom"/>
          </w:tcPr>
          <w:p>
            <w:pPr>
              <w:spacing w:after="0"/>
              <w:rPr>
                <w:sz w:val="15"/>
                <w:szCs w:val="15"/>
                <w:color w:val="auto"/>
              </w:rPr>
            </w:pPr>
          </w:p>
        </w:tc>
        <w:tc>
          <w:tcPr>
            <w:tcW w:w="11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center"/>
              <w:ind w:right="2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w:t>
            </w:r>
          </w:p>
        </w:tc>
      </w:tr>
      <w:tr>
        <w:trPr>
          <w:trHeight w:val="183"/>
        </w:trPr>
        <w:tc>
          <w:tcPr>
            <w:tcW w:w="3820" w:type="dxa"/>
            <w:vAlign w:val="bottom"/>
          </w:tcPr>
          <w:p>
            <w:pPr>
              <w:spacing w:after="0"/>
              <w:rPr>
                <w:sz w:val="15"/>
                <w:szCs w:val="15"/>
                <w:color w:val="auto"/>
              </w:rPr>
            </w:pPr>
          </w:p>
        </w:tc>
        <w:tc>
          <w:tcPr>
            <w:tcW w:w="11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center"/>
              <w:ind w:right="2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w:t>
            </w:r>
          </w:p>
        </w:tc>
      </w:tr>
    </w:tbl>
    <w:p>
      <w:pPr>
        <w:spacing w:after="0" w:line="200" w:lineRule="exact"/>
        <w:rPr>
          <w:sz w:val="20"/>
          <w:szCs w:val="20"/>
          <w:color w:val="auto"/>
        </w:rPr>
      </w:pPr>
    </w:p>
    <w:p>
      <w:pPr>
        <w:spacing w:after="0" w:line="355"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5"/>
          <w:szCs w:val="15"/>
          <w:color w:val="auto"/>
        </w:rPr>
        <w:t>The accompanying notes and management's assumptions are an integral part of this</w:t>
      </w:r>
    </w:p>
    <w:p>
      <w:pPr>
        <w:spacing w:after="0" w:line="11"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statement.</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481" w:right="1440"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81"/>
        </w:trPr>
        <w:tc>
          <w:tcPr>
            <w:tcW w:w="2860" w:type="dxa"/>
            <w:vAlign w:val="bottom"/>
          </w:tcPr>
          <w:p>
            <w:pPr>
              <w:spacing w:after="0"/>
              <w:rPr>
                <w:sz w:val="15"/>
                <w:szCs w:val="15"/>
                <w:color w:val="auto"/>
              </w:rPr>
            </w:pPr>
          </w:p>
        </w:tc>
        <w:tc>
          <w:tcPr>
            <w:tcW w:w="272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UNIVERSAL HEALTH SERVICES,</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INC.</w:t>
            </w:r>
          </w:p>
        </w:tc>
        <w:tc>
          <w:tcPr>
            <w:tcW w:w="1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7440" w:type="dxa"/>
            <w:vAlign w:val="bottom"/>
            <w:gridSpan w:val="7"/>
          </w:tcPr>
          <w:p>
            <w:pPr>
              <w:jc w:val="right"/>
              <w:ind w:right="501"/>
              <w:spacing w:after="0"/>
              <w:rPr>
                <w:sz w:val="20"/>
                <w:szCs w:val="20"/>
                <w:color w:val="auto"/>
              </w:rPr>
            </w:pPr>
            <w:r>
              <w:rPr>
                <w:rFonts w:ascii="Courier New" w:cs="Courier New" w:eastAsia="Courier New" w:hAnsi="Courier New"/>
                <w:sz w:val="16"/>
                <w:szCs w:val="16"/>
                <w:color w:val="auto"/>
              </w:rPr>
              <w:t>PRO FORMA CONDENSED CONSOLIDATED INCOME STATEMENT</w:t>
            </w: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2860" w:type="dxa"/>
            <w:vAlign w:val="bottom"/>
          </w:tcPr>
          <w:p>
            <w:pPr>
              <w:spacing w:after="0"/>
              <w:rPr>
                <w:sz w:val="15"/>
                <w:szCs w:val="15"/>
                <w:color w:val="auto"/>
              </w:rPr>
            </w:pPr>
          </w:p>
        </w:tc>
        <w:tc>
          <w:tcPr>
            <w:tcW w:w="4580" w:type="dxa"/>
            <w:vAlign w:val="bottom"/>
            <w:gridSpan w:val="6"/>
          </w:tcPr>
          <w:p>
            <w:pPr>
              <w:jc w:val="right"/>
              <w:ind w:right="1061"/>
              <w:spacing w:after="0"/>
              <w:rPr>
                <w:sz w:val="20"/>
                <w:szCs w:val="20"/>
                <w:color w:val="auto"/>
              </w:rPr>
            </w:pPr>
            <w:r>
              <w:rPr>
                <w:rFonts w:ascii="Courier New" w:cs="Courier New" w:eastAsia="Courier New" w:hAnsi="Courier New"/>
                <w:sz w:val="16"/>
                <w:szCs w:val="16"/>
                <w:color w:val="auto"/>
                <w:w w:val="98"/>
              </w:rPr>
              <w:t>FOR THE YEAR ENDED DECEMBER 31, 1995</w:t>
            </w: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2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340" w:type="dxa"/>
            <w:vAlign w:val="bottom"/>
            <w:gridSpan w:val="3"/>
          </w:tcPr>
          <w:p>
            <w:pPr>
              <w:jc w:val="right"/>
              <w:ind w:right="441"/>
              <w:spacing w:after="0"/>
              <w:rPr>
                <w:sz w:val="20"/>
                <w:szCs w:val="20"/>
                <w:color w:val="auto"/>
              </w:rPr>
            </w:pPr>
            <w:r>
              <w:rPr>
                <w:rFonts w:ascii="Courier New" w:cs="Courier New" w:eastAsia="Courier New" w:hAnsi="Courier New"/>
                <w:sz w:val="16"/>
                <w:szCs w:val="16"/>
                <w:color w:val="auto"/>
              </w:rPr>
              <w:t>(UNAUDITED)</w:t>
            </w:r>
          </w:p>
        </w:tc>
        <w:tc>
          <w:tcPr>
            <w:tcW w:w="5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7440" w:type="dxa"/>
            <w:vAlign w:val="bottom"/>
            <w:gridSpan w:val="7"/>
          </w:tcPr>
          <w:p>
            <w:pPr>
              <w:jc w:val="right"/>
              <w:ind w:right="601"/>
              <w:spacing w:after="0"/>
              <w:rPr>
                <w:sz w:val="20"/>
                <w:szCs w:val="20"/>
                <w:color w:val="auto"/>
              </w:rPr>
            </w:pPr>
            <w:r>
              <w:rPr>
                <w:rFonts w:ascii="Courier New" w:cs="Courier New" w:eastAsia="Courier New" w:hAnsi="Courier New"/>
                <w:sz w:val="16"/>
                <w:szCs w:val="16"/>
                <w:color w:val="auto"/>
              </w:rPr>
              <w:t>(IN THOUSANDS, EXCEPT SHARE AND PER SHARE DATA)</w:t>
            </w: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917"/>
        </w:trPr>
        <w:tc>
          <w:tcPr>
            <w:tcW w:w="2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20" w:type="dxa"/>
            <w:vAlign w:val="bottom"/>
            <w:gridSpan w:val="3"/>
          </w:tcPr>
          <w:p>
            <w:pPr>
              <w:jc w:val="right"/>
              <w:ind w:right="541"/>
              <w:spacing w:after="0"/>
              <w:rPr>
                <w:sz w:val="20"/>
                <w:szCs w:val="20"/>
                <w:color w:val="auto"/>
              </w:rPr>
            </w:pPr>
            <w:r>
              <w:rPr>
                <w:rFonts w:ascii="Courier New" w:cs="Courier New" w:eastAsia="Courier New" w:hAnsi="Courier New"/>
                <w:sz w:val="16"/>
                <w:szCs w:val="16"/>
                <w:color w:val="auto"/>
              </w:rPr>
              <w:t>1996 ACQUISITIONS</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3"/>
        </w:trPr>
        <w:tc>
          <w:tcPr>
            <w:tcW w:w="2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1995</w:t>
            </w:r>
          </w:p>
        </w:tc>
        <w:tc>
          <w:tcPr>
            <w:tcW w:w="520" w:type="dxa"/>
            <w:vAlign w:val="bottom"/>
          </w:tcPr>
          <w:p>
            <w:pPr>
              <w:spacing w:after="0"/>
              <w:rPr>
                <w:sz w:val="15"/>
                <w:szCs w:val="15"/>
                <w:color w:val="auto"/>
              </w:rPr>
            </w:pPr>
          </w:p>
        </w:tc>
        <w:tc>
          <w:tcPr>
            <w:tcW w:w="17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w:t>
            </w: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center"/>
              <w:ind w:right="201"/>
              <w:spacing w:after="0"/>
              <w:rPr>
                <w:sz w:val="20"/>
                <w:szCs w:val="20"/>
                <w:color w:val="auto"/>
              </w:rPr>
            </w:pPr>
            <w:r>
              <w:rPr>
                <w:rFonts w:ascii="Courier New" w:cs="Courier New" w:eastAsia="Courier New" w:hAnsi="Courier New"/>
                <w:sz w:val="16"/>
                <w:szCs w:val="16"/>
                <w:color w:val="auto"/>
                <w:w w:val="97"/>
              </w:rPr>
              <w:t>THE</w:t>
            </w:r>
          </w:p>
        </w:tc>
      </w:tr>
      <w:tr>
        <w:trPr>
          <w:trHeight w:val="183"/>
        </w:trPr>
        <w:tc>
          <w:tcPr>
            <w:tcW w:w="2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THE</w:t>
            </w:r>
          </w:p>
        </w:tc>
        <w:tc>
          <w:tcPr>
            <w:tcW w:w="1860" w:type="dxa"/>
            <w:vAlign w:val="bottom"/>
            <w:gridSpan w:val="3"/>
          </w:tcPr>
          <w:p>
            <w:pPr>
              <w:ind w:left="340"/>
              <w:spacing w:after="0"/>
              <w:rPr>
                <w:sz w:val="20"/>
                <w:szCs w:val="20"/>
                <w:color w:val="auto"/>
              </w:rPr>
            </w:pPr>
            <w:r>
              <w:rPr>
                <w:rFonts w:ascii="Courier New" w:cs="Courier New" w:eastAsia="Courier New" w:hAnsi="Courier New"/>
                <w:sz w:val="16"/>
                <w:szCs w:val="16"/>
                <w:color w:val="auto"/>
              </w:rPr>
              <w:t>ACQUISITIONS</w:t>
            </w:r>
          </w:p>
        </w:tc>
        <w:tc>
          <w:tcPr>
            <w:tcW w:w="1340" w:type="dxa"/>
            <w:vAlign w:val="bottom"/>
          </w:tcPr>
          <w:p>
            <w:pPr>
              <w:ind w:left="100"/>
              <w:spacing w:after="0"/>
              <w:rPr>
                <w:sz w:val="20"/>
                <w:szCs w:val="20"/>
                <w:color w:val="auto"/>
              </w:rPr>
            </w:pPr>
            <w:r>
              <w:rPr>
                <w:rFonts w:ascii="Courier New" w:cs="Courier New" w:eastAsia="Courier New" w:hAnsi="Courier New"/>
                <w:sz w:val="16"/>
                <w:szCs w:val="16"/>
                <w:color w:val="auto"/>
              </w:rPr>
              <w:t>NORTHWEST</w:t>
            </w:r>
          </w:p>
        </w:tc>
        <w:tc>
          <w:tcPr>
            <w:tcW w:w="380" w:type="dxa"/>
            <w:vAlign w:val="bottom"/>
          </w:tcPr>
          <w:p>
            <w:pPr>
              <w:spacing w:after="0"/>
              <w:rPr>
                <w:sz w:val="15"/>
                <w:szCs w:val="15"/>
                <w:color w:val="auto"/>
              </w:rPr>
            </w:pPr>
          </w:p>
        </w:tc>
        <w:tc>
          <w:tcPr>
            <w:tcW w:w="1100" w:type="dxa"/>
            <w:vAlign w:val="bottom"/>
          </w:tcPr>
          <w:p>
            <w:pPr>
              <w:spacing w:after="0"/>
              <w:rPr>
                <w:sz w:val="20"/>
                <w:szCs w:val="20"/>
                <w:color w:val="auto"/>
              </w:rPr>
            </w:pPr>
            <w:r>
              <w:rPr>
                <w:rFonts w:ascii="Courier New" w:cs="Courier New" w:eastAsia="Courier New" w:hAnsi="Courier New"/>
                <w:sz w:val="16"/>
                <w:szCs w:val="16"/>
                <w:color w:val="auto"/>
              </w:rPr>
              <w:t>FIRST</w:t>
            </w:r>
          </w:p>
        </w:tc>
        <w:tc>
          <w:tcPr>
            <w:tcW w:w="240" w:type="dxa"/>
            <w:vAlign w:val="bottom"/>
          </w:tcPr>
          <w:p>
            <w:pPr>
              <w:spacing w:after="0"/>
              <w:rPr>
                <w:sz w:val="15"/>
                <w:szCs w:val="15"/>
                <w:color w:val="auto"/>
              </w:rPr>
            </w:pP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OTHER</w:t>
            </w:r>
          </w:p>
        </w:tc>
        <w:tc>
          <w:tcPr>
            <w:tcW w:w="80" w:type="dxa"/>
            <w:vAlign w:val="bottom"/>
          </w:tcPr>
          <w:p>
            <w:pPr>
              <w:spacing w:after="0"/>
              <w:rPr>
                <w:sz w:val="15"/>
                <w:szCs w:val="15"/>
                <w:color w:val="auto"/>
              </w:rPr>
            </w:pPr>
          </w:p>
        </w:tc>
        <w:tc>
          <w:tcPr>
            <w:tcW w:w="960" w:type="dxa"/>
            <w:vAlign w:val="bottom"/>
          </w:tcPr>
          <w:p>
            <w:pPr>
              <w:jc w:val="center"/>
              <w:ind w:right="201"/>
              <w:spacing w:after="0"/>
              <w:rPr>
                <w:sz w:val="20"/>
                <w:szCs w:val="20"/>
                <w:color w:val="auto"/>
              </w:rPr>
            </w:pPr>
            <w:r>
              <w:rPr>
                <w:rFonts w:ascii="Courier New" w:cs="Courier New" w:eastAsia="Courier New" w:hAnsi="Courier New"/>
                <w:sz w:val="16"/>
                <w:szCs w:val="16"/>
                <w:color w:val="auto"/>
              </w:rPr>
              <w:t>COMPANY</w:t>
            </w:r>
          </w:p>
        </w:tc>
      </w:tr>
      <w:tr>
        <w:trPr>
          <w:trHeight w:val="183"/>
        </w:trPr>
        <w:tc>
          <w:tcPr>
            <w:tcW w:w="2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5"/>
              </w:rPr>
              <w:t>COMPANY</w:t>
            </w:r>
          </w:p>
        </w:tc>
        <w:tc>
          <w:tcPr>
            <w:tcW w:w="620" w:type="dxa"/>
            <w:vAlign w:val="bottom"/>
          </w:tcPr>
          <w:p>
            <w:pPr>
              <w:spacing w:after="0"/>
              <w:rPr>
                <w:sz w:val="15"/>
                <w:szCs w:val="15"/>
                <w:color w:val="auto"/>
              </w:rPr>
            </w:pPr>
          </w:p>
        </w:tc>
        <w:tc>
          <w:tcPr>
            <w:tcW w:w="7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AND</w:t>
            </w:r>
          </w:p>
        </w:tc>
        <w:tc>
          <w:tcPr>
            <w:tcW w:w="520" w:type="dxa"/>
            <w:vAlign w:val="bottom"/>
          </w:tcPr>
          <w:p>
            <w:pPr>
              <w:spacing w:after="0"/>
              <w:rPr>
                <w:sz w:val="15"/>
                <w:szCs w:val="15"/>
                <w:color w:val="auto"/>
              </w:rPr>
            </w:pPr>
          </w:p>
        </w:tc>
        <w:tc>
          <w:tcPr>
            <w:tcW w:w="13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TEXAS</w:t>
            </w:r>
          </w:p>
        </w:tc>
        <w:tc>
          <w:tcPr>
            <w:tcW w:w="1480" w:type="dxa"/>
            <w:vAlign w:val="bottom"/>
            <w:gridSpan w:val="2"/>
          </w:tcPr>
          <w:p>
            <w:pPr>
              <w:jc w:val="right"/>
              <w:ind w:right="361"/>
              <w:spacing w:after="0"/>
              <w:rPr>
                <w:sz w:val="20"/>
                <w:szCs w:val="20"/>
                <w:color w:val="auto"/>
              </w:rPr>
            </w:pPr>
            <w:r>
              <w:rPr>
                <w:rFonts w:ascii="Courier New" w:cs="Courier New" w:eastAsia="Courier New" w:hAnsi="Courier New"/>
                <w:sz w:val="16"/>
                <w:szCs w:val="16"/>
                <w:color w:val="auto"/>
              </w:rPr>
              <w:t>HOSPITAL</w:t>
            </w:r>
          </w:p>
        </w:tc>
        <w:tc>
          <w:tcPr>
            <w:tcW w:w="240" w:type="dxa"/>
            <w:vAlign w:val="bottom"/>
          </w:tcPr>
          <w:p>
            <w:pPr>
              <w:spacing w:after="0"/>
              <w:rPr>
                <w:sz w:val="15"/>
                <w:szCs w:val="15"/>
                <w:color w:val="auto"/>
              </w:rPr>
            </w:pP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7"/>
              </w:rPr>
              <w:t>PRO FORMA</w:t>
            </w:r>
          </w:p>
        </w:tc>
        <w:tc>
          <w:tcPr>
            <w:tcW w:w="80" w:type="dxa"/>
            <w:vAlign w:val="bottom"/>
          </w:tcPr>
          <w:p>
            <w:pPr>
              <w:spacing w:after="0"/>
              <w:rPr>
                <w:sz w:val="15"/>
                <w:szCs w:val="15"/>
                <w:color w:val="auto"/>
              </w:rPr>
            </w:pPr>
          </w:p>
        </w:tc>
        <w:tc>
          <w:tcPr>
            <w:tcW w:w="960" w:type="dxa"/>
            <w:vAlign w:val="bottom"/>
          </w:tcPr>
          <w:p>
            <w:pPr>
              <w:jc w:val="center"/>
              <w:ind w:right="201"/>
              <w:spacing w:after="0"/>
              <w:rPr>
                <w:sz w:val="20"/>
                <w:szCs w:val="20"/>
                <w:color w:val="auto"/>
              </w:rPr>
            </w:pPr>
            <w:r>
              <w:rPr>
                <w:rFonts w:ascii="Courier New" w:cs="Courier New" w:eastAsia="Courier New" w:hAnsi="Courier New"/>
                <w:sz w:val="16"/>
                <w:szCs w:val="16"/>
                <w:color w:val="auto"/>
                <w:w w:val="97"/>
              </w:rPr>
              <w:t>PRO</w:t>
            </w:r>
          </w:p>
        </w:tc>
      </w:tr>
      <w:tr>
        <w:trPr>
          <w:trHeight w:val="183"/>
        </w:trPr>
        <w:tc>
          <w:tcPr>
            <w:tcW w:w="2860" w:type="dxa"/>
            <w:vAlign w:val="bottom"/>
          </w:tcPr>
          <w:p>
            <w:pPr>
              <w:spacing w:after="0"/>
              <w:rPr>
                <w:sz w:val="15"/>
                <w:szCs w:val="15"/>
                <w:color w:val="auto"/>
              </w:rPr>
            </w:pPr>
          </w:p>
        </w:tc>
        <w:tc>
          <w:tcPr>
            <w:tcW w:w="138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HISTORICAL</w:t>
            </w: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DIVESTITURES</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(F)</w:t>
            </w:r>
          </w:p>
        </w:tc>
        <w:tc>
          <w:tcPr>
            <w:tcW w:w="1340" w:type="dxa"/>
            <w:vAlign w:val="bottom"/>
          </w:tcPr>
          <w:p>
            <w:pPr>
              <w:ind w:left="100"/>
              <w:spacing w:after="0"/>
              <w:rPr>
                <w:sz w:val="20"/>
                <w:szCs w:val="20"/>
                <w:color w:val="auto"/>
              </w:rPr>
            </w:pPr>
            <w:r>
              <w:rPr>
                <w:rFonts w:ascii="Courier New" w:cs="Courier New" w:eastAsia="Courier New" w:hAnsi="Courier New"/>
                <w:sz w:val="16"/>
                <w:szCs w:val="16"/>
                <w:color w:val="auto"/>
              </w:rPr>
              <w:t>HEALTH (G)</w:t>
            </w:r>
          </w:p>
        </w:tc>
        <w:tc>
          <w:tcPr>
            <w:tcW w:w="14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w w:val="98"/>
              </w:rPr>
              <w:t>PROPERTIES (H)</w:t>
            </w:r>
          </w:p>
        </w:tc>
        <w:tc>
          <w:tcPr>
            <w:tcW w:w="14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ADJUSTMENTS</w:t>
            </w:r>
          </w:p>
        </w:tc>
        <w:tc>
          <w:tcPr>
            <w:tcW w:w="80" w:type="dxa"/>
            <w:vAlign w:val="bottom"/>
          </w:tcPr>
          <w:p>
            <w:pPr>
              <w:spacing w:after="0"/>
              <w:rPr>
                <w:sz w:val="15"/>
                <w:szCs w:val="15"/>
                <w:color w:val="auto"/>
              </w:rPr>
            </w:pPr>
          </w:p>
        </w:tc>
        <w:tc>
          <w:tcPr>
            <w:tcW w:w="960" w:type="dxa"/>
            <w:vAlign w:val="bottom"/>
          </w:tcPr>
          <w:p>
            <w:pPr>
              <w:jc w:val="center"/>
              <w:ind w:right="201"/>
              <w:spacing w:after="0"/>
              <w:rPr>
                <w:sz w:val="20"/>
                <w:szCs w:val="20"/>
                <w:color w:val="auto"/>
              </w:rPr>
            </w:pPr>
            <w:r>
              <w:rPr>
                <w:rFonts w:ascii="Courier New" w:cs="Courier New" w:eastAsia="Courier New" w:hAnsi="Courier New"/>
                <w:sz w:val="16"/>
                <w:szCs w:val="16"/>
                <w:color w:val="auto"/>
                <w:w w:val="99"/>
              </w:rPr>
              <w:t>FORMA</w:t>
            </w:r>
          </w:p>
        </w:tc>
      </w:tr>
      <w:tr>
        <w:trPr>
          <w:trHeight w:val="183"/>
        </w:trPr>
        <w:tc>
          <w:tcPr>
            <w:tcW w:w="2860" w:type="dxa"/>
            <w:vAlign w:val="bottom"/>
          </w:tcPr>
          <w:p>
            <w:pPr>
              <w:spacing w:after="0"/>
              <w:rPr>
                <w:sz w:val="15"/>
                <w:szCs w:val="15"/>
                <w:color w:val="auto"/>
              </w:rPr>
            </w:pPr>
          </w:p>
        </w:tc>
        <w:tc>
          <w:tcPr>
            <w:tcW w:w="13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860" w:type="dxa"/>
            <w:vAlign w:val="bottom"/>
            <w:gridSpan w:val="3"/>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w w:val="98"/>
              </w:rPr>
              <w:t>--------------</w:t>
            </w:r>
          </w:p>
        </w:tc>
        <w:tc>
          <w:tcPr>
            <w:tcW w:w="148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5"/>
              </w:rPr>
              <w:t>----------</w:t>
            </w:r>
          </w:p>
        </w:tc>
      </w:tr>
      <w:tr>
        <w:trPr>
          <w:trHeight w:val="367"/>
        </w:trPr>
        <w:tc>
          <w:tcPr>
            <w:tcW w:w="2860" w:type="dxa"/>
            <w:vAlign w:val="bottom"/>
          </w:tcPr>
          <w:p>
            <w:pPr>
              <w:spacing w:after="0"/>
              <w:rPr>
                <w:sz w:val="20"/>
                <w:szCs w:val="20"/>
                <w:color w:val="auto"/>
              </w:rPr>
            </w:pPr>
            <w:r>
              <w:rPr>
                <w:rFonts w:ascii="Courier New" w:cs="Courier New" w:eastAsia="Courier New" w:hAnsi="Courier New"/>
                <w:sz w:val="16"/>
                <w:szCs w:val="16"/>
                <w:color w:val="auto"/>
                <w:w w:val="95"/>
              </w:rPr>
              <w:t>Net Revenues...................</w:t>
            </w:r>
          </w:p>
        </w:tc>
        <w:tc>
          <w:tcPr>
            <w:tcW w:w="380" w:type="dxa"/>
            <w:vAlign w:val="bottom"/>
          </w:tcPr>
          <w:p>
            <w:pPr>
              <w:ind w:left="280"/>
              <w:spacing w:after="0"/>
              <w:rPr>
                <w:sz w:val="20"/>
                <w:szCs w:val="20"/>
                <w:color w:val="auto"/>
              </w:rPr>
            </w:pPr>
            <w:r>
              <w:rPr>
                <w:rFonts w:ascii="Courier New" w:cs="Courier New" w:eastAsia="Courier New" w:hAnsi="Courier New"/>
                <w:sz w:val="16"/>
                <w:szCs w:val="16"/>
                <w:color w:val="auto"/>
                <w:w w:val="82"/>
              </w:rPr>
              <w:t>$</w:t>
            </w: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931,126</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75,311</w:t>
            </w:r>
          </w:p>
        </w:tc>
        <w:tc>
          <w:tcPr>
            <w:tcW w:w="520" w:type="dxa"/>
            <w:vAlign w:val="bottom"/>
          </w:tcPr>
          <w:p>
            <w:pPr>
              <w:spacing w:after="0"/>
              <w:rPr>
                <w:sz w:val="24"/>
                <w:szCs w:val="24"/>
                <w:color w:val="auto"/>
              </w:rPr>
            </w:pP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$ 148,804</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44,993</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124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5"/>
              </w:rPr>
              <w:t>$1,200,234</w:t>
            </w:r>
          </w:p>
        </w:tc>
      </w:tr>
      <w:tr>
        <w:trPr>
          <w:trHeight w:val="183"/>
        </w:trPr>
        <w:tc>
          <w:tcPr>
            <w:tcW w:w="2860" w:type="dxa"/>
            <w:vAlign w:val="bottom"/>
          </w:tcPr>
          <w:p>
            <w:pPr>
              <w:spacing w:after="0"/>
              <w:rPr>
                <w:sz w:val="20"/>
                <w:szCs w:val="20"/>
                <w:color w:val="auto"/>
              </w:rPr>
            </w:pPr>
            <w:r>
              <w:rPr>
                <w:rFonts w:ascii="Courier New" w:cs="Courier New" w:eastAsia="Courier New" w:hAnsi="Courier New"/>
                <w:sz w:val="16"/>
                <w:szCs w:val="16"/>
                <w:color w:val="auto"/>
              </w:rPr>
              <w:t>Operating charges:</w:t>
            </w: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32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Operating expenses............</w:t>
            </w: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361,049</w:t>
            </w:r>
          </w:p>
        </w:tc>
        <w:tc>
          <w:tcPr>
            <w:tcW w:w="6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31,884</w:t>
            </w:r>
          </w:p>
        </w:tc>
        <w:tc>
          <w:tcPr>
            <w:tcW w:w="520" w:type="dxa"/>
            <w:vAlign w:val="bottom"/>
          </w:tcPr>
          <w:p>
            <w:pPr>
              <w:spacing w:after="0"/>
              <w:rPr>
                <w:sz w:val="15"/>
                <w:szCs w:val="15"/>
                <w:color w:val="auto"/>
              </w:rPr>
            </w:pP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66,837</w:t>
            </w:r>
          </w:p>
        </w:tc>
        <w:tc>
          <w:tcPr>
            <w:tcW w:w="380" w:type="dxa"/>
            <w:vAlign w:val="bottom"/>
          </w:tcPr>
          <w:p>
            <w:pPr>
              <w:spacing w:after="0"/>
              <w:rPr>
                <w:sz w:val="15"/>
                <w:szCs w:val="15"/>
                <w:color w:val="auto"/>
              </w:rPr>
            </w:pPr>
          </w:p>
        </w:tc>
        <w:tc>
          <w:tcPr>
            <w:tcW w:w="11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12,979</w:t>
            </w:r>
          </w:p>
        </w:tc>
        <w:tc>
          <w:tcPr>
            <w:tcW w:w="240" w:type="dxa"/>
            <w:vAlign w:val="bottom"/>
          </w:tcPr>
          <w:p>
            <w:pPr>
              <w:spacing w:after="0"/>
              <w:rPr>
                <w:sz w:val="15"/>
                <w:szCs w:val="15"/>
                <w:color w:val="auto"/>
              </w:rPr>
            </w:pPr>
          </w:p>
        </w:tc>
        <w:tc>
          <w:tcPr>
            <w:tcW w:w="124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8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472,749</w:t>
            </w:r>
          </w:p>
        </w:tc>
      </w:tr>
      <w:tr>
        <w:trPr>
          <w:trHeight w:val="183"/>
        </w:trPr>
        <w:tc>
          <w:tcPr>
            <w:tcW w:w="32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Salaries and wages............</w:t>
            </w: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329,939</w:t>
            </w:r>
          </w:p>
        </w:tc>
        <w:tc>
          <w:tcPr>
            <w:tcW w:w="6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17,560</w:t>
            </w:r>
          </w:p>
        </w:tc>
        <w:tc>
          <w:tcPr>
            <w:tcW w:w="520" w:type="dxa"/>
            <w:vAlign w:val="bottom"/>
          </w:tcPr>
          <w:p>
            <w:pPr>
              <w:spacing w:after="0"/>
              <w:rPr>
                <w:sz w:val="15"/>
                <w:szCs w:val="15"/>
                <w:color w:val="auto"/>
              </w:rPr>
            </w:pP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50,890</w:t>
            </w:r>
          </w:p>
        </w:tc>
        <w:tc>
          <w:tcPr>
            <w:tcW w:w="380" w:type="dxa"/>
            <w:vAlign w:val="bottom"/>
          </w:tcPr>
          <w:p>
            <w:pPr>
              <w:spacing w:after="0"/>
              <w:rPr>
                <w:sz w:val="15"/>
                <w:szCs w:val="15"/>
                <w:color w:val="auto"/>
              </w:rPr>
            </w:pPr>
          </w:p>
        </w:tc>
        <w:tc>
          <w:tcPr>
            <w:tcW w:w="11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20,747</w:t>
            </w:r>
          </w:p>
        </w:tc>
        <w:tc>
          <w:tcPr>
            <w:tcW w:w="240" w:type="dxa"/>
            <w:vAlign w:val="bottom"/>
          </w:tcPr>
          <w:p>
            <w:pPr>
              <w:spacing w:after="0"/>
              <w:rPr>
                <w:sz w:val="15"/>
                <w:szCs w:val="15"/>
                <w:color w:val="auto"/>
              </w:rPr>
            </w:pPr>
          </w:p>
        </w:tc>
        <w:tc>
          <w:tcPr>
            <w:tcW w:w="124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8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419,136</w:t>
            </w:r>
          </w:p>
        </w:tc>
      </w:tr>
      <w:tr>
        <w:trPr>
          <w:trHeight w:val="183"/>
        </w:trPr>
        <w:tc>
          <w:tcPr>
            <w:tcW w:w="2860" w:type="dxa"/>
            <w:vAlign w:val="bottom"/>
          </w:tcPr>
          <w:p>
            <w:pPr>
              <w:ind w:left="100"/>
              <w:spacing w:after="0"/>
              <w:rPr>
                <w:sz w:val="20"/>
                <w:szCs w:val="20"/>
                <w:color w:val="auto"/>
              </w:rPr>
            </w:pPr>
            <w:r>
              <w:rPr>
                <w:rFonts w:ascii="Courier New" w:cs="Courier New" w:eastAsia="Courier New" w:hAnsi="Courier New"/>
                <w:sz w:val="16"/>
                <w:szCs w:val="16"/>
                <w:color w:val="auto"/>
              </w:rPr>
              <w:t>Provision for doubtful</w:t>
            </w: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32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accounts.....................</w:t>
            </w: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76,905</w:t>
            </w:r>
          </w:p>
        </w:tc>
        <w:tc>
          <w:tcPr>
            <w:tcW w:w="6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6,497</w:t>
            </w:r>
          </w:p>
        </w:tc>
        <w:tc>
          <w:tcPr>
            <w:tcW w:w="520" w:type="dxa"/>
            <w:vAlign w:val="bottom"/>
          </w:tcPr>
          <w:p>
            <w:pPr>
              <w:spacing w:after="0"/>
              <w:rPr>
                <w:sz w:val="15"/>
                <w:szCs w:val="15"/>
                <w:color w:val="auto"/>
              </w:rPr>
            </w:pP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11,712</w:t>
            </w:r>
          </w:p>
        </w:tc>
        <w:tc>
          <w:tcPr>
            <w:tcW w:w="380" w:type="dxa"/>
            <w:vAlign w:val="bottom"/>
          </w:tcPr>
          <w:p>
            <w:pPr>
              <w:spacing w:after="0"/>
              <w:rPr>
                <w:sz w:val="15"/>
                <w:szCs w:val="15"/>
                <w:color w:val="auto"/>
              </w:rPr>
            </w:pPr>
          </w:p>
        </w:tc>
        <w:tc>
          <w:tcPr>
            <w:tcW w:w="11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1,707</w:t>
            </w:r>
          </w:p>
        </w:tc>
        <w:tc>
          <w:tcPr>
            <w:tcW w:w="240" w:type="dxa"/>
            <w:vAlign w:val="bottom"/>
          </w:tcPr>
          <w:p>
            <w:pPr>
              <w:spacing w:after="0"/>
              <w:rPr>
                <w:sz w:val="15"/>
                <w:szCs w:val="15"/>
                <w:color w:val="auto"/>
              </w:rPr>
            </w:pPr>
          </w:p>
        </w:tc>
        <w:tc>
          <w:tcPr>
            <w:tcW w:w="124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8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96,821</w:t>
            </w:r>
          </w:p>
        </w:tc>
      </w:tr>
      <w:tr>
        <w:trPr>
          <w:trHeight w:val="183"/>
        </w:trPr>
        <w:tc>
          <w:tcPr>
            <w:tcW w:w="2860" w:type="dxa"/>
            <w:vAlign w:val="bottom"/>
          </w:tcPr>
          <w:p>
            <w:pPr>
              <w:ind w:left="100"/>
              <w:spacing w:after="0"/>
              <w:rPr>
                <w:sz w:val="20"/>
                <w:szCs w:val="20"/>
                <w:color w:val="auto"/>
              </w:rPr>
            </w:pPr>
            <w:r>
              <w:rPr>
                <w:rFonts w:ascii="Courier New" w:cs="Courier New" w:eastAsia="Courier New" w:hAnsi="Courier New"/>
                <w:sz w:val="16"/>
                <w:szCs w:val="16"/>
                <w:color w:val="auto"/>
              </w:rPr>
              <w:t>Depreciation and</w:t>
            </w: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32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amortization.................</w:t>
            </w: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51,371</w:t>
            </w:r>
          </w:p>
        </w:tc>
        <w:tc>
          <w:tcPr>
            <w:tcW w:w="6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6,595</w:t>
            </w:r>
          </w:p>
        </w:tc>
        <w:tc>
          <w:tcPr>
            <w:tcW w:w="520" w:type="dxa"/>
            <w:vAlign w:val="bottom"/>
          </w:tcPr>
          <w:p>
            <w:pPr>
              <w:spacing w:after="0"/>
              <w:rPr>
                <w:sz w:val="15"/>
                <w:szCs w:val="15"/>
                <w:color w:val="auto"/>
              </w:rPr>
            </w:pP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7,789</w:t>
            </w:r>
          </w:p>
        </w:tc>
        <w:tc>
          <w:tcPr>
            <w:tcW w:w="380" w:type="dxa"/>
            <w:vAlign w:val="bottom"/>
          </w:tcPr>
          <w:p>
            <w:pPr>
              <w:spacing w:after="0"/>
              <w:rPr>
                <w:sz w:val="15"/>
                <w:szCs w:val="15"/>
                <w:color w:val="auto"/>
              </w:rPr>
            </w:pPr>
          </w:p>
        </w:tc>
        <w:tc>
          <w:tcPr>
            <w:tcW w:w="11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2,132</w:t>
            </w:r>
          </w:p>
        </w:tc>
        <w:tc>
          <w:tcPr>
            <w:tcW w:w="240" w:type="dxa"/>
            <w:vAlign w:val="bottom"/>
          </w:tcPr>
          <w:p>
            <w:pPr>
              <w:spacing w:after="0"/>
              <w:rPr>
                <w:sz w:val="15"/>
                <w:szCs w:val="15"/>
                <w:color w:val="auto"/>
              </w:rPr>
            </w:pPr>
          </w:p>
        </w:tc>
        <w:tc>
          <w:tcPr>
            <w:tcW w:w="124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8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67,887</w:t>
            </w:r>
          </w:p>
        </w:tc>
      </w:tr>
      <w:tr>
        <w:trPr>
          <w:trHeight w:val="183"/>
        </w:trPr>
        <w:tc>
          <w:tcPr>
            <w:tcW w:w="32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Lease and rental expense......</w:t>
            </w: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36,068</w:t>
            </w:r>
          </w:p>
        </w:tc>
        <w:tc>
          <w:tcPr>
            <w:tcW w:w="6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151</w:t>
            </w:r>
          </w:p>
        </w:tc>
        <w:tc>
          <w:tcPr>
            <w:tcW w:w="520" w:type="dxa"/>
            <w:vAlign w:val="bottom"/>
          </w:tcPr>
          <w:p>
            <w:pPr>
              <w:spacing w:after="0"/>
              <w:rPr>
                <w:sz w:val="15"/>
                <w:szCs w:val="15"/>
                <w:color w:val="auto"/>
              </w:rPr>
            </w:pP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605</w:t>
            </w:r>
          </w:p>
        </w:tc>
        <w:tc>
          <w:tcPr>
            <w:tcW w:w="380" w:type="dxa"/>
            <w:vAlign w:val="bottom"/>
          </w:tcPr>
          <w:p>
            <w:pPr>
              <w:spacing w:after="0"/>
              <w:rPr>
                <w:sz w:val="15"/>
                <w:szCs w:val="15"/>
                <w:color w:val="auto"/>
              </w:rPr>
            </w:pPr>
          </w:p>
        </w:tc>
        <w:tc>
          <w:tcPr>
            <w:tcW w:w="11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205</w:t>
            </w:r>
          </w:p>
        </w:tc>
        <w:tc>
          <w:tcPr>
            <w:tcW w:w="240" w:type="dxa"/>
            <w:vAlign w:val="bottom"/>
          </w:tcPr>
          <w:p>
            <w:pPr>
              <w:spacing w:after="0"/>
              <w:rPr>
                <w:sz w:val="15"/>
                <w:szCs w:val="15"/>
                <w:color w:val="auto"/>
              </w:rPr>
            </w:pPr>
          </w:p>
        </w:tc>
        <w:tc>
          <w:tcPr>
            <w:tcW w:w="124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8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37,029</w:t>
            </w:r>
          </w:p>
        </w:tc>
      </w:tr>
      <w:tr>
        <w:trPr>
          <w:trHeight w:val="183"/>
        </w:trPr>
        <w:tc>
          <w:tcPr>
            <w:tcW w:w="32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Interest expense, net.........</w:t>
            </w: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11,195</w:t>
            </w:r>
          </w:p>
        </w:tc>
        <w:tc>
          <w:tcPr>
            <w:tcW w:w="6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8,904</w:t>
            </w:r>
          </w:p>
        </w:tc>
        <w:tc>
          <w:tcPr>
            <w:tcW w:w="520" w:type="dxa"/>
            <w:vAlign w:val="bottom"/>
          </w:tcPr>
          <w:p>
            <w:pPr>
              <w:spacing w:after="0"/>
              <w:rPr>
                <w:sz w:val="15"/>
                <w:szCs w:val="15"/>
                <w:color w:val="auto"/>
              </w:rPr>
            </w:pPr>
          </w:p>
        </w:tc>
        <w:tc>
          <w:tcPr>
            <w:tcW w:w="134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10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4,514(J)</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24,613</w:t>
            </w:r>
          </w:p>
        </w:tc>
      </w:tr>
      <w:tr>
        <w:trPr>
          <w:trHeight w:val="183"/>
        </w:trPr>
        <w:tc>
          <w:tcPr>
            <w:tcW w:w="32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Non-recurring charges.........</w:t>
            </w: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11,610</w:t>
            </w:r>
          </w:p>
        </w:tc>
        <w:tc>
          <w:tcPr>
            <w:tcW w:w="6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2,590</w:t>
            </w:r>
          </w:p>
        </w:tc>
        <w:tc>
          <w:tcPr>
            <w:tcW w:w="520" w:type="dxa"/>
            <w:vAlign w:val="bottom"/>
          </w:tcPr>
          <w:p>
            <w:pPr>
              <w:spacing w:after="0"/>
              <w:rPr>
                <w:sz w:val="15"/>
                <w:szCs w:val="15"/>
                <w:color w:val="auto"/>
              </w:rPr>
            </w:pPr>
          </w:p>
        </w:tc>
        <w:tc>
          <w:tcPr>
            <w:tcW w:w="134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10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24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8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14,200</w:t>
            </w:r>
          </w:p>
        </w:tc>
      </w:tr>
      <w:tr>
        <w:trPr>
          <w:trHeight w:val="183"/>
        </w:trPr>
        <w:tc>
          <w:tcPr>
            <w:tcW w:w="2860" w:type="dxa"/>
            <w:vAlign w:val="bottom"/>
          </w:tcPr>
          <w:p>
            <w:pPr>
              <w:spacing w:after="0"/>
              <w:rPr>
                <w:sz w:val="15"/>
                <w:szCs w:val="15"/>
                <w:color w:val="auto"/>
              </w:rPr>
            </w:pPr>
          </w:p>
        </w:tc>
        <w:tc>
          <w:tcPr>
            <w:tcW w:w="13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w w:val="95"/>
              </w:rPr>
              <w:t>-------</w:t>
            </w:r>
          </w:p>
        </w:tc>
        <w:tc>
          <w:tcPr>
            <w:tcW w:w="520" w:type="dxa"/>
            <w:vAlign w:val="bottom"/>
          </w:tcPr>
          <w:p>
            <w:pPr>
              <w:spacing w:after="0"/>
              <w:rPr>
                <w:sz w:val="15"/>
                <w:szCs w:val="15"/>
                <w:color w:val="auto"/>
              </w:rPr>
            </w:pP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100" w:type="dxa"/>
            <w:vAlign w:val="bottom"/>
          </w:tcPr>
          <w:p>
            <w:pPr>
              <w:jc w:val="right"/>
              <w:ind w:right="361"/>
              <w:spacing w:after="0"/>
              <w:rPr>
                <w:sz w:val="20"/>
                <w:szCs w:val="20"/>
                <w:color w:val="auto"/>
              </w:rPr>
            </w:pPr>
            <w:r>
              <w:rPr>
                <w:rFonts w:ascii="Courier New" w:cs="Courier New" w:eastAsia="Courier New" w:hAnsi="Courier New"/>
                <w:sz w:val="16"/>
                <w:szCs w:val="16"/>
                <w:color w:val="auto"/>
                <w:w w:val="95"/>
              </w:rPr>
              <w:t>-------</w:t>
            </w:r>
          </w:p>
        </w:tc>
        <w:tc>
          <w:tcPr>
            <w:tcW w:w="148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5"/>
              </w:rPr>
              <w:t>----------</w:t>
            </w:r>
          </w:p>
        </w:tc>
      </w:tr>
      <w:tr>
        <w:trPr>
          <w:trHeight w:val="183"/>
        </w:trPr>
        <w:tc>
          <w:tcPr>
            <w:tcW w:w="324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Total expenses............</w:t>
            </w: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878,137</w:t>
            </w:r>
          </w:p>
        </w:tc>
        <w:tc>
          <w:tcPr>
            <w:tcW w:w="6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74,181</w:t>
            </w:r>
          </w:p>
        </w:tc>
        <w:tc>
          <w:tcPr>
            <w:tcW w:w="520" w:type="dxa"/>
            <w:vAlign w:val="bottom"/>
          </w:tcPr>
          <w:p>
            <w:pPr>
              <w:spacing w:after="0"/>
              <w:rPr>
                <w:sz w:val="15"/>
                <w:szCs w:val="15"/>
                <w:color w:val="auto"/>
              </w:rPr>
            </w:pP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137,833</w:t>
            </w:r>
          </w:p>
        </w:tc>
        <w:tc>
          <w:tcPr>
            <w:tcW w:w="380" w:type="dxa"/>
            <w:vAlign w:val="bottom"/>
          </w:tcPr>
          <w:p>
            <w:pPr>
              <w:spacing w:after="0"/>
              <w:rPr>
                <w:sz w:val="15"/>
                <w:szCs w:val="15"/>
                <w:color w:val="auto"/>
              </w:rPr>
            </w:pPr>
          </w:p>
        </w:tc>
        <w:tc>
          <w:tcPr>
            <w:tcW w:w="11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37,770</w:t>
            </w:r>
          </w:p>
        </w:tc>
        <w:tc>
          <w:tcPr>
            <w:tcW w:w="240" w:type="dxa"/>
            <w:vAlign w:val="bottom"/>
          </w:tcPr>
          <w:p>
            <w:pPr>
              <w:spacing w:after="0"/>
              <w:rPr>
                <w:sz w:val="15"/>
                <w:szCs w:val="15"/>
                <w:color w:val="auto"/>
              </w:rPr>
            </w:pPr>
          </w:p>
        </w:tc>
        <w:tc>
          <w:tcPr>
            <w:tcW w:w="12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4,514</w:t>
            </w:r>
          </w:p>
        </w:tc>
        <w:tc>
          <w:tcPr>
            <w:tcW w:w="8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1,132,435</w:t>
            </w:r>
          </w:p>
        </w:tc>
      </w:tr>
      <w:tr>
        <w:trPr>
          <w:trHeight w:val="183"/>
        </w:trPr>
        <w:tc>
          <w:tcPr>
            <w:tcW w:w="2860" w:type="dxa"/>
            <w:vAlign w:val="bottom"/>
          </w:tcPr>
          <w:p>
            <w:pPr>
              <w:spacing w:after="0"/>
              <w:rPr>
                <w:sz w:val="15"/>
                <w:szCs w:val="15"/>
                <w:color w:val="auto"/>
              </w:rPr>
            </w:pPr>
          </w:p>
        </w:tc>
        <w:tc>
          <w:tcPr>
            <w:tcW w:w="13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w w:val="95"/>
              </w:rPr>
              <w:t>-------</w:t>
            </w:r>
          </w:p>
        </w:tc>
        <w:tc>
          <w:tcPr>
            <w:tcW w:w="520" w:type="dxa"/>
            <w:vAlign w:val="bottom"/>
          </w:tcPr>
          <w:p>
            <w:pPr>
              <w:spacing w:after="0"/>
              <w:rPr>
                <w:sz w:val="15"/>
                <w:szCs w:val="15"/>
                <w:color w:val="auto"/>
              </w:rPr>
            </w:pP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100" w:type="dxa"/>
            <w:vAlign w:val="bottom"/>
          </w:tcPr>
          <w:p>
            <w:pPr>
              <w:jc w:val="right"/>
              <w:ind w:right="361"/>
              <w:spacing w:after="0"/>
              <w:rPr>
                <w:sz w:val="20"/>
                <w:szCs w:val="20"/>
                <w:color w:val="auto"/>
              </w:rPr>
            </w:pPr>
            <w:r>
              <w:rPr>
                <w:rFonts w:ascii="Courier New" w:cs="Courier New" w:eastAsia="Courier New" w:hAnsi="Courier New"/>
                <w:sz w:val="16"/>
                <w:szCs w:val="16"/>
                <w:color w:val="auto"/>
                <w:w w:val="95"/>
              </w:rPr>
              <w:t>-------</w:t>
            </w:r>
          </w:p>
        </w:tc>
        <w:tc>
          <w:tcPr>
            <w:tcW w:w="148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5"/>
              </w:rPr>
              <w:t>----------</w:t>
            </w:r>
          </w:p>
        </w:tc>
      </w:tr>
      <w:tr>
        <w:trPr>
          <w:trHeight w:val="183"/>
        </w:trPr>
        <w:tc>
          <w:tcPr>
            <w:tcW w:w="3240" w:type="dxa"/>
            <w:vAlign w:val="bottom"/>
            <w:gridSpan w:val="2"/>
          </w:tcPr>
          <w:p>
            <w:pPr>
              <w:spacing w:after="0"/>
              <w:rPr>
                <w:sz w:val="20"/>
                <w:szCs w:val="20"/>
                <w:color w:val="auto"/>
              </w:rPr>
            </w:pPr>
            <w:r>
              <w:rPr>
                <w:rFonts w:ascii="Courier New" w:cs="Courier New" w:eastAsia="Courier New" w:hAnsi="Courier New"/>
                <w:sz w:val="16"/>
                <w:szCs w:val="16"/>
                <w:color w:val="auto"/>
              </w:rPr>
              <w:t>Income before income taxes.....</w:t>
            </w: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52,989</w:t>
            </w:r>
          </w:p>
        </w:tc>
        <w:tc>
          <w:tcPr>
            <w:tcW w:w="6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1,130</w:t>
            </w:r>
          </w:p>
        </w:tc>
        <w:tc>
          <w:tcPr>
            <w:tcW w:w="520" w:type="dxa"/>
            <w:vAlign w:val="bottom"/>
          </w:tcPr>
          <w:p>
            <w:pPr>
              <w:spacing w:after="0"/>
              <w:rPr>
                <w:sz w:val="15"/>
                <w:szCs w:val="15"/>
                <w:color w:val="auto"/>
              </w:rPr>
            </w:pP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10,971</w:t>
            </w:r>
          </w:p>
        </w:tc>
        <w:tc>
          <w:tcPr>
            <w:tcW w:w="380" w:type="dxa"/>
            <w:vAlign w:val="bottom"/>
          </w:tcPr>
          <w:p>
            <w:pPr>
              <w:spacing w:after="0"/>
              <w:rPr>
                <w:sz w:val="15"/>
                <w:szCs w:val="15"/>
                <w:color w:val="auto"/>
              </w:rPr>
            </w:pPr>
          </w:p>
        </w:tc>
        <w:tc>
          <w:tcPr>
            <w:tcW w:w="11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7,223</w:t>
            </w:r>
          </w:p>
        </w:tc>
        <w:tc>
          <w:tcPr>
            <w:tcW w:w="24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(4,514)</w:t>
            </w:r>
          </w:p>
        </w:tc>
        <w:tc>
          <w:tcPr>
            <w:tcW w:w="8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67,799</w:t>
            </w:r>
          </w:p>
        </w:tc>
      </w:tr>
      <w:tr>
        <w:trPr>
          <w:trHeight w:val="183"/>
        </w:trPr>
        <w:tc>
          <w:tcPr>
            <w:tcW w:w="3240" w:type="dxa"/>
            <w:vAlign w:val="bottom"/>
            <w:gridSpan w:val="2"/>
          </w:tcPr>
          <w:p>
            <w:pPr>
              <w:spacing w:after="0"/>
              <w:rPr>
                <w:sz w:val="20"/>
                <w:szCs w:val="20"/>
                <w:color w:val="auto"/>
              </w:rPr>
            </w:pPr>
            <w:r>
              <w:rPr>
                <w:rFonts w:ascii="Courier New" w:cs="Courier New" w:eastAsia="Courier New" w:hAnsi="Courier New"/>
                <w:sz w:val="16"/>
                <w:szCs w:val="16"/>
                <w:color w:val="auto"/>
              </w:rPr>
              <w:t>Provision for income taxes.....</w:t>
            </w: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17,505</w:t>
            </w:r>
          </w:p>
        </w:tc>
        <w:tc>
          <w:tcPr>
            <w:tcW w:w="6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822</w:t>
            </w:r>
          </w:p>
        </w:tc>
        <w:tc>
          <w:tcPr>
            <w:tcW w:w="520" w:type="dxa"/>
            <w:vAlign w:val="bottom"/>
          </w:tcPr>
          <w:p>
            <w:pPr>
              <w:spacing w:after="0"/>
              <w:rPr>
                <w:sz w:val="15"/>
                <w:szCs w:val="15"/>
                <w:color w:val="auto"/>
              </w:rPr>
            </w:pPr>
          </w:p>
        </w:tc>
        <w:tc>
          <w:tcPr>
            <w:tcW w:w="134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1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1,574</w:t>
            </w: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5,219(K)</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25,120</w:t>
            </w:r>
          </w:p>
        </w:tc>
      </w:tr>
      <w:tr>
        <w:trPr>
          <w:trHeight w:val="183"/>
        </w:trPr>
        <w:tc>
          <w:tcPr>
            <w:tcW w:w="2860" w:type="dxa"/>
            <w:vAlign w:val="bottom"/>
          </w:tcPr>
          <w:p>
            <w:pPr>
              <w:spacing w:after="0"/>
              <w:rPr>
                <w:sz w:val="15"/>
                <w:szCs w:val="15"/>
                <w:color w:val="auto"/>
              </w:rPr>
            </w:pPr>
          </w:p>
        </w:tc>
        <w:tc>
          <w:tcPr>
            <w:tcW w:w="13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w w:val="95"/>
              </w:rPr>
              <w:t>-------</w:t>
            </w:r>
          </w:p>
        </w:tc>
        <w:tc>
          <w:tcPr>
            <w:tcW w:w="520" w:type="dxa"/>
            <w:vAlign w:val="bottom"/>
          </w:tcPr>
          <w:p>
            <w:pPr>
              <w:spacing w:after="0"/>
              <w:rPr>
                <w:sz w:val="15"/>
                <w:szCs w:val="15"/>
                <w:color w:val="auto"/>
              </w:rPr>
            </w:pP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100" w:type="dxa"/>
            <w:vAlign w:val="bottom"/>
          </w:tcPr>
          <w:p>
            <w:pPr>
              <w:jc w:val="right"/>
              <w:ind w:right="361"/>
              <w:spacing w:after="0"/>
              <w:rPr>
                <w:sz w:val="20"/>
                <w:szCs w:val="20"/>
                <w:color w:val="auto"/>
              </w:rPr>
            </w:pPr>
            <w:r>
              <w:rPr>
                <w:rFonts w:ascii="Courier New" w:cs="Courier New" w:eastAsia="Courier New" w:hAnsi="Courier New"/>
                <w:sz w:val="16"/>
                <w:szCs w:val="16"/>
                <w:color w:val="auto"/>
                <w:w w:val="95"/>
              </w:rPr>
              <w:t>-------</w:t>
            </w:r>
          </w:p>
        </w:tc>
        <w:tc>
          <w:tcPr>
            <w:tcW w:w="148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5"/>
              </w:rPr>
              <w:t>----------</w:t>
            </w:r>
          </w:p>
        </w:tc>
      </w:tr>
      <w:tr>
        <w:trPr>
          <w:trHeight w:val="183"/>
        </w:trPr>
        <w:tc>
          <w:tcPr>
            <w:tcW w:w="2860" w:type="dxa"/>
            <w:vAlign w:val="bottom"/>
          </w:tcPr>
          <w:p>
            <w:pPr>
              <w:spacing w:after="0"/>
              <w:rPr>
                <w:sz w:val="20"/>
                <w:szCs w:val="20"/>
                <w:color w:val="auto"/>
              </w:rPr>
            </w:pPr>
            <w:r>
              <w:rPr>
                <w:rFonts w:ascii="Courier New" w:cs="Courier New" w:eastAsia="Courier New" w:hAnsi="Courier New"/>
                <w:sz w:val="16"/>
                <w:szCs w:val="16"/>
                <w:color w:val="auto"/>
                <w:w w:val="95"/>
              </w:rPr>
              <w:t>Net income.....................</w:t>
            </w:r>
          </w:p>
        </w:tc>
        <w:tc>
          <w:tcPr>
            <w:tcW w:w="380" w:type="dxa"/>
            <w:vAlign w:val="bottom"/>
          </w:tcPr>
          <w:p>
            <w:pPr>
              <w:ind w:left="280"/>
              <w:spacing w:after="0"/>
              <w:rPr>
                <w:sz w:val="20"/>
                <w:szCs w:val="20"/>
                <w:color w:val="auto"/>
              </w:rPr>
            </w:pPr>
            <w:r>
              <w:rPr>
                <w:rFonts w:ascii="Courier New" w:cs="Courier New" w:eastAsia="Courier New" w:hAnsi="Courier New"/>
                <w:sz w:val="16"/>
                <w:szCs w:val="16"/>
                <w:color w:val="auto"/>
                <w:w w:val="82"/>
              </w:rPr>
              <w:t>$</w:t>
            </w: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35,484</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308</w:t>
            </w:r>
          </w:p>
        </w:tc>
        <w:tc>
          <w:tcPr>
            <w:tcW w:w="520" w:type="dxa"/>
            <w:vAlign w:val="bottom"/>
          </w:tcPr>
          <w:p>
            <w:pPr>
              <w:spacing w:after="0"/>
              <w:rPr>
                <w:sz w:val="15"/>
                <w:szCs w:val="15"/>
                <w:color w:val="auto"/>
              </w:rPr>
            </w:pP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10,971</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5,649</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(9,733)</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42,679</w:t>
            </w:r>
          </w:p>
        </w:tc>
      </w:tr>
      <w:tr>
        <w:trPr>
          <w:trHeight w:val="183"/>
        </w:trPr>
        <w:tc>
          <w:tcPr>
            <w:tcW w:w="2860" w:type="dxa"/>
            <w:vAlign w:val="bottom"/>
          </w:tcPr>
          <w:p>
            <w:pPr>
              <w:spacing w:after="0"/>
              <w:rPr>
                <w:sz w:val="15"/>
                <w:szCs w:val="15"/>
                <w:color w:val="auto"/>
              </w:rPr>
            </w:pPr>
          </w:p>
        </w:tc>
        <w:tc>
          <w:tcPr>
            <w:tcW w:w="13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w w:val="95"/>
              </w:rPr>
              <w:t>-------</w:t>
            </w:r>
          </w:p>
        </w:tc>
        <w:tc>
          <w:tcPr>
            <w:tcW w:w="520" w:type="dxa"/>
            <w:vAlign w:val="bottom"/>
          </w:tcPr>
          <w:p>
            <w:pPr>
              <w:spacing w:after="0"/>
              <w:rPr>
                <w:sz w:val="15"/>
                <w:szCs w:val="15"/>
                <w:color w:val="auto"/>
              </w:rPr>
            </w:pP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100" w:type="dxa"/>
            <w:vAlign w:val="bottom"/>
          </w:tcPr>
          <w:p>
            <w:pPr>
              <w:jc w:val="right"/>
              <w:ind w:right="361"/>
              <w:spacing w:after="0"/>
              <w:rPr>
                <w:sz w:val="20"/>
                <w:szCs w:val="20"/>
                <w:color w:val="auto"/>
              </w:rPr>
            </w:pPr>
            <w:r>
              <w:rPr>
                <w:rFonts w:ascii="Courier New" w:cs="Courier New" w:eastAsia="Courier New" w:hAnsi="Courier New"/>
                <w:sz w:val="16"/>
                <w:szCs w:val="16"/>
                <w:color w:val="auto"/>
                <w:w w:val="95"/>
              </w:rPr>
              <w:t>-------</w:t>
            </w:r>
          </w:p>
        </w:tc>
        <w:tc>
          <w:tcPr>
            <w:tcW w:w="148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5"/>
              </w:rPr>
              <w:t>----------</w:t>
            </w:r>
          </w:p>
        </w:tc>
      </w:tr>
      <w:tr>
        <w:trPr>
          <w:trHeight w:val="183"/>
        </w:trPr>
        <w:tc>
          <w:tcPr>
            <w:tcW w:w="2860" w:type="dxa"/>
            <w:vAlign w:val="bottom"/>
          </w:tcPr>
          <w:p>
            <w:pPr>
              <w:spacing w:after="0"/>
              <w:rPr>
                <w:sz w:val="15"/>
                <w:szCs w:val="15"/>
                <w:color w:val="auto"/>
              </w:rPr>
            </w:pPr>
          </w:p>
        </w:tc>
        <w:tc>
          <w:tcPr>
            <w:tcW w:w="13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w w:val="95"/>
              </w:rPr>
              <w:t>-------</w:t>
            </w:r>
          </w:p>
        </w:tc>
        <w:tc>
          <w:tcPr>
            <w:tcW w:w="520" w:type="dxa"/>
            <w:vAlign w:val="bottom"/>
          </w:tcPr>
          <w:p>
            <w:pPr>
              <w:spacing w:after="0"/>
              <w:rPr>
                <w:sz w:val="15"/>
                <w:szCs w:val="15"/>
                <w:color w:val="auto"/>
              </w:rPr>
            </w:pP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100" w:type="dxa"/>
            <w:vAlign w:val="bottom"/>
          </w:tcPr>
          <w:p>
            <w:pPr>
              <w:jc w:val="right"/>
              <w:ind w:right="361"/>
              <w:spacing w:after="0"/>
              <w:rPr>
                <w:sz w:val="20"/>
                <w:szCs w:val="20"/>
                <w:color w:val="auto"/>
              </w:rPr>
            </w:pPr>
            <w:r>
              <w:rPr>
                <w:rFonts w:ascii="Courier New" w:cs="Courier New" w:eastAsia="Courier New" w:hAnsi="Courier New"/>
                <w:sz w:val="16"/>
                <w:szCs w:val="16"/>
                <w:color w:val="auto"/>
                <w:w w:val="95"/>
              </w:rPr>
              <w:t>-------</w:t>
            </w:r>
          </w:p>
        </w:tc>
        <w:tc>
          <w:tcPr>
            <w:tcW w:w="148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5"/>
              </w:rPr>
              <w:t>----------</w:t>
            </w:r>
          </w:p>
        </w:tc>
      </w:tr>
      <w:tr>
        <w:trPr>
          <w:trHeight w:val="183"/>
        </w:trPr>
        <w:tc>
          <w:tcPr>
            <w:tcW w:w="2860" w:type="dxa"/>
            <w:vAlign w:val="bottom"/>
          </w:tcPr>
          <w:p>
            <w:pPr>
              <w:spacing w:after="0"/>
              <w:rPr>
                <w:sz w:val="20"/>
                <w:szCs w:val="20"/>
                <w:color w:val="auto"/>
              </w:rPr>
            </w:pPr>
            <w:r>
              <w:rPr>
                <w:rFonts w:ascii="Courier New" w:cs="Courier New" w:eastAsia="Courier New" w:hAnsi="Courier New"/>
                <w:sz w:val="16"/>
                <w:szCs w:val="16"/>
                <w:color w:val="auto"/>
                <w:w w:val="98"/>
              </w:rPr>
              <w:t>Earnings per common and common</w:t>
            </w: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2860" w:type="dxa"/>
            <w:vAlign w:val="bottom"/>
          </w:tcPr>
          <w:p>
            <w:pPr>
              <w:ind w:left="180"/>
              <w:spacing w:after="0"/>
              <w:rPr>
                <w:sz w:val="20"/>
                <w:szCs w:val="20"/>
                <w:color w:val="auto"/>
              </w:rPr>
            </w:pPr>
            <w:r>
              <w:rPr>
                <w:rFonts w:ascii="Courier New" w:cs="Courier New" w:eastAsia="Courier New" w:hAnsi="Courier New"/>
                <w:sz w:val="16"/>
                <w:szCs w:val="16"/>
                <w:color w:val="auto"/>
                <w:w w:val="95"/>
              </w:rPr>
              <w:t>equivalent share.............</w:t>
            </w:r>
          </w:p>
        </w:tc>
        <w:tc>
          <w:tcPr>
            <w:tcW w:w="380" w:type="dxa"/>
            <w:vAlign w:val="bottom"/>
          </w:tcPr>
          <w:p>
            <w:pPr>
              <w:ind w:left="280"/>
              <w:spacing w:after="0"/>
              <w:rPr>
                <w:sz w:val="20"/>
                <w:szCs w:val="20"/>
                <w:color w:val="auto"/>
              </w:rPr>
            </w:pPr>
            <w:r>
              <w:rPr>
                <w:rFonts w:ascii="Courier New" w:cs="Courier New" w:eastAsia="Courier New" w:hAnsi="Courier New"/>
                <w:sz w:val="16"/>
                <w:szCs w:val="16"/>
                <w:color w:val="auto"/>
                <w:w w:val="82"/>
              </w:rPr>
              <w:t>$</w:t>
            </w: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1.26</w:t>
            </w: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1.33</w:t>
            </w:r>
          </w:p>
        </w:tc>
      </w:tr>
      <w:tr>
        <w:trPr>
          <w:trHeight w:val="183"/>
        </w:trPr>
        <w:tc>
          <w:tcPr>
            <w:tcW w:w="2860" w:type="dxa"/>
            <w:vAlign w:val="bottom"/>
          </w:tcPr>
          <w:p>
            <w:pPr>
              <w:spacing w:after="0"/>
              <w:rPr>
                <w:sz w:val="15"/>
                <w:szCs w:val="15"/>
                <w:color w:val="auto"/>
              </w:rPr>
            </w:pPr>
          </w:p>
        </w:tc>
        <w:tc>
          <w:tcPr>
            <w:tcW w:w="13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5"/>
              </w:rPr>
              <w:t>----------</w:t>
            </w:r>
          </w:p>
        </w:tc>
      </w:tr>
      <w:tr>
        <w:trPr>
          <w:trHeight w:val="183"/>
        </w:trPr>
        <w:tc>
          <w:tcPr>
            <w:tcW w:w="2860" w:type="dxa"/>
            <w:vAlign w:val="bottom"/>
          </w:tcPr>
          <w:p>
            <w:pPr>
              <w:spacing w:after="0"/>
              <w:rPr>
                <w:sz w:val="15"/>
                <w:szCs w:val="15"/>
                <w:color w:val="auto"/>
              </w:rPr>
            </w:pPr>
          </w:p>
        </w:tc>
        <w:tc>
          <w:tcPr>
            <w:tcW w:w="13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5"/>
              </w:rPr>
              <w:t>----------</w:t>
            </w:r>
          </w:p>
        </w:tc>
      </w:tr>
      <w:tr>
        <w:trPr>
          <w:trHeight w:val="183"/>
        </w:trPr>
        <w:tc>
          <w:tcPr>
            <w:tcW w:w="2860" w:type="dxa"/>
            <w:vAlign w:val="bottom"/>
          </w:tcPr>
          <w:p>
            <w:pPr>
              <w:spacing w:after="0"/>
              <w:rPr>
                <w:sz w:val="20"/>
                <w:szCs w:val="20"/>
                <w:color w:val="auto"/>
              </w:rPr>
            </w:pPr>
            <w:r>
              <w:rPr>
                <w:rFonts w:ascii="Courier New" w:cs="Courier New" w:eastAsia="Courier New" w:hAnsi="Courier New"/>
                <w:sz w:val="16"/>
                <w:szCs w:val="16"/>
                <w:color w:val="auto"/>
              </w:rPr>
              <w:t>Weighted average number of</w:t>
            </w: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2860" w:type="dxa"/>
            <w:vAlign w:val="bottom"/>
          </w:tcPr>
          <w:p>
            <w:pPr>
              <w:ind w:left="100"/>
              <w:spacing w:after="0"/>
              <w:rPr>
                <w:sz w:val="20"/>
                <w:szCs w:val="20"/>
                <w:color w:val="auto"/>
              </w:rPr>
            </w:pPr>
            <w:r>
              <w:rPr>
                <w:rFonts w:ascii="Courier New" w:cs="Courier New" w:eastAsia="Courier New" w:hAnsi="Courier New"/>
                <w:sz w:val="16"/>
                <w:szCs w:val="16"/>
                <w:color w:val="auto"/>
              </w:rPr>
              <w:t>common shares and</w:t>
            </w: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2860" w:type="dxa"/>
            <w:vAlign w:val="bottom"/>
          </w:tcPr>
          <w:p>
            <w:pPr>
              <w:ind w:left="100"/>
              <w:spacing w:after="0"/>
              <w:rPr>
                <w:sz w:val="20"/>
                <w:szCs w:val="20"/>
                <w:color w:val="auto"/>
              </w:rPr>
            </w:pPr>
            <w:r>
              <w:rPr>
                <w:rFonts w:ascii="Courier New" w:cs="Courier New" w:eastAsia="Courier New" w:hAnsi="Courier New"/>
                <w:sz w:val="16"/>
                <w:szCs w:val="16"/>
                <w:color w:val="auto"/>
                <w:w w:val="95"/>
              </w:rPr>
              <w:t>equivalents...................</w:t>
            </w:r>
          </w:p>
        </w:tc>
        <w:tc>
          <w:tcPr>
            <w:tcW w:w="13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28,158,000</w:t>
            </w: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5"/>
              </w:rPr>
              <w:t>32,158,000</w:t>
            </w:r>
          </w:p>
        </w:tc>
      </w:tr>
      <w:tr>
        <w:trPr>
          <w:trHeight w:val="183"/>
        </w:trPr>
        <w:tc>
          <w:tcPr>
            <w:tcW w:w="2860" w:type="dxa"/>
            <w:vAlign w:val="bottom"/>
          </w:tcPr>
          <w:p>
            <w:pPr>
              <w:spacing w:after="0"/>
              <w:rPr>
                <w:sz w:val="15"/>
                <w:szCs w:val="15"/>
                <w:color w:val="auto"/>
              </w:rPr>
            </w:pPr>
          </w:p>
        </w:tc>
        <w:tc>
          <w:tcPr>
            <w:tcW w:w="13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5"/>
              </w:rPr>
              <w:t>----------</w:t>
            </w:r>
          </w:p>
        </w:tc>
      </w:tr>
      <w:tr>
        <w:trPr>
          <w:trHeight w:val="183"/>
        </w:trPr>
        <w:tc>
          <w:tcPr>
            <w:tcW w:w="2860" w:type="dxa"/>
            <w:vAlign w:val="bottom"/>
          </w:tcPr>
          <w:p>
            <w:pPr>
              <w:spacing w:after="0"/>
              <w:rPr>
                <w:sz w:val="15"/>
                <w:szCs w:val="15"/>
                <w:color w:val="auto"/>
              </w:rPr>
            </w:pPr>
          </w:p>
        </w:tc>
        <w:tc>
          <w:tcPr>
            <w:tcW w:w="13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5"/>
              </w:rPr>
              <w:t>----------</w:t>
            </w:r>
          </w:p>
        </w:tc>
      </w:tr>
    </w:tbl>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3900" w:firstLine="382"/>
        <w:spacing w:after="0" w:line="241" w:lineRule="auto"/>
        <w:rPr>
          <w:sz w:val="20"/>
          <w:szCs w:val="20"/>
          <w:color w:val="auto"/>
        </w:rPr>
      </w:pPr>
      <w:r>
        <w:rPr>
          <w:rFonts w:ascii="Courier New" w:cs="Courier New" w:eastAsia="Courier New" w:hAnsi="Courier New"/>
          <w:sz w:val="16"/>
          <w:szCs w:val="16"/>
          <w:color w:val="auto"/>
        </w:rPr>
        <w:t>Prior to the issuance of the Shares offered hereby and the application of the net proceeds from this Offering to repay debt incurred to fund the 1996 acquisitions, pro forma earnings per share for the year ended December 31, 1995 were $1.38.</w:t>
      </w:r>
    </w:p>
    <w:p>
      <w:pPr>
        <w:spacing w:after="0" w:line="372" w:lineRule="exact"/>
        <w:rPr>
          <w:sz w:val="20"/>
          <w:szCs w:val="20"/>
          <w:color w:val="auto"/>
        </w:rPr>
      </w:pPr>
    </w:p>
    <w:p>
      <w:pPr>
        <w:jc w:val="center"/>
        <w:ind w:right="3820"/>
        <w:spacing w:after="0"/>
        <w:rPr>
          <w:sz w:val="20"/>
          <w:szCs w:val="20"/>
          <w:color w:val="auto"/>
        </w:rPr>
      </w:pPr>
      <w:r>
        <w:rPr>
          <w:rFonts w:ascii="Courier New" w:cs="Courier New" w:eastAsia="Courier New" w:hAnsi="Courier New"/>
          <w:sz w:val="15"/>
          <w:szCs w:val="15"/>
          <w:color w:val="auto"/>
        </w:rPr>
        <w:t>The accompanying notes and management's assumptions are an integral part of this</w:t>
      </w:r>
    </w:p>
    <w:p>
      <w:pPr>
        <w:spacing w:after="0" w:line="11" w:lineRule="exact"/>
        <w:rPr>
          <w:sz w:val="20"/>
          <w:szCs w:val="20"/>
          <w:color w:val="auto"/>
        </w:rPr>
      </w:pPr>
    </w:p>
    <w:p>
      <w:pPr>
        <w:jc w:val="center"/>
        <w:ind w:right="3820"/>
        <w:spacing w:after="0"/>
        <w:rPr>
          <w:sz w:val="20"/>
          <w:szCs w:val="20"/>
          <w:color w:val="auto"/>
        </w:rPr>
      </w:pPr>
      <w:r>
        <w:rPr>
          <w:rFonts w:ascii="Courier New" w:cs="Courier New" w:eastAsia="Courier New" w:hAnsi="Courier New"/>
          <w:sz w:val="16"/>
          <w:szCs w:val="16"/>
          <w:color w:val="auto"/>
        </w:rPr>
        <w:t>statement.</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1440"/>
          </w:cols>
          <w:pgMar w:left="240" w:top="481" w:right="219" w:bottom="1440" w:gutter="0" w:footer="0" w:header="0"/>
        </w:sectPr>
      </w:pPr>
    </w:p>
    <w:bookmarkStart w:id="18" w:name="page19"/>
    <w:bookmarkEnd w:id="18"/>
    <w:p>
      <w:pPr>
        <w:jc w:val="center"/>
        <w:ind w:right="1159"/>
        <w:spacing w:after="0"/>
        <w:rPr>
          <w:sz w:val="20"/>
          <w:szCs w:val="20"/>
          <w:color w:val="auto"/>
        </w:rPr>
      </w:pPr>
      <w:r>
        <w:rPr>
          <w:rFonts w:ascii="Courier New" w:cs="Courier New" w:eastAsia="Courier New" w:hAnsi="Courier New"/>
          <w:sz w:val="16"/>
          <w:szCs w:val="16"/>
          <w:color w:val="auto"/>
        </w:rPr>
        <w:t>UNIVERSAL HEALTH SERVICES, INC.</w:t>
      </w:r>
    </w:p>
    <w:p>
      <w:pPr>
        <w:spacing w:after="0" w:line="2" w:lineRule="exact"/>
        <w:rPr>
          <w:sz w:val="20"/>
          <w:szCs w:val="20"/>
          <w:color w:val="auto"/>
        </w:rPr>
      </w:pPr>
    </w:p>
    <w:p>
      <w:pPr>
        <w:jc w:val="center"/>
        <w:ind w:right="1159"/>
        <w:spacing w:after="0"/>
        <w:rPr>
          <w:sz w:val="20"/>
          <w:szCs w:val="20"/>
          <w:color w:val="auto"/>
        </w:rPr>
      </w:pPr>
      <w:r>
        <w:rPr>
          <w:rFonts w:ascii="Courier New" w:cs="Courier New" w:eastAsia="Courier New" w:hAnsi="Courier New"/>
          <w:sz w:val="16"/>
          <w:szCs w:val="16"/>
          <w:color w:val="auto"/>
        </w:rPr>
        <w:t>PRO FORMA CONDENSED CONSOLIDATED INCOME STATEMENT</w:t>
      </w:r>
    </w:p>
    <w:p>
      <w:pPr>
        <w:spacing w:after="0" w:line="2" w:lineRule="exact"/>
        <w:rPr>
          <w:sz w:val="20"/>
          <w:szCs w:val="20"/>
          <w:color w:val="auto"/>
        </w:rPr>
      </w:pPr>
    </w:p>
    <w:p>
      <w:pPr>
        <w:jc w:val="center"/>
        <w:ind w:right="1059"/>
        <w:spacing w:after="0"/>
        <w:rPr>
          <w:sz w:val="20"/>
          <w:szCs w:val="20"/>
          <w:color w:val="auto"/>
        </w:rPr>
      </w:pPr>
      <w:r>
        <w:rPr>
          <w:rFonts w:ascii="Courier New" w:cs="Courier New" w:eastAsia="Courier New" w:hAnsi="Courier New"/>
          <w:sz w:val="16"/>
          <w:szCs w:val="16"/>
          <w:color w:val="auto"/>
        </w:rPr>
        <w:t>FOR THE QUARTER ENDED MARCH 31, 1996</w:t>
      </w:r>
    </w:p>
    <w:p>
      <w:pPr>
        <w:spacing w:after="0" w:line="2" w:lineRule="exact"/>
        <w:rPr>
          <w:sz w:val="20"/>
          <w:szCs w:val="20"/>
          <w:color w:val="auto"/>
        </w:rPr>
      </w:pPr>
    </w:p>
    <w:p>
      <w:pPr>
        <w:jc w:val="center"/>
        <w:ind w:right="1159"/>
        <w:spacing w:after="0"/>
        <w:rPr>
          <w:sz w:val="20"/>
          <w:szCs w:val="20"/>
          <w:color w:val="auto"/>
        </w:rPr>
      </w:pPr>
      <w:r>
        <w:rPr>
          <w:rFonts w:ascii="Courier New" w:cs="Courier New" w:eastAsia="Courier New" w:hAnsi="Courier New"/>
          <w:sz w:val="16"/>
          <w:szCs w:val="16"/>
          <w:color w:val="auto"/>
        </w:rPr>
        <w:t>(UNAUDITED)</w:t>
      </w:r>
    </w:p>
    <w:p>
      <w:pPr>
        <w:spacing w:after="0" w:line="2"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(IN THOUSANDS, EXCEPT SHARE AND PER SHARE DATA)</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9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38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1996 ACQUISITIONS</w:t>
            </w:r>
          </w:p>
        </w:tc>
        <w:tc>
          <w:tcPr>
            <w:tcW w:w="14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3"/>
        </w:trPr>
        <w:tc>
          <w:tcPr>
            <w:tcW w:w="39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3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3"/>
        </w:trPr>
        <w:tc>
          <w:tcPr>
            <w:tcW w:w="39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Courier New" w:cs="Courier New" w:eastAsia="Courier New" w:hAnsi="Courier New"/>
                <w:sz w:val="16"/>
                <w:szCs w:val="16"/>
                <w:color w:val="auto"/>
                <w:w w:val="99"/>
              </w:rPr>
              <w:t>NORTHWEST</w:t>
            </w:r>
          </w:p>
        </w:tc>
        <w:tc>
          <w:tcPr>
            <w:tcW w:w="12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FIRST</w:t>
            </w:r>
          </w:p>
        </w:tc>
        <w:tc>
          <w:tcPr>
            <w:tcW w:w="14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3"/>
        </w:trPr>
        <w:tc>
          <w:tcPr>
            <w:tcW w:w="3900" w:type="dxa"/>
            <w:vAlign w:val="bottom"/>
          </w:tcPr>
          <w:p>
            <w:pPr>
              <w:spacing w:after="0"/>
              <w:rPr>
                <w:sz w:val="15"/>
                <w:szCs w:val="15"/>
                <w:color w:val="auto"/>
              </w:rPr>
            </w:pPr>
          </w:p>
        </w:tc>
        <w:tc>
          <w:tcPr>
            <w:tcW w:w="12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THE</w:t>
            </w:r>
          </w:p>
        </w:tc>
        <w:tc>
          <w:tcPr>
            <w:tcW w:w="1140" w:type="dxa"/>
            <w:vAlign w:val="bottom"/>
          </w:tcPr>
          <w:p>
            <w:pPr>
              <w:jc w:val="center"/>
              <w:spacing w:after="0"/>
              <w:rPr>
                <w:sz w:val="20"/>
                <w:szCs w:val="20"/>
                <w:color w:val="auto"/>
              </w:rPr>
            </w:pPr>
            <w:r>
              <w:rPr>
                <w:rFonts w:ascii="Courier New" w:cs="Courier New" w:eastAsia="Courier New" w:hAnsi="Courier New"/>
                <w:sz w:val="16"/>
                <w:szCs w:val="16"/>
                <w:color w:val="auto"/>
                <w:w w:val="99"/>
              </w:rPr>
              <w:t>TEXAS</w:t>
            </w: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HOSPITAL</w:t>
            </w:r>
          </w:p>
        </w:tc>
        <w:tc>
          <w:tcPr>
            <w:tcW w:w="1440" w:type="dxa"/>
            <w:vAlign w:val="bottom"/>
          </w:tcPr>
          <w:p>
            <w:pPr>
              <w:jc w:val="center"/>
              <w:ind w:right="1"/>
              <w:spacing w:after="0"/>
              <w:rPr>
                <w:sz w:val="20"/>
                <w:szCs w:val="20"/>
                <w:color w:val="auto"/>
              </w:rPr>
            </w:pPr>
            <w:r>
              <w:rPr>
                <w:rFonts w:ascii="Courier New" w:cs="Courier New" w:eastAsia="Courier New" w:hAnsi="Courier New"/>
                <w:sz w:val="16"/>
                <w:szCs w:val="16"/>
                <w:color w:val="auto"/>
                <w:w w:val="99"/>
              </w:rPr>
              <w:t>OTHER</w:t>
            </w:r>
          </w:p>
        </w:tc>
        <w:tc>
          <w:tcPr>
            <w:tcW w:w="1000" w:type="dxa"/>
            <w:vAlign w:val="bottom"/>
          </w:tcPr>
          <w:p>
            <w:pPr>
              <w:jc w:val="center"/>
              <w:spacing w:after="0"/>
              <w:rPr>
                <w:sz w:val="20"/>
                <w:szCs w:val="20"/>
                <w:color w:val="auto"/>
              </w:rPr>
            </w:pPr>
            <w:r>
              <w:rPr>
                <w:rFonts w:ascii="Courier New" w:cs="Courier New" w:eastAsia="Courier New" w:hAnsi="Courier New"/>
                <w:sz w:val="16"/>
                <w:szCs w:val="16"/>
                <w:color w:val="auto"/>
              </w:rPr>
              <w:t>THE</w:t>
            </w:r>
          </w:p>
        </w:tc>
      </w:tr>
      <w:tr>
        <w:trPr>
          <w:trHeight w:val="183"/>
        </w:trPr>
        <w:tc>
          <w:tcPr>
            <w:tcW w:w="3900" w:type="dxa"/>
            <w:vAlign w:val="bottom"/>
          </w:tcPr>
          <w:p>
            <w:pPr>
              <w:spacing w:after="0"/>
              <w:rPr>
                <w:sz w:val="15"/>
                <w:szCs w:val="15"/>
                <w:color w:val="auto"/>
              </w:rPr>
            </w:pPr>
          </w:p>
        </w:tc>
        <w:tc>
          <w:tcPr>
            <w:tcW w:w="12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COMPANY</w:t>
            </w:r>
          </w:p>
        </w:tc>
        <w:tc>
          <w:tcPr>
            <w:tcW w:w="11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HEALTH</w:t>
            </w: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PROPERTIES</w:t>
            </w:r>
          </w:p>
        </w:tc>
        <w:tc>
          <w:tcPr>
            <w:tcW w:w="1440" w:type="dxa"/>
            <w:vAlign w:val="bottom"/>
          </w:tcPr>
          <w:p>
            <w:pPr>
              <w:jc w:val="center"/>
              <w:ind w:right="21"/>
              <w:spacing w:after="0"/>
              <w:rPr>
                <w:sz w:val="20"/>
                <w:szCs w:val="20"/>
                <w:color w:val="auto"/>
              </w:rPr>
            </w:pPr>
            <w:r>
              <w:rPr>
                <w:rFonts w:ascii="Courier New" w:cs="Courier New" w:eastAsia="Courier New" w:hAnsi="Courier New"/>
                <w:sz w:val="16"/>
                <w:szCs w:val="16"/>
                <w:color w:val="auto"/>
                <w:w w:val="99"/>
              </w:rPr>
              <w:t>PRO FORMA</w:t>
            </w:r>
          </w:p>
        </w:tc>
        <w:tc>
          <w:tcPr>
            <w:tcW w:w="1000" w:type="dxa"/>
            <w:vAlign w:val="bottom"/>
          </w:tcPr>
          <w:p>
            <w:pPr>
              <w:jc w:val="center"/>
              <w:spacing w:after="0"/>
              <w:rPr>
                <w:sz w:val="20"/>
                <w:szCs w:val="20"/>
                <w:color w:val="auto"/>
              </w:rPr>
            </w:pPr>
            <w:r>
              <w:rPr>
                <w:rFonts w:ascii="Courier New" w:cs="Courier New" w:eastAsia="Courier New" w:hAnsi="Courier New"/>
                <w:sz w:val="16"/>
                <w:szCs w:val="16"/>
                <w:color w:val="auto"/>
                <w:w w:val="98"/>
              </w:rPr>
              <w:t>COMPANY</w:t>
            </w:r>
          </w:p>
        </w:tc>
      </w:tr>
      <w:tr>
        <w:trPr>
          <w:trHeight w:val="183"/>
        </w:trPr>
        <w:tc>
          <w:tcPr>
            <w:tcW w:w="3900" w:type="dxa"/>
            <w:vAlign w:val="bottom"/>
          </w:tcPr>
          <w:p>
            <w:pPr>
              <w:spacing w:after="0"/>
              <w:rPr>
                <w:sz w:val="15"/>
                <w:szCs w:val="15"/>
                <w:color w:val="auto"/>
              </w:rPr>
            </w:pPr>
          </w:p>
        </w:tc>
        <w:tc>
          <w:tcPr>
            <w:tcW w:w="12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HISTORICAL</w:t>
            </w:r>
          </w:p>
        </w:tc>
        <w:tc>
          <w:tcPr>
            <w:tcW w:w="1140" w:type="dxa"/>
            <w:vAlign w:val="bottom"/>
          </w:tcPr>
          <w:p>
            <w:pPr>
              <w:jc w:val="center"/>
              <w:spacing w:after="0"/>
              <w:rPr>
                <w:sz w:val="20"/>
                <w:szCs w:val="20"/>
                <w:color w:val="auto"/>
              </w:rPr>
            </w:pPr>
            <w:r>
              <w:rPr>
                <w:rFonts w:ascii="Courier New" w:cs="Courier New" w:eastAsia="Courier New" w:hAnsi="Courier New"/>
                <w:sz w:val="16"/>
                <w:szCs w:val="16"/>
                <w:color w:val="auto"/>
              </w:rPr>
              <w:t>(G)</w:t>
            </w:r>
          </w:p>
        </w:tc>
        <w:tc>
          <w:tcPr>
            <w:tcW w:w="1240" w:type="dxa"/>
            <w:vAlign w:val="bottom"/>
          </w:tcPr>
          <w:p>
            <w:pPr>
              <w:ind w:left="440"/>
              <w:spacing w:after="0"/>
              <w:rPr>
                <w:sz w:val="20"/>
                <w:szCs w:val="20"/>
                <w:color w:val="auto"/>
              </w:rPr>
            </w:pPr>
            <w:r>
              <w:rPr>
                <w:rFonts w:ascii="Courier New" w:cs="Courier New" w:eastAsia="Courier New" w:hAnsi="Courier New"/>
                <w:sz w:val="16"/>
                <w:szCs w:val="16"/>
                <w:color w:val="auto"/>
              </w:rPr>
              <w:t>(H)</w:t>
            </w:r>
          </w:p>
        </w:tc>
        <w:tc>
          <w:tcPr>
            <w:tcW w:w="1440" w:type="dxa"/>
            <w:vAlign w:val="bottom"/>
          </w:tcPr>
          <w:p>
            <w:pPr>
              <w:jc w:val="center"/>
              <w:ind w:right="21"/>
              <w:spacing w:after="0"/>
              <w:rPr>
                <w:sz w:val="20"/>
                <w:szCs w:val="20"/>
                <w:color w:val="auto"/>
              </w:rPr>
            </w:pPr>
            <w:r>
              <w:rPr>
                <w:rFonts w:ascii="Courier New" w:cs="Courier New" w:eastAsia="Courier New" w:hAnsi="Courier New"/>
                <w:sz w:val="16"/>
                <w:szCs w:val="16"/>
                <w:color w:val="auto"/>
              </w:rPr>
              <w:t>ADJUSTMENTS</w:t>
            </w:r>
          </w:p>
        </w:tc>
        <w:tc>
          <w:tcPr>
            <w:tcW w:w="1000" w:type="dxa"/>
            <w:vAlign w:val="bottom"/>
          </w:tcPr>
          <w:p>
            <w:pPr>
              <w:jc w:val="center"/>
              <w:spacing w:after="0"/>
              <w:rPr>
                <w:sz w:val="20"/>
                <w:szCs w:val="20"/>
                <w:color w:val="auto"/>
              </w:rPr>
            </w:pPr>
            <w:r>
              <w:rPr>
                <w:rFonts w:ascii="Courier New" w:cs="Courier New" w:eastAsia="Courier New" w:hAnsi="Courier New"/>
                <w:sz w:val="16"/>
                <w:szCs w:val="16"/>
                <w:color w:val="auto"/>
                <w:w w:val="99"/>
              </w:rPr>
              <w:t>PRO FORMA</w:t>
            </w:r>
          </w:p>
        </w:tc>
      </w:tr>
      <w:tr>
        <w:trPr>
          <w:trHeight w:val="183"/>
        </w:trPr>
        <w:tc>
          <w:tcPr>
            <w:tcW w:w="3900" w:type="dxa"/>
            <w:vAlign w:val="bottom"/>
          </w:tcPr>
          <w:p>
            <w:pPr>
              <w:spacing w:after="0"/>
              <w:rPr>
                <w:sz w:val="15"/>
                <w:szCs w:val="15"/>
                <w:color w:val="auto"/>
              </w:rPr>
            </w:pPr>
          </w:p>
        </w:tc>
        <w:tc>
          <w:tcPr>
            <w:tcW w:w="12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center"/>
              <w:spacing w:after="0"/>
              <w:rPr>
                <w:sz w:val="20"/>
                <w:szCs w:val="20"/>
                <w:color w:val="auto"/>
              </w:rPr>
            </w:pPr>
            <w:r>
              <w:rPr>
                <w:rFonts w:ascii="Courier New" w:cs="Courier New" w:eastAsia="Courier New" w:hAnsi="Courier New"/>
                <w:sz w:val="16"/>
                <w:szCs w:val="16"/>
                <w:color w:val="auto"/>
                <w:w w:val="99"/>
              </w:rPr>
              <w:t>---------</w:t>
            </w: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center"/>
              <w:ind w:right="2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390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Net Revenues............................</w:t>
            </w:r>
          </w:p>
        </w:tc>
        <w:tc>
          <w:tcPr>
            <w:tcW w:w="12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$271,616</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$36,369</w:t>
            </w: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$ 12,215</w:t>
            </w:r>
          </w:p>
        </w:tc>
        <w:tc>
          <w:tcPr>
            <w:tcW w:w="1440" w:type="dxa"/>
            <w:vAlign w:val="bottom"/>
          </w:tcPr>
          <w:p>
            <w:pPr>
              <w:jc w:val="right"/>
              <w:ind w:right="74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$320,200</w:t>
            </w:r>
          </w:p>
        </w:tc>
      </w:tr>
      <w:tr>
        <w:trPr>
          <w:trHeight w:val="183"/>
        </w:trPr>
        <w:tc>
          <w:tcPr>
            <w:tcW w:w="3900" w:type="dxa"/>
            <w:vAlign w:val="bottom"/>
          </w:tcPr>
          <w:p>
            <w:pPr>
              <w:spacing w:after="0"/>
              <w:rPr>
                <w:sz w:val="20"/>
                <w:szCs w:val="20"/>
                <w:color w:val="auto"/>
              </w:rPr>
            </w:pPr>
            <w:r>
              <w:rPr>
                <w:rFonts w:ascii="Courier New" w:cs="Courier New" w:eastAsia="Courier New" w:hAnsi="Courier New"/>
                <w:sz w:val="16"/>
                <w:szCs w:val="16"/>
                <w:color w:val="auto"/>
              </w:rPr>
              <w:t>Operating charges:</w:t>
            </w:r>
          </w:p>
        </w:tc>
        <w:tc>
          <w:tcPr>
            <w:tcW w:w="1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3"/>
        </w:trPr>
        <w:tc>
          <w:tcPr>
            <w:tcW w:w="3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Operating expenses....................</w:t>
            </w:r>
          </w:p>
        </w:tc>
        <w:tc>
          <w:tcPr>
            <w:tcW w:w="12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102,335</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17,120</w:t>
            </w: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3,605</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(245)(I)</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122,815</w:t>
            </w:r>
          </w:p>
        </w:tc>
      </w:tr>
      <w:tr>
        <w:trPr>
          <w:trHeight w:val="183"/>
        </w:trPr>
        <w:tc>
          <w:tcPr>
            <w:tcW w:w="3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Salaries and wages....................</w:t>
            </w:r>
          </w:p>
        </w:tc>
        <w:tc>
          <w:tcPr>
            <w:tcW w:w="12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94,500</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12,346</w:t>
            </w: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5,353</w:t>
            </w:r>
          </w:p>
        </w:tc>
        <w:tc>
          <w:tcPr>
            <w:tcW w:w="1440" w:type="dxa"/>
            <w:vAlign w:val="bottom"/>
          </w:tcPr>
          <w:p>
            <w:pPr>
              <w:jc w:val="right"/>
              <w:ind w:right="74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112,199</w:t>
            </w:r>
          </w:p>
        </w:tc>
      </w:tr>
      <w:tr>
        <w:trPr>
          <w:trHeight w:val="183"/>
        </w:trPr>
        <w:tc>
          <w:tcPr>
            <w:tcW w:w="3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Provision for doubtful accounts.......</w:t>
            </w:r>
          </w:p>
        </w:tc>
        <w:tc>
          <w:tcPr>
            <w:tcW w:w="12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21,767</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2,726</w:t>
            </w: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367</w:t>
            </w:r>
          </w:p>
        </w:tc>
        <w:tc>
          <w:tcPr>
            <w:tcW w:w="1440" w:type="dxa"/>
            <w:vAlign w:val="bottom"/>
          </w:tcPr>
          <w:p>
            <w:pPr>
              <w:jc w:val="right"/>
              <w:ind w:right="74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24,860</w:t>
            </w:r>
          </w:p>
        </w:tc>
      </w:tr>
      <w:tr>
        <w:trPr>
          <w:trHeight w:val="183"/>
        </w:trPr>
        <w:tc>
          <w:tcPr>
            <w:tcW w:w="3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Depreciation and amortization.........</w:t>
            </w:r>
          </w:p>
        </w:tc>
        <w:tc>
          <w:tcPr>
            <w:tcW w:w="12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14,783</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1,947</w:t>
            </w: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533</w:t>
            </w:r>
          </w:p>
        </w:tc>
        <w:tc>
          <w:tcPr>
            <w:tcW w:w="1440" w:type="dxa"/>
            <w:vAlign w:val="bottom"/>
          </w:tcPr>
          <w:p>
            <w:pPr>
              <w:jc w:val="right"/>
              <w:ind w:right="74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17,263</w:t>
            </w:r>
          </w:p>
        </w:tc>
      </w:tr>
      <w:tr>
        <w:trPr>
          <w:trHeight w:val="183"/>
        </w:trPr>
        <w:tc>
          <w:tcPr>
            <w:tcW w:w="3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Lease and rental expense..............</w:t>
            </w:r>
          </w:p>
        </w:tc>
        <w:tc>
          <w:tcPr>
            <w:tcW w:w="12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9,405</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188</w:t>
            </w: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73</w:t>
            </w:r>
          </w:p>
        </w:tc>
        <w:tc>
          <w:tcPr>
            <w:tcW w:w="1440" w:type="dxa"/>
            <w:vAlign w:val="bottom"/>
          </w:tcPr>
          <w:p>
            <w:pPr>
              <w:jc w:val="right"/>
              <w:ind w:right="74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9,666</w:t>
            </w:r>
          </w:p>
        </w:tc>
      </w:tr>
      <w:tr>
        <w:trPr>
          <w:trHeight w:val="183"/>
        </w:trPr>
        <w:tc>
          <w:tcPr>
            <w:tcW w:w="3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Interest expense, net.................</w:t>
            </w:r>
          </w:p>
        </w:tc>
        <w:tc>
          <w:tcPr>
            <w:tcW w:w="12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4,648</w:t>
            </w:r>
          </w:p>
        </w:tc>
        <w:tc>
          <w:tcPr>
            <w:tcW w:w="11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ind w:left="44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1,007(J)</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5,655</w:t>
            </w:r>
          </w:p>
        </w:tc>
      </w:tr>
      <w:tr>
        <w:trPr>
          <w:trHeight w:val="183"/>
        </w:trPr>
        <w:tc>
          <w:tcPr>
            <w:tcW w:w="3900" w:type="dxa"/>
            <w:vAlign w:val="bottom"/>
          </w:tcPr>
          <w:p>
            <w:pPr>
              <w:spacing w:after="0"/>
              <w:rPr>
                <w:sz w:val="15"/>
                <w:szCs w:val="15"/>
                <w:color w:val="auto"/>
              </w:rPr>
            </w:pPr>
          </w:p>
        </w:tc>
        <w:tc>
          <w:tcPr>
            <w:tcW w:w="12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center"/>
              <w:spacing w:after="0"/>
              <w:rPr>
                <w:sz w:val="20"/>
                <w:szCs w:val="20"/>
                <w:color w:val="auto"/>
              </w:rPr>
            </w:pPr>
            <w:r>
              <w:rPr>
                <w:rFonts w:ascii="Courier New" w:cs="Courier New" w:eastAsia="Courier New" w:hAnsi="Courier New"/>
                <w:sz w:val="16"/>
                <w:szCs w:val="16"/>
                <w:color w:val="auto"/>
                <w:w w:val="99"/>
              </w:rPr>
              <w:t>---------</w:t>
            </w: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center"/>
              <w:ind w:right="2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3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Total expenses....................</w:t>
            </w:r>
          </w:p>
        </w:tc>
        <w:tc>
          <w:tcPr>
            <w:tcW w:w="12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247,438</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34,327</w:t>
            </w: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9,931</w:t>
            </w:r>
          </w:p>
        </w:tc>
        <w:tc>
          <w:tcPr>
            <w:tcW w:w="14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762</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292,458</w:t>
            </w:r>
          </w:p>
        </w:tc>
      </w:tr>
      <w:tr>
        <w:trPr>
          <w:trHeight w:val="183"/>
        </w:trPr>
        <w:tc>
          <w:tcPr>
            <w:tcW w:w="3900" w:type="dxa"/>
            <w:vAlign w:val="bottom"/>
          </w:tcPr>
          <w:p>
            <w:pPr>
              <w:spacing w:after="0"/>
              <w:rPr>
                <w:sz w:val="15"/>
                <w:szCs w:val="15"/>
                <w:color w:val="auto"/>
              </w:rPr>
            </w:pPr>
          </w:p>
        </w:tc>
        <w:tc>
          <w:tcPr>
            <w:tcW w:w="12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center"/>
              <w:spacing w:after="0"/>
              <w:rPr>
                <w:sz w:val="20"/>
                <w:szCs w:val="20"/>
                <w:color w:val="auto"/>
              </w:rPr>
            </w:pPr>
            <w:r>
              <w:rPr>
                <w:rFonts w:ascii="Courier New" w:cs="Courier New" w:eastAsia="Courier New" w:hAnsi="Courier New"/>
                <w:sz w:val="16"/>
                <w:szCs w:val="16"/>
                <w:color w:val="auto"/>
                <w:w w:val="99"/>
              </w:rPr>
              <w:t>---------</w:t>
            </w: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center"/>
              <w:ind w:right="2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390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Income before income taxes..............</w:t>
            </w:r>
          </w:p>
        </w:tc>
        <w:tc>
          <w:tcPr>
            <w:tcW w:w="12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24,178</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2,042</w:t>
            </w: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2,284</w:t>
            </w:r>
          </w:p>
        </w:tc>
        <w:tc>
          <w:tcPr>
            <w:tcW w:w="14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(762)</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27,742</w:t>
            </w:r>
          </w:p>
        </w:tc>
      </w:tr>
      <w:tr>
        <w:trPr>
          <w:trHeight w:val="183"/>
        </w:trPr>
        <w:tc>
          <w:tcPr>
            <w:tcW w:w="390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Provision for income taxes..............</w:t>
            </w:r>
          </w:p>
        </w:tc>
        <w:tc>
          <w:tcPr>
            <w:tcW w:w="12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8,677</w:t>
            </w:r>
          </w:p>
        </w:tc>
        <w:tc>
          <w:tcPr>
            <w:tcW w:w="11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542</w:t>
            </w:r>
          </w:p>
        </w:tc>
        <w:tc>
          <w:tcPr>
            <w:tcW w:w="14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822(K)</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10,041</w:t>
            </w:r>
          </w:p>
        </w:tc>
      </w:tr>
      <w:tr>
        <w:trPr>
          <w:trHeight w:val="183"/>
        </w:trPr>
        <w:tc>
          <w:tcPr>
            <w:tcW w:w="3900" w:type="dxa"/>
            <w:vAlign w:val="bottom"/>
          </w:tcPr>
          <w:p>
            <w:pPr>
              <w:spacing w:after="0"/>
              <w:rPr>
                <w:sz w:val="15"/>
                <w:szCs w:val="15"/>
                <w:color w:val="auto"/>
              </w:rPr>
            </w:pPr>
          </w:p>
        </w:tc>
        <w:tc>
          <w:tcPr>
            <w:tcW w:w="12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center"/>
              <w:spacing w:after="0"/>
              <w:rPr>
                <w:sz w:val="20"/>
                <w:szCs w:val="20"/>
                <w:color w:val="auto"/>
              </w:rPr>
            </w:pPr>
            <w:r>
              <w:rPr>
                <w:rFonts w:ascii="Courier New" w:cs="Courier New" w:eastAsia="Courier New" w:hAnsi="Courier New"/>
                <w:sz w:val="16"/>
                <w:szCs w:val="16"/>
                <w:color w:val="auto"/>
                <w:w w:val="99"/>
              </w:rPr>
              <w:t>---------</w:t>
            </w: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center"/>
              <w:ind w:right="2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390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Net income..............................</w:t>
            </w:r>
          </w:p>
        </w:tc>
        <w:tc>
          <w:tcPr>
            <w:tcW w:w="12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$ 15,501</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$ 2,042</w:t>
            </w: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1,742</w:t>
            </w:r>
          </w:p>
        </w:tc>
        <w:tc>
          <w:tcPr>
            <w:tcW w:w="14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$(1,584)</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   17,701</w:t>
            </w:r>
          </w:p>
        </w:tc>
      </w:tr>
      <w:tr>
        <w:trPr>
          <w:trHeight w:val="183"/>
        </w:trPr>
        <w:tc>
          <w:tcPr>
            <w:tcW w:w="3900" w:type="dxa"/>
            <w:vAlign w:val="bottom"/>
          </w:tcPr>
          <w:p>
            <w:pPr>
              <w:spacing w:after="0"/>
              <w:rPr>
                <w:sz w:val="15"/>
                <w:szCs w:val="15"/>
                <w:color w:val="auto"/>
              </w:rPr>
            </w:pPr>
          </w:p>
        </w:tc>
        <w:tc>
          <w:tcPr>
            <w:tcW w:w="12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center"/>
              <w:spacing w:after="0"/>
              <w:rPr>
                <w:sz w:val="20"/>
                <w:szCs w:val="20"/>
                <w:color w:val="auto"/>
              </w:rPr>
            </w:pPr>
            <w:r>
              <w:rPr>
                <w:rFonts w:ascii="Courier New" w:cs="Courier New" w:eastAsia="Courier New" w:hAnsi="Courier New"/>
                <w:sz w:val="16"/>
                <w:szCs w:val="16"/>
                <w:color w:val="auto"/>
                <w:w w:val="99"/>
              </w:rPr>
              <w:t>---------</w:t>
            </w: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center"/>
              <w:ind w:right="2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3900" w:type="dxa"/>
            <w:vAlign w:val="bottom"/>
          </w:tcPr>
          <w:p>
            <w:pPr>
              <w:spacing w:after="0"/>
              <w:rPr>
                <w:sz w:val="15"/>
                <w:szCs w:val="15"/>
                <w:color w:val="auto"/>
              </w:rPr>
            </w:pPr>
          </w:p>
        </w:tc>
        <w:tc>
          <w:tcPr>
            <w:tcW w:w="12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center"/>
              <w:spacing w:after="0"/>
              <w:rPr>
                <w:sz w:val="20"/>
                <w:szCs w:val="20"/>
                <w:color w:val="auto"/>
              </w:rPr>
            </w:pPr>
            <w:r>
              <w:rPr>
                <w:rFonts w:ascii="Courier New" w:cs="Courier New" w:eastAsia="Courier New" w:hAnsi="Courier New"/>
                <w:sz w:val="16"/>
                <w:szCs w:val="16"/>
                <w:color w:val="auto"/>
                <w:w w:val="99"/>
              </w:rPr>
              <w:t>---------</w:t>
            </w: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center"/>
              <w:ind w:right="2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3900" w:type="dxa"/>
            <w:vAlign w:val="bottom"/>
          </w:tcPr>
          <w:p>
            <w:pPr>
              <w:spacing w:after="0"/>
              <w:rPr>
                <w:sz w:val="20"/>
                <w:szCs w:val="20"/>
                <w:color w:val="auto"/>
              </w:rPr>
            </w:pPr>
            <w:r>
              <w:rPr>
                <w:rFonts w:ascii="Courier New" w:cs="Courier New" w:eastAsia="Courier New" w:hAnsi="Courier New"/>
                <w:sz w:val="16"/>
                <w:szCs w:val="16"/>
                <w:color w:val="auto"/>
              </w:rPr>
              <w:t>Earnings per common and common</w:t>
            </w:r>
          </w:p>
        </w:tc>
        <w:tc>
          <w:tcPr>
            <w:tcW w:w="1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3"/>
        </w:trPr>
        <w:tc>
          <w:tcPr>
            <w:tcW w:w="3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equivalent share......................</w:t>
            </w:r>
          </w:p>
        </w:tc>
        <w:tc>
          <w:tcPr>
            <w:tcW w:w="12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$0.54</w:t>
            </w:r>
          </w:p>
        </w:tc>
        <w:tc>
          <w:tcPr>
            <w:tcW w:w="1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$0.54</w:t>
            </w:r>
          </w:p>
        </w:tc>
      </w:tr>
      <w:tr>
        <w:trPr>
          <w:trHeight w:val="183"/>
        </w:trPr>
        <w:tc>
          <w:tcPr>
            <w:tcW w:w="3900" w:type="dxa"/>
            <w:vAlign w:val="bottom"/>
          </w:tcPr>
          <w:p>
            <w:pPr>
              <w:spacing w:after="0"/>
              <w:rPr>
                <w:sz w:val="15"/>
                <w:szCs w:val="15"/>
                <w:color w:val="auto"/>
              </w:rPr>
            </w:pPr>
          </w:p>
        </w:tc>
        <w:tc>
          <w:tcPr>
            <w:tcW w:w="12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3900" w:type="dxa"/>
            <w:vAlign w:val="bottom"/>
          </w:tcPr>
          <w:p>
            <w:pPr>
              <w:spacing w:after="0"/>
              <w:rPr>
                <w:sz w:val="15"/>
                <w:szCs w:val="15"/>
                <w:color w:val="auto"/>
              </w:rPr>
            </w:pPr>
          </w:p>
        </w:tc>
        <w:tc>
          <w:tcPr>
            <w:tcW w:w="12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390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Weighted average number of common shares</w:t>
            </w:r>
          </w:p>
        </w:tc>
        <w:tc>
          <w:tcPr>
            <w:tcW w:w="1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3"/>
        </w:trPr>
        <w:tc>
          <w:tcPr>
            <w:tcW w:w="3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and equivalents.......................</w:t>
            </w:r>
          </w:p>
        </w:tc>
        <w:tc>
          <w:tcPr>
            <w:tcW w:w="12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28,712,000</w:t>
            </w:r>
          </w:p>
        </w:tc>
        <w:tc>
          <w:tcPr>
            <w:tcW w:w="1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32,712,000</w:t>
            </w:r>
          </w:p>
        </w:tc>
      </w:tr>
      <w:tr>
        <w:trPr>
          <w:trHeight w:val="183"/>
        </w:trPr>
        <w:tc>
          <w:tcPr>
            <w:tcW w:w="3900" w:type="dxa"/>
            <w:vAlign w:val="bottom"/>
          </w:tcPr>
          <w:p>
            <w:pPr>
              <w:spacing w:after="0"/>
              <w:rPr>
                <w:sz w:val="15"/>
                <w:szCs w:val="15"/>
                <w:color w:val="auto"/>
              </w:rPr>
            </w:pPr>
          </w:p>
        </w:tc>
        <w:tc>
          <w:tcPr>
            <w:tcW w:w="12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3900" w:type="dxa"/>
            <w:vAlign w:val="bottom"/>
          </w:tcPr>
          <w:p>
            <w:pPr>
              <w:spacing w:after="0"/>
              <w:rPr>
                <w:sz w:val="15"/>
                <w:szCs w:val="15"/>
                <w:color w:val="auto"/>
              </w:rPr>
            </w:pPr>
          </w:p>
        </w:tc>
        <w:tc>
          <w:tcPr>
            <w:tcW w:w="12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2679" w:firstLine="382"/>
        <w:spacing w:after="0" w:line="241" w:lineRule="auto"/>
        <w:rPr>
          <w:sz w:val="20"/>
          <w:szCs w:val="20"/>
          <w:color w:val="auto"/>
        </w:rPr>
      </w:pPr>
      <w:r>
        <w:rPr>
          <w:rFonts w:ascii="Courier New" w:cs="Courier New" w:eastAsia="Courier New" w:hAnsi="Courier New"/>
          <w:sz w:val="16"/>
          <w:szCs w:val="16"/>
          <w:color w:val="auto"/>
        </w:rPr>
        <w:t>Prior to the issuance of the Shares offered hereby and the application of the net proceeds from this Offering to repay debt incurred to fund the 1996 acquisitions, pro forma earnings per share for the quarter ended March 31, 1996 were $.59.</w:t>
      </w:r>
    </w:p>
    <w:p>
      <w:pPr>
        <w:spacing w:after="0" w:line="37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5"/>
          <w:szCs w:val="15"/>
          <w:color w:val="auto"/>
        </w:rPr>
        <w:t>The accompanying notes and management's assumptions are an integral part of this</w:t>
      </w:r>
    </w:p>
    <w:p>
      <w:pPr>
        <w:spacing w:after="0" w:line="11"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statement.</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481" w:right="1440" w:bottom="1440" w:gutter="0" w:footer="0" w:header="0"/>
        </w:sectPr>
      </w:pPr>
    </w:p>
    <w:bookmarkStart w:id="19" w:name="page20"/>
    <w:bookmarkEnd w:id="19"/>
    <w:p>
      <w:pPr>
        <w:ind w:left="2280"/>
        <w:spacing w:after="0"/>
        <w:rPr>
          <w:sz w:val="20"/>
          <w:szCs w:val="20"/>
          <w:color w:val="auto"/>
        </w:rPr>
      </w:pPr>
      <w:r>
        <w:rPr>
          <w:rFonts w:ascii="Courier New" w:cs="Courier New" w:eastAsia="Courier New" w:hAnsi="Courier New"/>
          <w:sz w:val="16"/>
          <w:szCs w:val="16"/>
          <w:color w:val="auto"/>
        </w:rPr>
        <w:t>UNIVERSAL HEALTH SERVICES, INC. AND SUBSIDIARIES</w:t>
      </w:r>
    </w:p>
    <w:p>
      <w:pPr>
        <w:spacing w:after="0" w:line="2" w:lineRule="exact"/>
        <w:rPr>
          <w:sz w:val="20"/>
          <w:szCs w:val="20"/>
          <w:color w:val="auto"/>
        </w:rPr>
      </w:pPr>
    </w:p>
    <w:p>
      <w:pPr>
        <w:ind w:left="2380"/>
        <w:spacing w:after="0"/>
        <w:rPr>
          <w:sz w:val="20"/>
          <w:szCs w:val="20"/>
          <w:color w:val="auto"/>
        </w:rPr>
      </w:pPr>
      <w:r>
        <w:rPr>
          <w:rFonts w:ascii="Courier New" w:cs="Courier New" w:eastAsia="Courier New" w:hAnsi="Courier New"/>
          <w:sz w:val="16"/>
          <w:szCs w:val="16"/>
          <w:color w:val="auto"/>
        </w:rPr>
        <w:t>NOTES TO MANAGEMENT'S ASSUMPTIONS TO UNAUDITED</w:t>
      </w:r>
    </w:p>
    <w:p>
      <w:pPr>
        <w:spacing w:after="0" w:line="2"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PRO FORMA CONDENSED CONSOLIDATED FINANCIAL STATEMENTS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100" w:type="dxa"/>
            <w:vAlign w:val="bottom"/>
          </w:tcPr>
          <w:p>
            <w:pPr>
              <w:spacing w:after="0"/>
              <w:rPr>
                <w:sz w:val="20"/>
                <w:szCs w:val="20"/>
                <w:color w:val="auto"/>
              </w:rPr>
            </w:pPr>
            <w:r>
              <w:rPr>
                <w:rFonts w:ascii="Courier New" w:cs="Courier New" w:eastAsia="Courier New" w:hAnsi="Courier New"/>
                <w:sz w:val="16"/>
                <w:szCs w:val="16"/>
                <w:color w:val="auto"/>
              </w:rPr>
              <w:t>(A) NORTHWEST TEXAS HEALTH ACQUISITION:</w:t>
            </w:r>
          </w:p>
        </w:tc>
        <w:tc>
          <w:tcPr>
            <w:tcW w:w="17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550"/>
        </w:trPr>
        <w:tc>
          <w:tcPr>
            <w:tcW w:w="4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420" w:type="dxa"/>
            <w:vAlign w:val="bottom"/>
            <w:gridSpan w:val="4"/>
          </w:tcPr>
          <w:p>
            <w:pPr>
              <w:ind w:left="660"/>
              <w:spacing w:after="0"/>
              <w:rPr>
                <w:sz w:val="20"/>
                <w:szCs w:val="20"/>
                <w:color w:val="auto"/>
              </w:rPr>
            </w:pPr>
            <w:r>
              <w:rPr>
                <w:rFonts w:ascii="Courier New" w:cs="Courier New" w:eastAsia="Courier New" w:hAnsi="Courier New"/>
                <w:sz w:val="16"/>
                <w:szCs w:val="16"/>
                <w:color w:val="auto"/>
              </w:rPr>
              <w:t>PRO FORMA ADJUSTMENTS</w:t>
            </w: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3"/>
        </w:trPr>
        <w:tc>
          <w:tcPr>
            <w:tcW w:w="4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420" w:type="dxa"/>
            <w:vAlign w:val="bottom"/>
            <w:gridSpan w:val="4"/>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4100" w:type="dxa"/>
            <w:vAlign w:val="bottom"/>
          </w:tcPr>
          <w:p>
            <w:pPr>
              <w:spacing w:after="0"/>
              <w:rPr>
                <w:sz w:val="15"/>
                <w:szCs w:val="15"/>
                <w:color w:val="auto"/>
              </w:rPr>
            </w:pPr>
          </w:p>
        </w:tc>
        <w:tc>
          <w:tcPr>
            <w:tcW w:w="1720" w:type="dxa"/>
            <w:vAlign w:val="bottom"/>
          </w:tcPr>
          <w:p>
            <w:pPr>
              <w:ind w:left="380"/>
              <w:spacing w:after="0"/>
              <w:rPr>
                <w:sz w:val="20"/>
                <w:szCs w:val="20"/>
                <w:color w:val="auto"/>
              </w:rPr>
            </w:pPr>
            <w:r>
              <w:rPr>
                <w:rFonts w:ascii="Courier New" w:cs="Courier New" w:eastAsia="Courier New" w:hAnsi="Courier New"/>
                <w:sz w:val="16"/>
                <w:szCs w:val="16"/>
                <w:color w:val="auto"/>
              </w:rPr>
              <w:t>NORTHWEST</w:t>
            </w:r>
          </w:p>
        </w:tc>
        <w:tc>
          <w:tcPr>
            <w:tcW w:w="1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4100" w:type="dxa"/>
            <w:vAlign w:val="bottom"/>
          </w:tcPr>
          <w:p>
            <w:pPr>
              <w:spacing w:after="0"/>
              <w:rPr>
                <w:sz w:val="15"/>
                <w:szCs w:val="15"/>
                <w:color w:val="auto"/>
              </w:rPr>
            </w:pPr>
          </w:p>
        </w:tc>
        <w:tc>
          <w:tcPr>
            <w:tcW w:w="1720" w:type="dxa"/>
            <w:vAlign w:val="bottom"/>
          </w:tcPr>
          <w:p>
            <w:pPr>
              <w:ind w:left="580"/>
              <w:spacing w:after="0"/>
              <w:rPr>
                <w:sz w:val="20"/>
                <w:szCs w:val="20"/>
                <w:color w:val="auto"/>
              </w:rPr>
            </w:pPr>
            <w:r>
              <w:rPr>
                <w:rFonts w:ascii="Courier New" w:cs="Courier New" w:eastAsia="Courier New" w:hAnsi="Courier New"/>
                <w:sz w:val="16"/>
                <w:szCs w:val="16"/>
                <w:color w:val="auto"/>
              </w:rPr>
              <w:t>TEXAS</w:t>
            </w:r>
          </w:p>
        </w:tc>
        <w:tc>
          <w:tcPr>
            <w:tcW w:w="17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ASSETS AND</w:t>
            </w:r>
          </w:p>
        </w:tc>
        <w:tc>
          <w:tcPr>
            <w:tcW w:w="240" w:type="dxa"/>
            <w:vAlign w:val="bottom"/>
          </w:tcPr>
          <w:p>
            <w:pPr>
              <w:spacing w:after="0"/>
              <w:rPr>
                <w:sz w:val="15"/>
                <w:szCs w:val="15"/>
                <w:color w:val="auto"/>
              </w:rPr>
            </w:pPr>
          </w:p>
        </w:tc>
        <w:tc>
          <w:tcPr>
            <w:tcW w:w="14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ALLOCATION</w:t>
            </w:r>
          </w:p>
        </w:tc>
        <w:tc>
          <w:tcPr>
            <w:tcW w:w="12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NORTHWEST</w:t>
            </w:r>
          </w:p>
        </w:tc>
      </w:tr>
      <w:tr>
        <w:trPr>
          <w:trHeight w:val="183"/>
        </w:trPr>
        <w:tc>
          <w:tcPr>
            <w:tcW w:w="4100" w:type="dxa"/>
            <w:vAlign w:val="bottom"/>
          </w:tcPr>
          <w:p>
            <w:pPr>
              <w:spacing w:after="0"/>
              <w:rPr>
                <w:sz w:val="15"/>
                <w:szCs w:val="15"/>
                <w:color w:val="auto"/>
              </w:rPr>
            </w:pPr>
          </w:p>
        </w:tc>
        <w:tc>
          <w:tcPr>
            <w:tcW w:w="1720" w:type="dxa"/>
            <w:vAlign w:val="bottom"/>
          </w:tcPr>
          <w:p>
            <w:pPr>
              <w:ind w:left="580"/>
              <w:spacing w:after="0"/>
              <w:rPr>
                <w:sz w:val="20"/>
                <w:szCs w:val="20"/>
                <w:color w:val="auto"/>
              </w:rPr>
            </w:pPr>
            <w:r>
              <w:rPr>
                <w:rFonts w:ascii="Courier New" w:cs="Courier New" w:eastAsia="Courier New" w:hAnsi="Courier New"/>
                <w:sz w:val="16"/>
                <w:szCs w:val="16"/>
                <w:color w:val="auto"/>
              </w:rPr>
              <w:t>HEALTH</w:t>
            </w:r>
          </w:p>
        </w:tc>
        <w:tc>
          <w:tcPr>
            <w:tcW w:w="17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LIABILITIES</w:t>
            </w:r>
          </w:p>
        </w:tc>
        <w:tc>
          <w:tcPr>
            <w:tcW w:w="240" w:type="dxa"/>
            <w:vAlign w:val="bottom"/>
          </w:tcPr>
          <w:p>
            <w:pPr>
              <w:spacing w:after="0"/>
              <w:rPr>
                <w:sz w:val="15"/>
                <w:szCs w:val="15"/>
                <w:color w:val="auto"/>
              </w:rPr>
            </w:pPr>
          </w:p>
        </w:tc>
        <w:tc>
          <w:tcPr>
            <w:tcW w:w="14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OF PURCHASE</w:t>
            </w:r>
          </w:p>
        </w:tc>
        <w:tc>
          <w:tcPr>
            <w:tcW w:w="124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7"/>
              </w:rPr>
              <w:t>TEXAS HEALTH</w:t>
            </w:r>
          </w:p>
        </w:tc>
      </w:tr>
      <w:tr>
        <w:trPr>
          <w:trHeight w:val="183"/>
        </w:trPr>
        <w:tc>
          <w:tcPr>
            <w:tcW w:w="4100" w:type="dxa"/>
            <w:vAlign w:val="bottom"/>
          </w:tcPr>
          <w:p>
            <w:pPr>
              <w:spacing w:after="0"/>
              <w:rPr>
                <w:sz w:val="15"/>
                <w:szCs w:val="15"/>
                <w:color w:val="auto"/>
              </w:rPr>
            </w:pPr>
          </w:p>
        </w:tc>
        <w:tc>
          <w:tcPr>
            <w:tcW w:w="1720" w:type="dxa"/>
            <w:vAlign w:val="bottom"/>
          </w:tcPr>
          <w:p>
            <w:pPr>
              <w:ind w:left="180"/>
              <w:spacing w:after="0"/>
              <w:rPr>
                <w:sz w:val="20"/>
                <w:szCs w:val="20"/>
                <w:color w:val="auto"/>
              </w:rPr>
            </w:pPr>
            <w:r>
              <w:rPr>
                <w:rFonts w:ascii="Courier New" w:cs="Courier New" w:eastAsia="Courier New" w:hAnsi="Courier New"/>
                <w:sz w:val="16"/>
                <w:szCs w:val="16"/>
                <w:color w:val="auto"/>
              </w:rPr>
              <w:t>HISTORICAL(1)</w:t>
            </w:r>
          </w:p>
        </w:tc>
        <w:tc>
          <w:tcPr>
            <w:tcW w:w="17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NOT ACQUIRED(2)</w:t>
            </w:r>
          </w:p>
        </w:tc>
        <w:tc>
          <w:tcPr>
            <w:tcW w:w="240" w:type="dxa"/>
            <w:vAlign w:val="bottom"/>
          </w:tcPr>
          <w:p>
            <w:pPr>
              <w:spacing w:after="0"/>
              <w:rPr>
                <w:sz w:val="15"/>
                <w:szCs w:val="15"/>
                <w:color w:val="auto"/>
              </w:rPr>
            </w:pPr>
          </w:p>
        </w:tc>
        <w:tc>
          <w:tcPr>
            <w:tcW w:w="1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PRICE(3)(4)</w:t>
            </w:r>
          </w:p>
        </w:tc>
        <w:tc>
          <w:tcPr>
            <w:tcW w:w="12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ACQUISITION</w:t>
            </w:r>
          </w:p>
        </w:tc>
      </w:tr>
      <w:tr>
        <w:trPr>
          <w:trHeight w:val="183"/>
        </w:trPr>
        <w:tc>
          <w:tcPr>
            <w:tcW w:w="4100" w:type="dxa"/>
            <w:vAlign w:val="bottom"/>
          </w:tcPr>
          <w:p>
            <w:pPr>
              <w:spacing w:after="0"/>
              <w:rPr>
                <w:sz w:val="15"/>
                <w:szCs w:val="15"/>
                <w:color w:val="auto"/>
              </w:rPr>
            </w:pPr>
          </w:p>
        </w:tc>
        <w:tc>
          <w:tcPr>
            <w:tcW w:w="172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4100" w:type="dxa"/>
            <w:vAlign w:val="bottom"/>
          </w:tcPr>
          <w:p>
            <w:pPr>
              <w:jc w:val="right"/>
              <w:ind w:right="3161"/>
              <w:spacing w:after="0"/>
              <w:rPr>
                <w:sz w:val="20"/>
                <w:szCs w:val="20"/>
                <w:color w:val="auto"/>
              </w:rPr>
            </w:pPr>
            <w:r>
              <w:rPr>
                <w:rFonts w:ascii="Courier New" w:cs="Courier New" w:eastAsia="Courier New" w:hAnsi="Courier New"/>
                <w:sz w:val="16"/>
                <w:szCs w:val="16"/>
                <w:color w:val="auto"/>
              </w:rPr>
              <w:t>ASSETS</w:t>
            </w:r>
          </w:p>
        </w:tc>
        <w:tc>
          <w:tcPr>
            <w:tcW w:w="17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3"/>
        </w:trPr>
        <w:tc>
          <w:tcPr>
            <w:tcW w:w="410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17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4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Cash and cash equivalents...............</w:t>
            </w:r>
          </w:p>
        </w:tc>
        <w:tc>
          <w:tcPr>
            <w:tcW w:w="17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$ 33,200</w:t>
            </w:r>
          </w:p>
        </w:tc>
        <w:tc>
          <w:tcPr>
            <w:tcW w:w="17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$(33,200)</w:t>
            </w:r>
          </w:p>
        </w:tc>
        <w:tc>
          <w:tcPr>
            <w:tcW w:w="240" w:type="dxa"/>
            <w:vAlign w:val="bottom"/>
          </w:tcPr>
          <w:p>
            <w:pPr>
              <w:spacing w:after="0"/>
              <w:rPr>
                <w:sz w:val="15"/>
                <w:szCs w:val="15"/>
                <w:color w:val="auto"/>
              </w:rPr>
            </w:pPr>
          </w:p>
        </w:tc>
        <w:tc>
          <w:tcPr>
            <w:tcW w:w="14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 (125,565)</w:t>
            </w: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(125,565)</w:t>
            </w:r>
          </w:p>
        </w:tc>
      </w:tr>
      <w:tr>
        <w:trPr>
          <w:trHeight w:val="183"/>
        </w:trPr>
        <w:tc>
          <w:tcPr>
            <w:tcW w:w="4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Accounts receivable, net................</w:t>
            </w:r>
          </w:p>
        </w:tc>
        <w:tc>
          <w:tcPr>
            <w:tcW w:w="17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16,764</w:t>
            </w:r>
          </w:p>
        </w:tc>
        <w:tc>
          <w:tcPr>
            <w:tcW w:w="1760" w:type="dxa"/>
            <w:vAlign w:val="bottom"/>
          </w:tcPr>
          <w:p>
            <w:pPr>
              <w:ind w:left="660"/>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16,764</w:t>
            </w:r>
          </w:p>
        </w:tc>
      </w:tr>
      <w:tr>
        <w:trPr>
          <w:trHeight w:val="183"/>
        </w:trPr>
        <w:tc>
          <w:tcPr>
            <w:tcW w:w="4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Other current assets....................</w:t>
            </w:r>
          </w:p>
        </w:tc>
        <w:tc>
          <w:tcPr>
            <w:tcW w:w="17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46,518</w:t>
            </w:r>
          </w:p>
        </w:tc>
        <w:tc>
          <w:tcPr>
            <w:tcW w:w="17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(36,702)</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9,816</w:t>
            </w:r>
          </w:p>
        </w:tc>
      </w:tr>
      <w:tr>
        <w:trPr>
          <w:trHeight w:val="183"/>
        </w:trPr>
        <w:tc>
          <w:tcPr>
            <w:tcW w:w="4100" w:type="dxa"/>
            <w:vAlign w:val="bottom"/>
          </w:tcPr>
          <w:p>
            <w:pPr>
              <w:spacing w:after="0"/>
              <w:rPr>
                <w:sz w:val="15"/>
                <w:szCs w:val="15"/>
                <w:color w:val="auto"/>
              </w:rPr>
            </w:pPr>
          </w:p>
        </w:tc>
        <w:tc>
          <w:tcPr>
            <w:tcW w:w="172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TOTAL CURRENT ASSETS................</w:t>
            </w:r>
          </w:p>
        </w:tc>
        <w:tc>
          <w:tcPr>
            <w:tcW w:w="17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96,482</w:t>
            </w:r>
          </w:p>
        </w:tc>
        <w:tc>
          <w:tcPr>
            <w:tcW w:w="17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(69,902)</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(125,565)</w:t>
            </w:r>
          </w:p>
        </w:tc>
        <w:tc>
          <w:tcPr>
            <w:tcW w:w="4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(98,985)</w:t>
            </w:r>
          </w:p>
        </w:tc>
      </w:tr>
      <w:tr>
        <w:trPr>
          <w:trHeight w:val="183"/>
        </w:trPr>
        <w:tc>
          <w:tcPr>
            <w:tcW w:w="4100" w:type="dxa"/>
            <w:vAlign w:val="bottom"/>
          </w:tcPr>
          <w:p>
            <w:pPr>
              <w:spacing w:after="0"/>
              <w:rPr>
                <w:sz w:val="15"/>
                <w:szCs w:val="15"/>
                <w:color w:val="auto"/>
              </w:rPr>
            </w:pPr>
          </w:p>
        </w:tc>
        <w:tc>
          <w:tcPr>
            <w:tcW w:w="172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1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Property and equipment, net...............</w:t>
            </w:r>
          </w:p>
        </w:tc>
        <w:tc>
          <w:tcPr>
            <w:tcW w:w="17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65,176</w:t>
            </w:r>
          </w:p>
        </w:tc>
        <w:tc>
          <w:tcPr>
            <w:tcW w:w="1760" w:type="dxa"/>
            <w:vAlign w:val="bottom"/>
          </w:tcPr>
          <w:p>
            <w:pPr>
              <w:ind w:left="660"/>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20,609</w:t>
            </w:r>
          </w:p>
        </w:tc>
        <w:tc>
          <w:tcPr>
            <w:tcW w:w="40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85,785</w:t>
            </w:r>
          </w:p>
        </w:tc>
      </w:tr>
      <w:tr>
        <w:trPr>
          <w:trHeight w:val="183"/>
        </w:trPr>
        <w:tc>
          <w:tcPr>
            <w:tcW w:w="410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17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4100" w:type="dxa"/>
            <w:vAlign w:val="bottom"/>
          </w:tcPr>
          <w:p>
            <w:pPr>
              <w:ind w:left="180"/>
              <w:spacing w:after="0"/>
              <w:rPr>
                <w:sz w:val="20"/>
                <w:szCs w:val="20"/>
                <w:color w:val="auto"/>
              </w:rPr>
            </w:pPr>
            <w:r>
              <w:rPr>
                <w:rFonts w:ascii="Courier New" w:cs="Courier New" w:eastAsia="Courier New" w:hAnsi="Courier New"/>
                <w:sz w:val="16"/>
                <w:szCs w:val="16"/>
                <w:color w:val="auto"/>
              </w:rPr>
              <w:t>Excess of cost over fair value of net</w:t>
            </w:r>
          </w:p>
        </w:tc>
        <w:tc>
          <w:tcPr>
            <w:tcW w:w="17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4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tangible assets acquired..............</w:t>
            </w:r>
          </w:p>
        </w:tc>
        <w:tc>
          <w:tcPr>
            <w:tcW w:w="1720" w:type="dxa"/>
            <w:vAlign w:val="bottom"/>
          </w:tcPr>
          <w:p>
            <w:pPr>
              <w:ind w:left="580"/>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ind w:left="660"/>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22,362</w:t>
            </w:r>
          </w:p>
        </w:tc>
        <w:tc>
          <w:tcPr>
            <w:tcW w:w="40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22,362</w:t>
            </w:r>
          </w:p>
        </w:tc>
      </w:tr>
      <w:tr>
        <w:trPr>
          <w:trHeight w:val="183"/>
        </w:trPr>
        <w:tc>
          <w:tcPr>
            <w:tcW w:w="4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Deferred charges and other..............</w:t>
            </w:r>
          </w:p>
        </w:tc>
        <w:tc>
          <w:tcPr>
            <w:tcW w:w="17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4,132</w:t>
            </w:r>
          </w:p>
        </w:tc>
        <w:tc>
          <w:tcPr>
            <w:tcW w:w="17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(4,132)</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5"/>
                <w:szCs w:val="15"/>
                <w:color w:val="auto"/>
              </w:rPr>
            </w:pPr>
          </w:p>
        </w:tc>
        <w:tc>
          <w:tcPr>
            <w:tcW w:w="8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r>
      <w:tr>
        <w:trPr>
          <w:trHeight w:val="183"/>
        </w:trPr>
        <w:tc>
          <w:tcPr>
            <w:tcW w:w="4100" w:type="dxa"/>
            <w:vAlign w:val="bottom"/>
          </w:tcPr>
          <w:p>
            <w:pPr>
              <w:spacing w:after="0"/>
              <w:rPr>
                <w:sz w:val="15"/>
                <w:szCs w:val="15"/>
                <w:color w:val="auto"/>
              </w:rPr>
            </w:pPr>
          </w:p>
        </w:tc>
        <w:tc>
          <w:tcPr>
            <w:tcW w:w="172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TOTAL ASSETS........................</w:t>
            </w:r>
          </w:p>
        </w:tc>
        <w:tc>
          <w:tcPr>
            <w:tcW w:w="17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$165,790</w:t>
            </w:r>
          </w:p>
        </w:tc>
        <w:tc>
          <w:tcPr>
            <w:tcW w:w="17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$(74,034)</w:t>
            </w:r>
          </w:p>
        </w:tc>
        <w:tc>
          <w:tcPr>
            <w:tcW w:w="2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(82,594)</w:t>
            </w:r>
          </w:p>
        </w:tc>
        <w:tc>
          <w:tcPr>
            <w:tcW w:w="4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9,162</w:t>
            </w:r>
          </w:p>
        </w:tc>
      </w:tr>
      <w:tr>
        <w:trPr>
          <w:trHeight w:val="183"/>
        </w:trPr>
        <w:tc>
          <w:tcPr>
            <w:tcW w:w="4100" w:type="dxa"/>
            <w:vAlign w:val="bottom"/>
          </w:tcPr>
          <w:p>
            <w:pPr>
              <w:spacing w:after="0"/>
              <w:rPr>
                <w:sz w:val="15"/>
                <w:szCs w:val="15"/>
                <w:color w:val="auto"/>
              </w:rPr>
            </w:pPr>
          </w:p>
        </w:tc>
        <w:tc>
          <w:tcPr>
            <w:tcW w:w="172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100" w:type="dxa"/>
            <w:vAlign w:val="bottom"/>
          </w:tcPr>
          <w:p>
            <w:pPr>
              <w:spacing w:after="0"/>
              <w:rPr>
                <w:sz w:val="15"/>
                <w:szCs w:val="15"/>
                <w:color w:val="auto"/>
              </w:rPr>
            </w:pPr>
          </w:p>
        </w:tc>
        <w:tc>
          <w:tcPr>
            <w:tcW w:w="172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100" w:type="dxa"/>
            <w:vAlign w:val="bottom"/>
          </w:tcPr>
          <w:p>
            <w:pPr>
              <w:ind w:left="380"/>
              <w:spacing w:after="0"/>
              <w:rPr>
                <w:sz w:val="20"/>
                <w:szCs w:val="20"/>
                <w:color w:val="auto"/>
              </w:rPr>
            </w:pPr>
            <w:r>
              <w:rPr>
                <w:rFonts w:ascii="Courier New" w:cs="Courier New" w:eastAsia="Courier New" w:hAnsi="Courier New"/>
                <w:sz w:val="16"/>
                <w:szCs w:val="16"/>
                <w:color w:val="auto"/>
              </w:rPr>
              <w:t>LIABILITIES AND STOCKHOLDERS' EQUITY</w:t>
            </w:r>
          </w:p>
        </w:tc>
        <w:tc>
          <w:tcPr>
            <w:tcW w:w="17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4100" w:type="dxa"/>
            <w:vAlign w:val="bottom"/>
          </w:tcPr>
          <w:p>
            <w:pPr>
              <w:ind w:left="380"/>
              <w:spacing w:after="0"/>
              <w:rPr>
                <w:sz w:val="20"/>
                <w:szCs w:val="20"/>
                <w:color w:val="auto"/>
              </w:rPr>
            </w:pPr>
            <w:r>
              <w:rPr>
                <w:rFonts w:ascii="Courier New" w:cs="Courier New" w:eastAsia="Courier New" w:hAnsi="Courier New"/>
                <w:sz w:val="16"/>
                <w:szCs w:val="16"/>
                <w:color w:val="auto"/>
              </w:rPr>
              <w:t>CURRENT LIABILITIES:</w:t>
            </w:r>
          </w:p>
        </w:tc>
        <w:tc>
          <w:tcPr>
            <w:tcW w:w="17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4100" w:type="dxa"/>
            <w:vAlign w:val="bottom"/>
          </w:tcPr>
          <w:p>
            <w:pPr>
              <w:ind w:left="180"/>
              <w:spacing w:after="0"/>
              <w:rPr>
                <w:sz w:val="20"/>
                <w:szCs w:val="20"/>
                <w:color w:val="auto"/>
              </w:rPr>
            </w:pPr>
            <w:r>
              <w:rPr>
                <w:rFonts w:ascii="Courier New" w:cs="Courier New" w:eastAsia="Courier New" w:hAnsi="Courier New"/>
                <w:sz w:val="16"/>
                <w:szCs w:val="16"/>
                <w:color w:val="auto"/>
              </w:rPr>
              <w:t>Current maturities of debt..........</w:t>
            </w:r>
          </w:p>
        </w:tc>
        <w:tc>
          <w:tcPr>
            <w:tcW w:w="172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  1,375</w:t>
            </w:r>
          </w:p>
        </w:tc>
        <w:tc>
          <w:tcPr>
            <w:tcW w:w="1760" w:type="dxa"/>
            <w:vAlign w:val="bottom"/>
          </w:tcPr>
          <w:p>
            <w:pPr>
              <w:ind w:left="180"/>
              <w:spacing w:after="0"/>
              <w:rPr>
                <w:sz w:val="20"/>
                <w:szCs w:val="20"/>
                <w:color w:val="auto"/>
              </w:rPr>
            </w:pPr>
            <w:r>
              <w:rPr>
                <w:rFonts w:ascii="Courier New" w:cs="Courier New" w:eastAsia="Courier New" w:hAnsi="Courier New"/>
                <w:sz w:val="16"/>
                <w:szCs w:val="16"/>
                <w:color w:val="auto"/>
              </w:rPr>
              <w:t>$ (1,375)</w:t>
            </w:r>
          </w:p>
        </w:tc>
        <w:tc>
          <w:tcPr>
            <w:tcW w:w="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spacing w:after="0"/>
              <w:rPr>
                <w:sz w:val="15"/>
                <w:szCs w:val="15"/>
                <w:color w:val="auto"/>
              </w:rPr>
            </w:pPr>
          </w:p>
        </w:tc>
      </w:tr>
      <w:tr>
        <w:trPr>
          <w:trHeight w:val="183"/>
        </w:trPr>
        <w:tc>
          <w:tcPr>
            <w:tcW w:w="4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Accounts payable and accrued expenses...</w:t>
            </w:r>
          </w:p>
        </w:tc>
        <w:tc>
          <w:tcPr>
            <w:tcW w:w="17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14,954</w:t>
            </w:r>
          </w:p>
        </w:tc>
        <w:tc>
          <w:tcPr>
            <w:tcW w:w="17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(5,792)</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9,162</w:t>
            </w:r>
          </w:p>
        </w:tc>
      </w:tr>
      <w:tr>
        <w:trPr>
          <w:trHeight w:val="183"/>
        </w:trPr>
        <w:tc>
          <w:tcPr>
            <w:tcW w:w="4100" w:type="dxa"/>
            <w:vAlign w:val="bottom"/>
          </w:tcPr>
          <w:p>
            <w:pPr>
              <w:spacing w:after="0"/>
              <w:rPr>
                <w:sz w:val="15"/>
                <w:szCs w:val="15"/>
                <w:color w:val="auto"/>
              </w:rPr>
            </w:pPr>
          </w:p>
        </w:tc>
        <w:tc>
          <w:tcPr>
            <w:tcW w:w="172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TOTAL CURRENT LIABILITIES...........</w:t>
            </w:r>
          </w:p>
        </w:tc>
        <w:tc>
          <w:tcPr>
            <w:tcW w:w="17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16,329</w:t>
            </w:r>
          </w:p>
        </w:tc>
        <w:tc>
          <w:tcPr>
            <w:tcW w:w="17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(7,167)</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9,162</w:t>
            </w:r>
          </w:p>
        </w:tc>
      </w:tr>
      <w:tr>
        <w:trPr>
          <w:trHeight w:val="183"/>
        </w:trPr>
        <w:tc>
          <w:tcPr>
            <w:tcW w:w="41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Other non-current liabilities.............</w:t>
            </w:r>
          </w:p>
        </w:tc>
        <w:tc>
          <w:tcPr>
            <w:tcW w:w="17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592</w:t>
            </w:r>
          </w:p>
        </w:tc>
        <w:tc>
          <w:tcPr>
            <w:tcW w:w="17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(592)</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5"/>
                <w:szCs w:val="15"/>
                <w:color w:val="auto"/>
              </w:rPr>
            </w:pPr>
          </w:p>
        </w:tc>
        <w:tc>
          <w:tcPr>
            <w:tcW w:w="8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r>
      <w:tr>
        <w:trPr>
          <w:trHeight w:val="183"/>
        </w:trPr>
        <w:tc>
          <w:tcPr>
            <w:tcW w:w="4100" w:type="dxa"/>
            <w:vAlign w:val="bottom"/>
          </w:tcPr>
          <w:p>
            <w:pPr>
              <w:spacing w:after="0"/>
              <w:rPr>
                <w:sz w:val="20"/>
                <w:szCs w:val="20"/>
                <w:color w:val="auto"/>
              </w:rPr>
            </w:pPr>
            <w:r>
              <w:rPr>
                <w:rFonts w:ascii="Courier New" w:cs="Courier New" w:eastAsia="Courier New" w:hAnsi="Courier New"/>
                <w:sz w:val="16"/>
                <w:szCs w:val="16"/>
                <w:color w:val="auto"/>
              </w:rPr>
              <w:t>Long-term debt, net of current</w:t>
            </w:r>
          </w:p>
        </w:tc>
        <w:tc>
          <w:tcPr>
            <w:tcW w:w="17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4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maturities..............................</w:t>
            </w:r>
          </w:p>
        </w:tc>
        <w:tc>
          <w:tcPr>
            <w:tcW w:w="17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6,205</w:t>
            </w:r>
          </w:p>
        </w:tc>
        <w:tc>
          <w:tcPr>
            <w:tcW w:w="17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(6,205)</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5"/>
                <w:szCs w:val="15"/>
                <w:color w:val="auto"/>
              </w:rPr>
            </w:pPr>
          </w:p>
        </w:tc>
        <w:tc>
          <w:tcPr>
            <w:tcW w:w="8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r>
      <w:tr>
        <w:trPr>
          <w:trHeight w:val="183"/>
        </w:trPr>
        <w:tc>
          <w:tcPr>
            <w:tcW w:w="41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Common stockholders' equity...............</w:t>
            </w:r>
          </w:p>
        </w:tc>
        <w:tc>
          <w:tcPr>
            <w:tcW w:w="17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142,664</w:t>
            </w:r>
          </w:p>
        </w:tc>
        <w:tc>
          <w:tcPr>
            <w:tcW w:w="17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(60,070)</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(82,594)</w:t>
            </w:r>
          </w:p>
        </w:tc>
        <w:tc>
          <w:tcPr>
            <w:tcW w:w="400" w:type="dxa"/>
            <w:vAlign w:val="bottom"/>
          </w:tcPr>
          <w:p>
            <w:pPr>
              <w:spacing w:after="0"/>
              <w:rPr>
                <w:sz w:val="15"/>
                <w:szCs w:val="15"/>
                <w:color w:val="auto"/>
              </w:rPr>
            </w:pPr>
          </w:p>
        </w:tc>
        <w:tc>
          <w:tcPr>
            <w:tcW w:w="8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r>
      <w:tr>
        <w:trPr>
          <w:trHeight w:val="183"/>
        </w:trPr>
        <w:tc>
          <w:tcPr>
            <w:tcW w:w="4100" w:type="dxa"/>
            <w:vAlign w:val="bottom"/>
          </w:tcPr>
          <w:p>
            <w:pPr>
              <w:spacing w:after="0"/>
              <w:rPr>
                <w:sz w:val="15"/>
                <w:szCs w:val="15"/>
                <w:color w:val="auto"/>
              </w:rPr>
            </w:pPr>
          </w:p>
        </w:tc>
        <w:tc>
          <w:tcPr>
            <w:tcW w:w="172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TOTAL LIABILITIES AND STOCKHOLDERS'</w:t>
            </w:r>
          </w:p>
        </w:tc>
        <w:tc>
          <w:tcPr>
            <w:tcW w:w="17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4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EQUITY............................</w:t>
            </w:r>
          </w:p>
        </w:tc>
        <w:tc>
          <w:tcPr>
            <w:tcW w:w="17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$165,790</w:t>
            </w:r>
          </w:p>
        </w:tc>
        <w:tc>
          <w:tcPr>
            <w:tcW w:w="17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$(74,034)</w:t>
            </w:r>
          </w:p>
        </w:tc>
        <w:tc>
          <w:tcPr>
            <w:tcW w:w="2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(82,594)</w:t>
            </w:r>
          </w:p>
        </w:tc>
        <w:tc>
          <w:tcPr>
            <w:tcW w:w="4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9,162</w:t>
            </w:r>
          </w:p>
        </w:tc>
      </w:tr>
      <w:tr>
        <w:trPr>
          <w:trHeight w:val="183"/>
        </w:trPr>
        <w:tc>
          <w:tcPr>
            <w:tcW w:w="4100" w:type="dxa"/>
            <w:vAlign w:val="bottom"/>
          </w:tcPr>
          <w:p>
            <w:pPr>
              <w:spacing w:after="0"/>
              <w:rPr>
                <w:sz w:val="15"/>
                <w:szCs w:val="15"/>
                <w:color w:val="auto"/>
              </w:rPr>
            </w:pPr>
          </w:p>
        </w:tc>
        <w:tc>
          <w:tcPr>
            <w:tcW w:w="172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100" w:type="dxa"/>
            <w:vAlign w:val="bottom"/>
          </w:tcPr>
          <w:p>
            <w:pPr>
              <w:spacing w:after="0"/>
              <w:rPr>
                <w:sz w:val="15"/>
                <w:szCs w:val="15"/>
                <w:color w:val="auto"/>
              </w:rPr>
            </w:pPr>
          </w:p>
        </w:tc>
        <w:tc>
          <w:tcPr>
            <w:tcW w:w="172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p>
      <w:pPr>
        <w:ind w:left="1420" w:right="3900" w:hanging="379"/>
        <w:spacing w:after="0" w:line="271" w:lineRule="auto"/>
        <w:tabs>
          <w:tab w:leader="none" w:pos="1400" w:val="left"/>
        </w:tabs>
        <w:rPr>
          <w:sz w:val="20"/>
          <w:szCs w:val="20"/>
          <w:color w:val="auto"/>
        </w:rPr>
      </w:pPr>
      <w:r>
        <w:rPr>
          <w:rFonts w:ascii="Courier New" w:cs="Courier New" w:eastAsia="Courier New" w:hAnsi="Courier New"/>
          <w:sz w:val="15"/>
          <w:szCs w:val="15"/>
          <w:color w:val="auto"/>
        </w:rPr>
        <w:t>(1)</w:t>
        <w:tab/>
        <w:t>To reflect the historical cost basis of the assets and liabilities of the Northwest Texas Healthcare System.</w:t>
      </w:r>
    </w:p>
    <w:p>
      <w:pPr>
        <w:spacing w:after="0" w:line="166" w:lineRule="exact"/>
        <w:rPr>
          <w:sz w:val="20"/>
          <w:szCs w:val="20"/>
          <w:color w:val="auto"/>
        </w:rPr>
      </w:pPr>
    </w:p>
    <w:p>
      <w:pPr>
        <w:ind w:left="1420" w:right="3620" w:hanging="379"/>
        <w:spacing w:after="0" w:line="239" w:lineRule="auto"/>
        <w:tabs>
          <w:tab w:leader="none" w:pos="1400" w:val="left"/>
        </w:tabs>
        <w:rPr>
          <w:sz w:val="20"/>
          <w:szCs w:val="20"/>
          <w:color w:val="auto"/>
        </w:rPr>
      </w:pPr>
      <w:r>
        <w:rPr>
          <w:rFonts w:ascii="Courier New" w:cs="Courier New" w:eastAsia="Courier New" w:hAnsi="Courier New"/>
          <w:sz w:val="16"/>
          <w:szCs w:val="16"/>
          <w:color w:val="auto"/>
        </w:rPr>
        <w:t>(2)</w:t>
        <w:tab/>
        <w:t>To eliminate assets and liabilities not being acquired or assumed.</w:t>
      </w:r>
    </w:p>
    <w:p>
      <w:pPr>
        <w:spacing w:after="0" w:line="189" w:lineRule="exact"/>
        <w:rPr>
          <w:sz w:val="20"/>
          <w:szCs w:val="20"/>
          <w:color w:val="auto"/>
        </w:rPr>
      </w:pPr>
    </w:p>
    <w:p>
      <w:pPr>
        <w:ind w:left="1420" w:right="3720" w:hanging="379"/>
        <w:spacing w:after="0" w:line="239" w:lineRule="auto"/>
        <w:tabs>
          <w:tab w:leader="none" w:pos="1400" w:val="left"/>
        </w:tabs>
        <w:rPr>
          <w:sz w:val="20"/>
          <w:szCs w:val="20"/>
          <w:color w:val="auto"/>
        </w:rPr>
      </w:pPr>
      <w:r>
        <w:rPr>
          <w:rFonts w:ascii="Courier New" w:cs="Courier New" w:eastAsia="Courier New" w:hAnsi="Courier New"/>
          <w:sz w:val="16"/>
          <w:szCs w:val="16"/>
          <w:color w:val="auto"/>
        </w:rPr>
        <w:t>(3)</w:t>
        <w:tab/>
        <w:t>To allocate purchase price based on fair value of assets acquired, and liabilities assumed.</w:t>
      </w:r>
    </w:p>
    <w:p>
      <w:pPr>
        <w:spacing w:after="0" w:line="189" w:lineRule="exact"/>
        <w:rPr>
          <w:sz w:val="20"/>
          <w:szCs w:val="20"/>
          <w:color w:val="auto"/>
        </w:rPr>
      </w:pPr>
    </w:p>
    <w:p>
      <w:pPr>
        <w:ind w:left="1420" w:right="3720" w:hanging="379"/>
        <w:spacing w:after="0" w:line="239" w:lineRule="auto"/>
        <w:tabs>
          <w:tab w:leader="none" w:pos="1400" w:val="left"/>
        </w:tabs>
        <w:rPr>
          <w:sz w:val="20"/>
          <w:szCs w:val="20"/>
          <w:color w:val="auto"/>
        </w:rPr>
      </w:pPr>
      <w:r>
        <w:rPr>
          <w:rFonts w:ascii="Courier New" w:cs="Courier New" w:eastAsia="Courier New" w:hAnsi="Courier New"/>
          <w:sz w:val="16"/>
          <w:szCs w:val="16"/>
          <w:color w:val="auto"/>
        </w:rPr>
        <w:t>(4)</w:t>
        <w:tab/>
        <w:t>The allocation of the purchase price excludes contingent consideration.</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480"/>
          </w:cols>
          <w:pgMar w:left="240" w:top="481" w:right="1179" w:bottom="1440" w:gutter="0" w:footer="0" w:header="0"/>
        </w:sectPr>
      </w:pPr>
    </w:p>
    <w:bookmarkStart w:id="20" w:name="page21"/>
    <w:bookmarkEnd w:id="20"/>
    <w:tbl>
      <w:tblPr>
        <w:tblLayout w:type="fixed"/>
        <w:tblInd w:w="2" w:type="dxa"/>
        <w:tblCellMar>
          <w:top w:w="0" w:type="dxa"/>
          <w:left w:w="0" w:type="dxa"/>
          <w:bottom w:w="0" w:type="dxa"/>
          <w:right w:w="0" w:type="dxa"/>
        </w:tblCellMar>
      </w:tblPr>
      <w:tr>
        <w:trPr>
          <w:trHeight w:val="181"/>
        </w:trPr>
        <w:tc>
          <w:tcPr>
            <w:tcW w:w="7680" w:type="dxa"/>
            <w:vAlign w:val="bottom"/>
            <w:gridSpan w:val="5"/>
          </w:tcPr>
          <w:p>
            <w:pPr>
              <w:jc w:val="right"/>
              <w:ind w:right="921"/>
              <w:spacing w:after="0"/>
              <w:rPr>
                <w:sz w:val="20"/>
                <w:szCs w:val="20"/>
                <w:color w:val="auto"/>
              </w:rPr>
            </w:pPr>
            <w:r>
              <w:rPr>
                <w:rFonts w:ascii="Courier New" w:cs="Courier New" w:eastAsia="Courier New" w:hAnsi="Courier New"/>
                <w:sz w:val="16"/>
                <w:szCs w:val="16"/>
                <w:color w:val="auto"/>
              </w:rPr>
              <w:t>UNIVERSAL HEALTH SERVICES, INC. AND SUBSIDIARIES</w:t>
            </w: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3"/>
        </w:trPr>
        <w:tc>
          <w:tcPr>
            <w:tcW w:w="65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NOTES TO MANAGEMENT'S ASSUMPTIONS TO UNAUDITED</w:t>
            </w: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3"/>
        </w:trPr>
        <w:tc>
          <w:tcPr>
            <w:tcW w:w="6300" w:type="dxa"/>
            <w:vAlign w:val="bottom"/>
            <w:gridSpan w:val="3"/>
          </w:tcPr>
          <w:p>
            <w:pPr>
              <w:ind w:left="1240"/>
              <w:spacing w:after="0"/>
              <w:rPr>
                <w:sz w:val="20"/>
                <w:szCs w:val="20"/>
                <w:color w:val="auto"/>
              </w:rPr>
            </w:pPr>
            <w:r>
              <w:rPr>
                <w:rFonts w:ascii="Courier New" w:cs="Courier New" w:eastAsia="Courier New" w:hAnsi="Courier New"/>
                <w:sz w:val="16"/>
                <w:szCs w:val="16"/>
                <w:color w:val="auto"/>
                <w:w w:val="99"/>
              </w:rPr>
              <w:t>PRO FORMA CONDENSED CONSOLIDATED FINANCIAL STATEMENTS</w:t>
            </w:r>
          </w:p>
        </w:tc>
        <w:tc>
          <w:tcPr>
            <w:tcW w:w="1380" w:type="dxa"/>
            <w:vAlign w:val="bottom"/>
            <w:gridSpan w:val="2"/>
          </w:tcPr>
          <w:p>
            <w:pPr>
              <w:jc w:val="center"/>
              <w:ind w:right="61"/>
              <w:spacing w:after="0"/>
              <w:rPr>
                <w:sz w:val="20"/>
                <w:szCs w:val="20"/>
                <w:color w:val="auto"/>
              </w:rPr>
            </w:pPr>
            <w:r>
              <w:rPr>
                <w:rFonts w:ascii="Courier New" w:cs="Courier New" w:eastAsia="Courier New" w:hAnsi="Courier New"/>
                <w:sz w:val="16"/>
                <w:szCs w:val="16"/>
                <w:color w:val="auto"/>
                <w:w w:val="99"/>
              </w:rPr>
              <w:t>--(CONTINUED)</w:t>
            </w: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550"/>
        </w:trPr>
        <w:tc>
          <w:tcPr>
            <w:tcW w:w="4380" w:type="dxa"/>
            <w:vAlign w:val="bottom"/>
          </w:tcPr>
          <w:p>
            <w:pPr>
              <w:spacing w:after="0"/>
              <w:rPr>
                <w:sz w:val="20"/>
                <w:szCs w:val="20"/>
                <w:color w:val="auto"/>
              </w:rPr>
            </w:pPr>
            <w:r>
              <w:rPr>
                <w:rFonts w:ascii="Courier New" w:cs="Courier New" w:eastAsia="Courier New" w:hAnsi="Courier New"/>
                <w:sz w:val="16"/>
                <w:szCs w:val="16"/>
                <w:color w:val="auto"/>
              </w:rPr>
              <w:t>(B) FIRST HOSPITAL PROPERTIES ACQUISITION:</w:t>
            </w:r>
          </w:p>
        </w:tc>
        <w:tc>
          <w:tcPr>
            <w:tcW w:w="1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550"/>
        </w:trPr>
        <w:tc>
          <w:tcPr>
            <w:tcW w:w="4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20" w:type="dxa"/>
            <w:vAlign w:val="bottom"/>
            <w:gridSpan w:val="3"/>
          </w:tcPr>
          <w:p>
            <w:pPr>
              <w:jc w:val="right"/>
              <w:ind w:right="441"/>
              <w:spacing w:after="0"/>
              <w:rPr>
                <w:sz w:val="20"/>
                <w:szCs w:val="20"/>
                <w:color w:val="auto"/>
              </w:rPr>
            </w:pPr>
            <w:r>
              <w:rPr>
                <w:rFonts w:ascii="Courier New" w:cs="Courier New" w:eastAsia="Courier New" w:hAnsi="Courier New"/>
                <w:sz w:val="16"/>
                <w:szCs w:val="16"/>
                <w:color w:val="auto"/>
                <w:w w:val="98"/>
              </w:rPr>
              <w:t>PRO FORMA ADJUSTMENTS</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83"/>
        </w:trPr>
        <w:tc>
          <w:tcPr>
            <w:tcW w:w="43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314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3"/>
        </w:trPr>
        <w:tc>
          <w:tcPr>
            <w:tcW w:w="4380" w:type="dxa"/>
            <w:vAlign w:val="bottom"/>
          </w:tcPr>
          <w:p>
            <w:pPr>
              <w:spacing w:after="0"/>
              <w:rPr>
                <w:sz w:val="15"/>
                <w:szCs w:val="15"/>
                <w:color w:val="auto"/>
              </w:rPr>
            </w:pPr>
          </w:p>
        </w:tc>
        <w:tc>
          <w:tcPr>
            <w:tcW w:w="15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FIRST</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FIRST</w:t>
            </w:r>
          </w:p>
        </w:tc>
      </w:tr>
      <w:tr>
        <w:trPr>
          <w:trHeight w:val="183"/>
        </w:trPr>
        <w:tc>
          <w:tcPr>
            <w:tcW w:w="4380" w:type="dxa"/>
            <w:vAlign w:val="bottom"/>
          </w:tcPr>
          <w:p>
            <w:pPr>
              <w:spacing w:after="0"/>
              <w:rPr>
                <w:sz w:val="15"/>
                <w:szCs w:val="15"/>
                <w:color w:val="auto"/>
              </w:rPr>
            </w:pPr>
          </w:p>
        </w:tc>
        <w:tc>
          <w:tcPr>
            <w:tcW w:w="15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HOSPITAL</w:t>
            </w:r>
          </w:p>
        </w:tc>
        <w:tc>
          <w:tcPr>
            <w:tcW w:w="340" w:type="dxa"/>
            <w:vAlign w:val="bottom"/>
          </w:tcPr>
          <w:p>
            <w:pPr>
              <w:spacing w:after="0"/>
              <w:rPr>
                <w:sz w:val="15"/>
                <w:szCs w:val="15"/>
                <w:color w:val="auto"/>
              </w:rPr>
            </w:pPr>
          </w:p>
        </w:tc>
        <w:tc>
          <w:tcPr>
            <w:tcW w:w="138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ASSETS AND</w:t>
            </w:r>
          </w:p>
        </w:tc>
        <w:tc>
          <w:tcPr>
            <w:tcW w:w="240" w:type="dxa"/>
            <w:vAlign w:val="bottom"/>
          </w:tcPr>
          <w:p>
            <w:pPr>
              <w:spacing w:after="0"/>
              <w:rPr>
                <w:sz w:val="15"/>
                <w:szCs w:val="15"/>
                <w:color w:val="auto"/>
              </w:rPr>
            </w:pPr>
          </w:p>
        </w:tc>
        <w:tc>
          <w:tcPr>
            <w:tcW w:w="1180" w:type="dxa"/>
            <w:vAlign w:val="bottom"/>
          </w:tcPr>
          <w:p>
            <w:pPr>
              <w:ind w:left="80"/>
              <w:spacing w:after="0"/>
              <w:rPr>
                <w:sz w:val="20"/>
                <w:szCs w:val="20"/>
                <w:color w:val="auto"/>
              </w:rPr>
            </w:pPr>
            <w:r>
              <w:rPr>
                <w:rFonts w:ascii="Courier New" w:cs="Courier New" w:eastAsia="Courier New" w:hAnsi="Courier New"/>
                <w:sz w:val="16"/>
                <w:szCs w:val="16"/>
                <w:color w:val="auto"/>
              </w:rPr>
              <w:t>ALLOCATION</w:t>
            </w:r>
          </w:p>
        </w:tc>
        <w:tc>
          <w:tcPr>
            <w:tcW w:w="240" w:type="dxa"/>
            <w:vAlign w:val="bottom"/>
          </w:tcPr>
          <w:p>
            <w:pPr>
              <w:spacing w:after="0"/>
              <w:rPr>
                <w:sz w:val="15"/>
                <w:szCs w:val="15"/>
                <w:color w:val="auto"/>
              </w:rPr>
            </w:pPr>
          </w:p>
        </w:tc>
        <w:tc>
          <w:tcPr>
            <w:tcW w:w="11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HOSPITAL</w:t>
            </w:r>
          </w:p>
        </w:tc>
      </w:tr>
      <w:tr>
        <w:trPr>
          <w:trHeight w:val="183"/>
        </w:trPr>
        <w:tc>
          <w:tcPr>
            <w:tcW w:w="4380" w:type="dxa"/>
            <w:vAlign w:val="bottom"/>
          </w:tcPr>
          <w:p>
            <w:pPr>
              <w:spacing w:after="0"/>
              <w:rPr>
                <w:sz w:val="15"/>
                <w:szCs w:val="15"/>
                <w:color w:val="auto"/>
              </w:rPr>
            </w:pPr>
          </w:p>
        </w:tc>
        <w:tc>
          <w:tcPr>
            <w:tcW w:w="15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PROPERTIES</w:t>
            </w:r>
          </w:p>
        </w:tc>
        <w:tc>
          <w:tcPr>
            <w:tcW w:w="340" w:type="dxa"/>
            <w:vAlign w:val="bottom"/>
          </w:tcPr>
          <w:p>
            <w:pPr>
              <w:spacing w:after="0"/>
              <w:rPr>
                <w:sz w:val="15"/>
                <w:szCs w:val="15"/>
                <w:color w:val="auto"/>
              </w:rPr>
            </w:pPr>
          </w:p>
        </w:tc>
        <w:tc>
          <w:tcPr>
            <w:tcW w:w="1380" w:type="dxa"/>
            <w:vAlign w:val="bottom"/>
            <w:gridSpan w:val="2"/>
          </w:tcPr>
          <w:p>
            <w:pPr>
              <w:jc w:val="center"/>
              <w:ind w:right="81"/>
              <w:spacing w:after="0"/>
              <w:rPr>
                <w:sz w:val="20"/>
                <w:szCs w:val="20"/>
                <w:color w:val="auto"/>
              </w:rPr>
            </w:pPr>
            <w:r>
              <w:rPr>
                <w:rFonts w:ascii="Courier New" w:cs="Courier New" w:eastAsia="Courier New" w:hAnsi="Courier New"/>
                <w:sz w:val="16"/>
                <w:szCs w:val="16"/>
                <w:color w:val="auto"/>
              </w:rPr>
              <w:t>LIABILITIES</w:t>
            </w:r>
          </w:p>
        </w:tc>
        <w:tc>
          <w:tcPr>
            <w:tcW w:w="240" w:type="dxa"/>
            <w:vAlign w:val="bottom"/>
          </w:tcPr>
          <w:p>
            <w:pPr>
              <w:spacing w:after="0"/>
              <w:rPr>
                <w:sz w:val="15"/>
                <w:szCs w:val="15"/>
                <w:color w:val="auto"/>
              </w:rPr>
            </w:pPr>
          </w:p>
        </w:tc>
        <w:tc>
          <w:tcPr>
            <w:tcW w:w="1180" w:type="dxa"/>
            <w:vAlign w:val="bottom"/>
          </w:tcPr>
          <w:p>
            <w:pPr>
              <w:ind w:left="80"/>
              <w:spacing w:after="0"/>
              <w:rPr>
                <w:sz w:val="20"/>
                <w:szCs w:val="20"/>
                <w:color w:val="auto"/>
              </w:rPr>
            </w:pPr>
            <w:r>
              <w:rPr>
                <w:rFonts w:ascii="Courier New" w:cs="Courier New" w:eastAsia="Courier New" w:hAnsi="Courier New"/>
                <w:sz w:val="16"/>
                <w:szCs w:val="16"/>
                <w:color w:val="auto"/>
              </w:rPr>
              <w:t>OF PURCHASE</w:t>
            </w:r>
          </w:p>
        </w:tc>
        <w:tc>
          <w:tcPr>
            <w:tcW w:w="240" w:type="dxa"/>
            <w:vAlign w:val="bottom"/>
          </w:tcPr>
          <w:p>
            <w:pPr>
              <w:spacing w:after="0"/>
              <w:rPr>
                <w:sz w:val="15"/>
                <w:szCs w:val="15"/>
                <w:color w:val="auto"/>
              </w:rPr>
            </w:pPr>
          </w:p>
        </w:tc>
        <w:tc>
          <w:tcPr>
            <w:tcW w:w="11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PROPERTIES</w:t>
            </w:r>
          </w:p>
        </w:tc>
      </w:tr>
      <w:tr>
        <w:trPr>
          <w:trHeight w:val="183"/>
        </w:trPr>
        <w:tc>
          <w:tcPr>
            <w:tcW w:w="438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Courier New" w:cs="Courier New" w:eastAsia="Courier New" w:hAnsi="Courier New"/>
                <w:sz w:val="16"/>
                <w:szCs w:val="16"/>
                <w:color w:val="auto"/>
                <w:w w:val="99"/>
              </w:rPr>
              <w:t>HISTORICAL(1)</w:t>
            </w:r>
          </w:p>
        </w:tc>
        <w:tc>
          <w:tcPr>
            <w:tcW w:w="1720" w:type="dxa"/>
            <w:vAlign w:val="bottom"/>
            <w:gridSpan w:val="3"/>
          </w:tcPr>
          <w:p>
            <w:pPr>
              <w:jc w:val="center"/>
              <w:ind w:left="101"/>
              <w:spacing w:after="0"/>
              <w:rPr>
                <w:sz w:val="20"/>
                <w:szCs w:val="20"/>
                <w:color w:val="auto"/>
              </w:rPr>
            </w:pPr>
            <w:r>
              <w:rPr>
                <w:rFonts w:ascii="Courier New" w:cs="Courier New" w:eastAsia="Courier New" w:hAnsi="Courier New"/>
                <w:sz w:val="16"/>
                <w:szCs w:val="16"/>
                <w:color w:val="auto"/>
                <w:w w:val="98"/>
              </w:rPr>
              <w:t>NOT ACQUIRED(2)</w:t>
            </w: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PRICE(3)(4)</w:t>
            </w:r>
          </w:p>
        </w:tc>
        <w:tc>
          <w:tcPr>
            <w:tcW w:w="24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ACQUISITION</w:t>
            </w:r>
          </w:p>
        </w:tc>
      </w:tr>
      <w:tr>
        <w:trPr>
          <w:trHeight w:val="183"/>
        </w:trPr>
        <w:tc>
          <w:tcPr>
            <w:tcW w:w="438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Courier New" w:cs="Courier New" w:eastAsia="Courier New" w:hAnsi="Courier New"/>
                <w:sz w:val="16"/>
                <w:szCs w:val="16"/>
                <w:color w:val="auto"/>
                <w:w w:val="99"/>
              </w:rPr>
              <w:t>-------------</w:t>
            </w:r>
          </w:p>
        </w:tc>
        <w:tc>
          <w:tcPr>
            <w:tcW w:w="1720" w:type="dxa"/>
            <w:vAlign w:val="bottom"/>
            <w:gridSpan w:val="3"/>
          </w:tcPr>
          <w:p>
            <w:pPr>
              <w:jc w:val="center"/>
              <w:ind w:left="101"/>
              <w:spacing w:after="0"/>
              <w:rPr>
                <w:sz w:val="20"/>
                <w:szCs w:val="20"/>
                <w:color w:val="auto"/>
              </w:rPr>
            </w:pPr>
            <w:r>
              <w:rPr>
                <w:rFonts w:ascii="Courier New" w:cs="Courier New" w:eastAsia="Courier New" w:hAnsi="Courier New"/>
                <w:sz w:val="16"/>
                <w:szCs w:val="16"/>
                <w:color w:val="auto"/>
                <w:w w:val="98"/>
              </w:rPr>
              <w:t>---------------</w:t>
            </w: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4380" w:type="dxa"/>
            <w:vAlign w:val="bottom"/>
          </w:tcPr>
          <w:p>
            <w:pPr>
              <w:jc w:val="right"/>
              <w:ind w:right="3441"/>
              <w:spacing w:after="0"/>
              <w:rPr>
                <w:sz w:val="20"/>
                <w:szCs w:val="20"/>
                <w:color w:val="auto"/>
              </w:rPr>
            </w:pPr>
            <w:r>
              <w:rPr>
                <w:rFonts w:ascii="Courier New" w:cs="Courier New" w:eastAsia="Courier New" w:hAnsi="Courier New"/>
                <w:sz w:val="16"/>
                <w:szCs w:val="16"/>
                <w:color w:val="auto"/>
              </w:rPr>
              <w:t>ASSETS</w:t>
            </w:r>
          </w:p>
        </w:tc>
        <w:tc>
          <w:tcPr>
            <w:tcW w:w="1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83"/>
        </w:trPr>
        <w:tc>
          <w:tcPr>
            <w:tcW w:w="438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1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3"/>
        </w:trPr>
        <w:tc>
          <w:tcPr>
            <w:tcW w:w="4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Cash and cash equivalents..................</w:t>
            </w:r>
          </w:p>
        </w:tc>
        <w:tc>
          <w:tcPr>
            <w:tcW w:w="1580" w:type="dxa"/>
            <w:vAlign w:val="bottom"/>
          </w:tcPr>
          <w:p>
            <w:pPr>
              <w:jc w:val="center"/>
              <w:spacing w:after="0"/>
              <w:rPr>
                <w:sz w:val="20"/>
                <w:szCs w:val="20"/>
                <w:color w:val="auto"/>
              </w:rPr>
            </w:pPr>
            <w:r>
              <w:rPr>
                <w:rFonts w:ascii="Courier New" w:cs="Courier New" w:eastAsia="Courier New" w:hAnsi="Courier New"/>
                <w:sz w:val="16"/>
                <w:szCs w:val="16"/>
                <w:color w:val="auto"/>
                <w:w w:val="98"/>
              </w:rPr>
              <w:t>$   522</w:t>
            </w:r>
          </w:p>
        </w:tc>
        <w:tc>
          <w:tcPr>
            <w:tcW w:w="3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(522)</w:t>
            </w: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 (43,500)</w:t>
            </w:r>
          </w:p>
        </w:tc>
        <w:tc>
          <w:tcPr>
            <w:tcW w:w="24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(43,500)</w:t>
            </w:r>
          </w:p>
        </w:tc>
      </w:tr>
      <w:tr>
        <w:trPr>
          <w:trHeight w:val="183"/>
        </w:trPr>
        <w:tc>
          <w:tcPr>
            <w:tcW w:w="4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Accounts receivable, net...................</w:t>
            </w:r>
          </w:p>
        </w:tc>
        <w:tc>
          <w:tcPr>
            <w:tcW w:w="15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10,435</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(3,336)</w:t>
            </w:r>
          </w:p>
        </w:tc>
        <w:tc>
          <w:tcPr>
            <w:tcW w:w="240" w:type="dxa"/>
            <w:vAlign w:val="bottom"/>
          </w:tcPr>
          <w:p>
            <w:pPr>
              <w:spacing w:after="0"/>
              <w:rPr>
                <w:sz w:val="15"/>
                <w:szCs w:val="15"/>
                <w:color w:val="auto"/>
              </w:rPr>
            </w:pPr>
          </w:p>
        </w:tc>
        <w:tc>
          <w:tcPr>
            <w:tcW w:w="11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7,099</w:t>
            </w:r>
          </w:p>
        </w:tc>
      </w:tr>
      <w:tr>
        <w:trPr>
          <w:trHeight w:val="183"/>
        </w:trPr>
        <w:tc>
          <w:tcPr>
            <w:tcW w:w="4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Other current assets.......................</w:t>
            </w:r>
          </w:p>
        </w:tc>
        <w:tc>
          <w:tcPr>
            <w:tcW w:w="15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8,245</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(7,485)</w:t>
            </w:r>
          </w:p>
        </w:tc>
        <w:tc>
          <w:tcPr>
            <w:tcW w:w="240" w:type="dxa"/>
            <w:vAlign w:val="bottom"/>
          </w:tcPr>
          <w:p>
            <w:pPr>
              <w:spacing w:after="0"/>
              <w:rPr>
                <w:sz w:val="15"/>
                <w:szCs w:val="15"/>
                <w:color w:val="auto"/>
              </w:rPr>
            </w:pPr>
          </w:p>
        </w:tc>
        <w:tc>
          <w:tcPr>
            <w:tcW w:w="11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760</w:t>
            </w:r>
          </w:p>
        </w:tc>
      </w:tr>
      <w:tr>
        <w:trPr>
          <w:trHeight w:val="183"/>
        </w:trPr>
        <w:tc>
          <w:tcPr>
            <w:tcW w:w="438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Courier New" w:cs="Courier New" w:eastAsia="Courier New" w:hAnsi="Courier New"/>
                <w:sz w:val="16"/>
                <w:szCs w:val="16"/>
                <w:color w:val="auto"/>
                <w:w w:val="99"/>
              </w:rPr>
              <w:t>-------------</w:t>
            </w:r>
          </w:p>
        </w:tc>
        <w:tc>
          <w:tcPr>
            <w:tcW w:w="1720" w:type="dxa"/>
            <w:vAlign w:val="bottom"/>
            <w:gridSpan w:val="3"/>
          </w:tcPr>
          <w:p>
            <w:pPr>
              <w:jc w:val="center"/>
              <w:ind w:left="101"/>
              <w:spacing w:after="0"/>
              <w:rPr>
                <w:sz w:val="20"/>
                <w:szCs w:val="20"/>
                <w:color w:val="auto"/>
              </w:rPr>
            </w:pPr>
            <w:r>
              <w:rPr>
                <w:rFonts w:ascii="Courier New" w:cs="Courier New" w:eastAsia="Courier New" w:hAnsi="Courier New"/>
                <w:sz w:val="16"/>
                <w:szCs w:val="16"/>
                <w:color w:val="auto"/>
                <w:w w:val="98"/>
              </w:rPr>
              <w:t>---------------</w:t>
            </w: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TOTAL CURRENT ASSETS...................</w:t>
            </w:r>
          </w:p>
        </w:tc>
        <w:tc>
          <w:tcPr>
            <w:tcW w:w="15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19,202</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(11,343)</w:t>
            </w: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(43,500)</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(35,641)</w:t>
            </w:r>
          </w:p>
        </w:tc>
      </w:tr>
      <w:tr>
        <w:trPr>
          <w:trHeight w:val="183"/>
        </w:trPr>
        <w:tc>
          <w:tcPr>
            <w:tcW w:w="438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Courier New" w:cs="Courier New" w:eastAsia="Courier New" w:hAnsi="Courier New"/>
                <w:sz w:val="16"/>
                <w:szCs w:val="16"/>
                <w:color w:val="auto"/>
                <w:w w:val="99"/>
              </w:rPr>
              <w:t>-------------</w:t>
            </w:r>
          </w:p>
        </w:tc>
        <w:tc>
          <w:tcPr>
            <w:tcW w:w="1720" w:type="dxa"/>
            <w:vAlign w:val="bottom"/>
            <w:gridSpan w:val="3"/>
          </w:tcPr>
          <w:p>
            <w:pPr>
              <w:jc w:val="center"/>
              <w:ind w:left="101"/>
              <w:spacing w:after="0"/>
              <w:rPr>
                <w:sz w:val="20"/>
                <w:szCs w:val="20"/>
                <w:color w:val="auto"/>
              </w:rPr>
            </w:pPr>
            <w:r>
              <w:rPr>
                <w:rFonts w:ascii="Courier New" w:cs="Courier New" w:eastAsia="Courier New" w:hAnsi="Courier New"/>
                <w:sz w:val="16"/>
                <w:szCs w:val="16"/>
                <w:color w:val="auto"/>
                <w:w w:val="98"/>
              </w:rPr>
              <w:t>---------------</w:t>
            </w: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3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Property and equipment, net..................</w:t>
            </w:r>
          </w:p>
        </w:tc>
        <w:tc>
          <w:tcPr>
            <w:tcW w:w="15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20,234</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jc w:val="right"/>
              <w:ind w:right="74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11,766</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32,000</w:t>
            </w:r>
          </w:p>
        </w:tc>
      </w:tr>
      <w:tr>
        <w:trPr>
          <w:trHeight w:val="183"/>
        </w:trPr>
        <w:tc>
          <w:tcPr>
            <w:tcW w:w="438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1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3"/>
        </w:trPr>
        <w:tc>
          <w:tcPr>
            <w:tcW w:w="43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Excess of cost over fair value of net</w:t>
            </w:r>
          </w:p>
        </w:tc>
        <w:tc>
          <w:tcPr>
            <w:tcW w:w="1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3"/>
        </w:trPr>
        <w:tc>
          <w:tcPr>
            <w:tcW w:w="4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tangible assets acquired.................</w:t>
            </w:r>
          </w:p>
        </w:tc>
        <w:tc>
          <w:tcPr>
            <w:tcW w:w="1580" w:type="dxa"/>
            <w:vAlign w:val="bottom"/>
          </w:tcPr>
          <w:p>
            <w:pPr>
              <w:jc w:val="right"/>
              <w:ind w:right="741"/>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jc w:val="right"/>
              <w:ind w:right="74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1,500</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1,500</w:t>
            </w:r>
          </w:p>
        </w:tc>
      </w:tr>
      <w:tr>
        <w:trPr>
          <w:trHeight w:val="183"/>
        </w:trPr>
        <w:tc>
          <w:tcPr>
            <w:tcW w:w="4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Deferred charges and other.................</w:t>
            </w:r>
          </w:p>
        </w:tc>
        <w:tc>
          <w:tcPr>
            <w:tcW w:w="15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9,933</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(9,933)</w:t>
            </w:r>
          </w:p>
        </w:tc>
        <w:tc>
          <w:tcPr>
            <w:tcW w:w="240" w:type="dxa"/>
            <w:vAlign w:val="bottom"/>
          </w:tcPr>
          <w:p>
            <w:pPr>
              <w:spacing w:after="0"/>
              <w:rPr>
                <w:sz w:val="15"/>
                <w:szCs w:val="15"/>
                <w:color w:val="auto"/>
              </w:rPr>
            </w:pP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7,000</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7,000</w:t>
            </w:r>
          </w:p>
        </w:tc>
      </w:tr>
      <w:tr>
        <w:trPr>
          <w:trHeight w:val="183"/>
        </w:trPr>
        <w:tc>
          <w:tcPr>
            <w:tcW w:w="438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Courier New" w:cs="Courier New" w:eastAsia="Courier New" w:hAnsi="Courier New"/>
                <w:sz w:val="16"/>
                <w:szCs w:val="16"/>
                <w:color w:val="auto"/>
                <w:w w:val="99"/>
              </w:rPr>
              <w:t>-------------</w:t>
            </w:r>
          </w:p>
        </w:tc>
        <w:tc>
          <w:tcPr>
            <w:tcW w:w="1720" w:type="dxa"/>
            <w:vAlign w:val="bottom"/>
            <w:gridSpan w:val="3"/>
          </w:tcPr>
          <w:p>
            <w:pPr>
              <w:jc w:val="center"/>
              <w:ind w:left="101"/>
              <w:spacing w:after="0"/>
              <w:rPr>
                <w:sz w:val="20"/>
                <w:szCs w:val="20"/>
                <w:color w:val="auto"/>
              </w:rPr>
            </w:pPr>
            <w:r>
              <w:rPr>
                <w:rFonts w:ascii="Courier New" w:cs="Courier New" w:eastAsia="Courier New" w:hAnsi="Courier New"/>
                <w:sz w:val="16"/>
                <w:szCs w:val="16"/>
                <w:color w:val="auto"/>
                <w:w w:val="98"/>
              </w:rPr>
              <w:t>---------------</w:t>
            </w: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TOTAL ASSETS...........................</w:t>
            </w:r>
          </w:p>
        </w:tc>
        <w:tc>
          <w:tcPr>
            <w:tcW w:w="1580" w:type="dxa"/>
            <w:vAlign w:val="bottom"/>
          </w:tcPr>
          <w:p>
            <w:pPr>
              <w:jc w:val="center"/>
              <w:spacing w:after="0"/>
              <w:rPr>
                <w:sz w:val="20"/>
                <w:szCs w:val="20"/>
                <w:color w:val="auto"/>
              </w:rPr>
            </w:pPr>
            <w:r>
              <w:rPr>
                <w:rFonts w:ascii="Courier New" w:cs="Courier New" w:eastAsia="Courier New" w:hAnsi="Courier New"/>
                <w:sz w:val="16"/>
                <w:szCs w:val="16"/>
                <w:color w:val="auto"/>
                <w:w w:val="98"/>
              </w:rPr>
              <w:t>$49,369</w:t>
            </w:r>
          </w:p>
        </w:tc>
        <w:tc>
          <w:tcPr>
            <w:tcW w:w="340" w:type="dxa"/>
            <w:vAlign w:val="bottom"/>
          </w:tcPr>
          <w:p>
            <w:pPr>
              <w:spacing w:after="0"/>
              <w:rPr>
                <w:sz w:val="15"/>
                <w:szCs w:val="15"/>
                <w:color w:val="auto"/>
              </w:rPr>
            </w:pPr>
          </w:p>
        </w:tc>
        <w:tc>
          <w:tcPr>
            <w:tcW w:w="13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 (21,276)</w:t>
            </w: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 (23,234)</w:t>
            </w:r>
          </w:p>
        </w:tc>
        <w:tc>
          <w:tcPr>
            <w:tcW w:w="2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4,859</w:t>
            </w:r>
          </w:p>
        </w:tc>
      </w:tr>
      <w:tr>
        <w:trPr>
          <w:trHeight w:val="183"/>
        </w:trPr>
        <w:tc>
          <w:tcPr>
            <w:tcW w:w="438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Courier New" w:cs="Courier New" w:eastAsia="Courier New" w:hAnsi="Courier New"/>
                <w:sz w:val="16"/>
                <w:szCs w:val="16"/>
                <w:color w:val="auto"/>
                <w:w w:val="99"/>
              </w:rPr>
              <w:t>-------------</w:t>
            </w:r>
          </w:p>
        </w:tc>
        <w:tc>
          <w:tcPr>
            <w:tcW w:w="1720" w:type="dxa"/>
            <w:vAlign w:val="bottom"/>
            <w:gridSpan w:val="3"/>
          </w:tcPr>
          <w:p>
            <w:pPr>
              <w:jc w:val="center"/>
              <w:ind w:left="101"/>
              <w:spacing w:after="0"/>
              <w:rPr>
                <w:sz w:val="20"/>
                <w:szCs w:val="20"/>
                <w:color w:val="auto"/>
              </w:rPr>
            </w:pPr>
            <w:r>
              <w:rPr>
                <w:rFonts w:ascii="Courier New" w:cs="Courier New" w:eastAsia="Courier New" w:hAnsi="Courier New"/>
                <w:sz w:val="16"/>
                <w:szCs w:val="16"/>
                <w:color w:val="auto"/>
                <w:w w:val="98"/>
              </w:rPr>
              <w:t>---------------</w:t>
            </w: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38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Courier New" w:cs="Courier New" w:eastAsia="Courier New" w:hAnsi="Courier New"/>
                <w:sz w:val="16"/>
                <w:szCs w:val="16"/>
                <w:color w:val="auto"/>
                <w:w w:val="99"/>
              </w:rPr>
              <w:t>-------------</w:t>
            </w:r>
          </w:p>
        </w:tc>
        <w:tc>
          <w:tcPr>
            <w:tcW w:w="1720" w:type="dxa"/>
            <w:vAlign w:val="bottom"/>
            <w:gridSpan w:val="3"/>
          </w:tcPr>
          <w:p>
            <w:pPr>
              <w:jc w:val="center"/>
              <w:ind w:left="101"/>
              <w:spacing w:after="0"/>
              <w:rPr>
                <w:sz w:val="20"/>
                <w:szCs w:val="20"/>
                <w:color w:val="auto"/>
              </w:rPr>
            </w:pPr>
            <w:r>
              <w:rPr>
                <w:rFonts w:ascii="Courier New" w:cs="Courier New" w:eastAsia="Courier New" w:hAnsi="Courier New"/>
                <w:sz w:val="16"/>
                <w:szCs w:val="16"/>
                <w:color w:val="auto"/>
                <w:w w:val="98"/>
              </w:rPr>
              <w:t>---------------</w:t>
            </w: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380" w:type="dxa"/>
            <w:vAlign w:val="bottom"/>
          </w:tcPr>
          <w:p>
            <w:pPr>
              <w:ind w:left="380"/>
              <w:spacing w:after="0"/>
              <w:rPr>
                <w:sz w:val="20"/>
                <w:szCs w:val="20"/>
                <w:color w:val="auto"/>
              </w:rPr>
            </w:pPr>
            <w:r>
              <w:rPr>
                <w:rFonts w:ascii="Courier New" w:cs="Courier New" w:eastAsia="Courier New" w:hAnsi="Courier New"/>
                <w:sz w:val="16"/>
                <w:szCs w:val="16"/>
                <w:color w:val="auto"/>
              </w:rPr>
              <w:t>LIABILITIES AND STOCKHOLDERS' EQUITY</w:t>
            </w:r>
          </w:p>
        </w:tc>
        <w:tc>
          <w:tcPr>
            <w:tcW w:w="1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3"/>
        </w:trPr>
        <w:tc>
          <w:tcPr>
            <w:tcW w:w="4380" w:type="dxa"/>
            <w:vAlign w:val="bottom"/>
          </w:tcPr>
          <w:p>
            <w:pPr>
              <w:ind w:left="380"/>
              <w:spacing w:after="0"/>
              <w:rPr>
                <w:sz w:val="20"/>
                <w:szCs w:val="20"/>
                <w:color w:val="auto"/>
              </w:rPr>
            </w:pPr>
            <w:r>
              <w:rPr>
                <w:rFonts w:ascii="Courier New" w:cs="Courier New" w:eastAsia="Courier New" w:hAnsi="Courier New"/>
                <w:sz w:val="16"/>
                <w:szCs w:val="16"/>
                <w:color w:val="auto"/>
              </w:rPr>
              <w:t>CURRENT LIABILITIES:</w:t>
            </w:r>
          </w:p>
        </w:tc>
        <w:tc>
          <w:tcPr>
            <w:tcW w:w="1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3"/>
        </w:trPr>
        <w:tc>
          <w:tcPr>
            <w:tcW w:w="43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Current maturities of debt.............</w:t>
            </w:r>
          </w:p>
        </w:tc>
        <w:tc>
          <w:tcPr>
            <w:tcW w:w="1580" w:type="dxa"/>
            <w:vAlign w:val="bottom"/>
          </w:tcPr>
          <w:p>
            <w:pPr>
              <w:jc w:val="right"/>
              <w:ind w:right="741"/>
              <w:spacing w:after="0"/>
              <w:rPr>
                <w:sz w:val="20"/>
                <w:szCs w:val="20"/>
                <w:color w:val="auto"/>
              </w:rPr>
            </w:pPr>
            <w:r>
              <w:rPr>
                <w:rFonts w:ascii="Courier New" w:cs="Courier New" w:eastAsia="Courier New" w:hAnsi="Courier New"/>
                <w:sz w:val="16"/>
                <w:szCs w:val="16"/>
                <w:color w:val="auto"/>
              </w:rPr>
              <w:t>$ 2,486</w:t>
            </w:r>
          </w:p>
        </w:tc>
        <w:tc>
          <w:tcPr>
            <w:tcW w:w="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(2,486)</w:t>
            </w:r>
          </w:p>
        </w:tc>
        <w:tc>
          <w:tcPr>
            <w:tcW w:w="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spacing w:after="0"/>
              <w:rPr>
                <w:sz w:val="15"/>
                <w:szCs w:val="15"/>
                <w:color w:val="auto"/>
              </w:rPr>
            </w:pPr>
          </w:p>
        </w:tc>
      </w:tr>
      <w:tr>
        <w:trPr>
          <w:trHeight w:val="183"/>
        </w:trPr>
        <w:tc>
          <w:tcPr>
            <w:tcW w:w="4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Accounts payable and accrued expenses......</w:t>
            </w:r>
          </w:p>
        </w:tc>
        <w:tc>
          <w:tcPr>
            <w:tcW w:w="15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7,636</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(2,777)</w:t>
            </w:r>
          </w:p>
        </w:tc>
        <w:tc>
          <w:tcPr>
            <w:tcW w:w="240" w:type="dxa"/>
            <w:vAlign w:val="bottom"/>
          </w:tcPr>
          <w:p>
            <w:pPr>
              <w:spacing w:after="0"/>
              <w:rPr>
                <w:sz w:val="15"/>
                <w:szCs w:val="15"/>
                <w:color w:val="auto"/>
              </w:rPr>
            </w:pPr>
          </w:p>
        </w:tc>
        <w:tc>
          <w:tcPr>
            <w:tcW w:w="11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4,859</w:t>
            </w:r>
          </w:p>
        </w:tc>
      </w:tr>
      <w:tr>
        <w:trPr>
          <w:trHeight w:val="183"/>
        </w:trPr>
        <w:tc>
          <w:tcPr>
            <w:tcW w:w="438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Courier New" w:cs="Courier New" w:eastAsia="Courier New" w:hAnsi="Courier New"/>
                <w:sz w:val="16"/>
                <w:szCs w:val="16"/>
                <w:color w:val="auto"/>
                <w:w w:val="99"/>
              </w:rPr>
              <w:t>-------------</w:t>
            </w:r>
          </w:p>
        </w:tc>
        <w:tc>
          <w:tcPr>
            <w:tcW w:w="1720" w:type="dxa"/>
            <w:vAlign w:val="bottom"/>
            <w:gridSpan w:val="3"/>
          </w:tcPr>
          <w:p>
            <w:pPr>
              <w:jc w:val="center"/>
              <w:ind w:left="101"/>
              <w:spacing w:after="0"/>
              <w:rPr>
                <w:sz w:val="20"/>
                <w:szCs w:val="20"/>
                <w:color w:val="auto"/>
              </w:rPr>
            </w:pPr>
            <w:r>
              <w:rPr>
                <w:rFonts w:ascii="Courier New" w:cs="Courier New" w:eastAsia="Courier New" w:hAnsi="Courier New"/>
                <w:sz w:val="16"/>
                <w:szCs w:val="16"/>
                <w:color w:val="auto"/>
                <w:w w:val="98"/>
              </w:rPr>
              <w:t>---------------</w:t>
            </w: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TOTAL CURRENT LIABILITIES..............</w:t>
            </w:r>
          </w:p>
        </w:tc>
        <w:tc>
          <w:tcPr>
            <w:tcW w:w="15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10,122</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(5,263)</w:t>
            </w:r>
          </w:p>
        </w:tc>
        <w:tc>
          <w:tcPr>
            <w:tcW w:w="240" w:type="dxa"/>
            <w:vAlign w:val="bottom"/>
          </w:tcPr>
          <w:p>
            <w:pPr>
              <w:spacing w:after="0"/>
              <w:rPr>
                <w:sz w:val="15"/>
                <w:szCs w:val="15"/>
                <w:color w:val="auto"/>
              </w:rPr>
            </w:pPr>
          </w:p>
        </w:tc>
        <w:tc>
          <w:tcPr>
            <w:tcW w:w="11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4,859</w:t>
            </w:r>
          </w:p>
        </w:tc>
      </w:tr>
      <w:tr>
        <w:trPr>
          <w:trHeight w:val="183"/>
        </w:trPr>
        <w:tc>
          <w:tcPr>
            <w:tcW w:w="43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Other non-current liabilities................</w:t>
            </w:r>
          </w:p>
        </w:tc>
        <w:tc>
          <w:tcPr>
            <w:tcW w:w="1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3"/>
        </w:trPr>
        <w:tc>
          <w:tcPr>
            <w:tcW w:w="43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Long-term debt, net of current maturities....</w:t>
            </w:r>
          </w:p>
        </w:tc>
        <w:tc>
          <w:tcPr>
            <w:tcW w:w="15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15,434</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(15,434)</w:t>
            </w:r>
          </w:p>
        </w:tc>
        <w:tc>
          <w:tcPr>
            <w:tcW w:w="240" w:type="dxa"/>
            <w:vAlign w:val="bottom"/>
          </w:tcPr>
          <w:p>
            <w:pPr>
              <w:spacing w:after="0"/>
              <w:rPr>
                <w:sz w:val="15"/>
                <w:szCs w:val="15"/>
                <w:color w:val="auto"/>
              </w:rPr>
            </w:pPr>
          </w:p>
        </w:tc>
        <w:tc>
          <w:tcPr>
            <w:tcW w:w="11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jc w:val="center"/>
              <w:ind w:right="241"/>
              <w:spacing w:after="0"/>
              <w:rPr>
                <w:sz w:val="20"/>
                <w:szCs w:val="20"/>
                <w:color w:val="auto"/>
              </w:rPr>
            </w:pPr>
            <w:r>
              <w:rPr>
                <w:rFonts w:ascii="Courier New" w:cs="Courier New" w:eastAsia="Courier New" w:hAnsi="Courier New"/>
                <w:sz w:val="16"/>
                <w:szCs w:val="16"/>
                <w:color w:val="auto"/>
              </w:rPr>
              <w:t>--</w:t>
            </w:r>
          </w:p>
        </w:tc>
      </w:tr>
      <w:tr>
        <w:trPr>
          <w:trHeight w:val="183"/>
        </w:trPr>
        <w:tc>
          <w:tcPr>
            <w:tcW w:w="43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Common stockholders' equity..................</w:t>
            </w:r>
          </w:p>
        </w:tc>
        <w:tc>
          <w:tcPr>
            <w:tcW w:w="15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23,813</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(579)</w:t>
            </w: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(23,234)</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jc w:val="center"/>
              <w:ind w:right="241"/>
              <w:spacing w:after="0"/>
              <w:rPr>
                <w:sz w:val="20"/>
                <w:szCs w:val="20"/>
                <w:color w:val="auto"/>
              </w:rPr>
            </w:pPr>
            <w:r>
              <w:rPr>
                <w:rFonts w:ascii="Courier New" w:cs="Courier New" w:eastAsia="Courier New" w:hAnsi="Courier New"/>
                <w:sz w:val="16"/>
                <w:szCs w:val="16"/>
                <w:color w:val="auto"/>
              </w:rPr>
              <w:t>--</w:t>
            </w:r>
          </w:p>
        </w:tc>
      </w:tr>
      <w:tr>
        <w:trPr>
          <w:trHeight w:val="183"/>
        </w:trPr>
        <w:tc>
          <w:tcPr>
            <w:tcW w:w="438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Courier New" w:cs="Courier New" w:eastAsia="Courier New" w:hAnsi="Courier New"/>
                <w:sz w:val="16"/>
                <w:szCs w:val="16"/>
                <w:color w:val="auto"/>
                <w:w w:val="99"/>
              </w:rPr>
              <w:t>-------------</w:t>
            </w:r>
          </w:p>
        </w:tc>
        <w:tc>
          <w:tcPr>
            <w:tcW w:w="1720" w:type="dxa"/>
            <w:vAlign w:val="bottom"/>
            <w:gridSpan w:val="3"/>
          </w:tcPr>
          <w:p>
            <w:pPr>
              <w:jc w:val="center"/>
              <w:ind w:left="101"/>
              <w:spacing w:after="0"/>
              <w:rPr>
                <w:sz w:val="20"/>
                <w:szCs w:val="20"/>
                <w:color w:val="auto"/>
              </w:rPr>
            </w:pPr>
            <w:r>
              <w:rPr>
                <w:rFonts w:ascii="Courier New" w:cs="Courier New" w:eastAsia="Courier New" w:hAnsi="Courier New"/>
                <w:sz w:val="16"/>
                <w:szCs w:val="16"/>
                <w:color w:val="auto"/>
                <w:w w:val="98"/>
              </w:rPr>
              <w:t>---------------</w:t>
            </w: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3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TOTAL LIABILITIES AND STOCKHOLDERS'</w:t>
            </w:r>
          </w:p>
        </w:tc>
        <w:tc>
          <w:tcPr>
            <w:tcW w:w="1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3"/>
        </w:trPr>
        <w:tc>
          <w:tcPr>
            <w:tcW w:w="4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EQUITY...............................</w:t>
            </w:r>
          </w:p>
        </w:tc>
        <w:tc>
          <w:tcPr>
            <w:tcW w:w="1580" w:type="dxa"/>
            <w:vAlign w:val="bottom"/>
          </w:tcPr>
          <w:p>
            <w:pPr>
              <w:jc w:val="center"/>
              <w:spacing w:after="0"/>
              <w:rPr>
                <w:sz w:val="20"/>
                <w:szCs w:val="20"/>
                <w:color w:val="auto"/>
              </w:rPr>
            </w:pPr>
            <w:r>
              <w:rPr>
                <w:rFonts w:ascii="Courier New" w:cs="Courier New" w:eastAsia="Courier New" w:hAnsi="Courier New"/>
                <w:sz w:val="16"/>
                <w:szCs w:val="16"/>
                <w:color w:val="auto"/>
                <w:w w:val="98"/>
              </w:rPr>
              <w:t>$49,369</w:t>
            </w:r>
          </w:p>
        </w:tc>
        <w:tc>
          <w:tcPr>
            <w:tcW w:w="340" w:type="dxa"/>
            <w:vAlign w:val="bottom"/>
          </w:tcPr>
          <w:p>
            <w:pPr>
              <w:spacing w:after="0"/>
              <w:rPr>
                <w:sz w:val="15"/>
                <w:szCs w:val="15"/>
                <w:color w:val="auto"/>
              </w:rPr>
            </w:pPr>
          </w:p>
        </w:tc>
        <w:tc>
          <w:tcPr>
            <w:tcW w:w="13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 (21,276)</w:t>
            </w: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 (23,234)</w:t>
            </w:r>
          </w:p>
        </w:tc>
        <w:tc>
          <w:tcPr>
            <w:tcW w:w="2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4,859</w:t>
            </w:r>
          </w:p>
        </w:tc>
      </w:tr>
      <w:tr>
        <w:trPr>
          <w:trHeight w:val="183"/>
        </w:trPr>
        <w:tc>
          <w:tcPr>
            <w:tcW w:w="438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Courier New" w:cs="Courier New" w:eastAsia="Courier New" w:hAnsi="Courier New"/>
                <w:sz w:val="16"/>
                <w:szCs w:val="16"/>
                <w:color w:val="auto"/>
                <w:w w:val="99"/>
              </w:rPr>
              <w:t>-------------</w:t>
            </w:r>
          </w:p>
        </w:tc>
        <w:tc>
          <w:tcPr>
            <w:tcW w:w="1720" w:type="dxa"/>
            <w:vAlign w:val="bottom"/>
            <w:gridSpan w:val="3"/>
          </w:tcPr>
          <w:p>
            <w:pPr>
              <w:jc w:val="center"/>
              <w:ind w:left="101"/>
              <w:spacing w:after="0"/>
              <w:rPr>
                <w:sz w:val="20"/>
                <w:szCs w:val="20"/>
                <w:color w:val="auto"/>
              </w:rPr>
            </w:pPr>
            <w:r>
              <w:rPr>
                <w:rFonts w:ascii="Courier New" w:cs="Courier New" w:eastAsia="Courier New" w:hAnsi="Courier New"/>
                <w:sz w:val="16"/>
                <w:szCs w:val="16"/>
                <w:color w:val="auto"/>
                <w:w w:val="98"/>
              </w:rPr>
              <w:t>---------------</w:t>
            </w: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38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Courier New" w:cs="Courier New" w:eastAsia="Courier New" w:hAnsi="Courier New"/>
                <w:sz w:val="16"/>
                <w:szCs w:val="16"/>
                <w:color w:val="auto"/>
                <w:w w:val="99"/>
              </w:rPr>
              <w:t>-------------</w:t>
            </w:r>
          </w:p>
        </w:tc>
        <w:tc>
          <w:tcPr>
            <w:tcW w:w="1720" w:type="dxa"/>
            <w:vAlign w:val="bottom"/>
            <w:gridSpan w:val="3"/>
          </w:tcPr>
          <w:p>
            <w:pPr>
              <w:jc w:val="center"/>
              <w:ind w:left="101"/>
              <w:spacing w:after="0"/>
              <w:rPr>
                <w:sz w:val="20"/>
                <w:szCs w:val="20"/>
                <w:color w:val="auto"/>
              </w:rPr>
            </w:pPr>
            <w:r>
              <w:rPr>
                <w:rFonts w:ascii="Courier New" w:cs="Courier New" w:eastAsia="Courier New" w:hAnsi="Courier New"/>
                <w:sz w:val="16"/>
                <w:szCs w:val="16"/>
                <w:color w:val="auto"/>
                <w:w w:val="98"/>
              </w:rPr>
              <w:t>---------------</w:t>
            </w: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69" w:lineRule="exact"/>
        <w:rPr>
          <w:sz w:val="20"/>
          <w:szCs w:val="20"/>
          <w:color w:val="auto"/>
        </w:rPr>
      </w:pPr>
    </w:p>
    <w:p>
      <w:pPr>
        <w:ind w:left="182" w:hanging="182"/>
        <w:spacing w:after="0"/>
        <w:tabs>
          <w:tab w:leader="none" w:pos="18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8" w:lineRule="exact"/>
        <w:rPr>
          <w:rFonts w:ascii="Courier New" w:cs="Courier New" w:eastAsia="Courier New" w:hAnsi="Courier New"/>
          <w:sz w:val="16"/>
          <w:szCs w:val="16"/>
          <w:color w:val="auto"/>
        </w:rPr>
      </w:pPr>
    </w:p>
    <w:p>
      <w:pPr>
        <w:ind w:left="1422" w:right="3900" w:hanging="373"/>
        <w:spacing w:after="0" w:line="239" w:lineRule="auto"/>
        <w:tabs>
          <w:tab w:leader="none" w:pos="1422"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the historical cost basis of the assets and liabilities of the First Hospital Properties.</w:t>
      </w:r>
    </w:p>
    <w:p>
      <w:pPr>
        <w:spacing w:after="0" w:line="189" w:lineRule="exact"/>
        <w:rPr>
          <w:rFonts w:ascii="Courier New" w:cs="Courier New" w:eastAsia="Courier New" w:hAnsi="Courier New"/>
          <w:sz w:val="16"/>
          <w:szCs w:val="16"/>
          <w:color w:val="auto"/>
        </w:rPr>
      </w:pPr>
    </w:p>
    <w:p>
      <w:pPr>
        <w:ind w:left="1422" w:right="3620" w:hanging="373"/>
        <w:spacing w:after="0" w:line="239" w:lineRule="auto"/>
        <w:tabs>
          <w:tab w:leader="none" w:pos="1422"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eliminate assets and liabilities not being acquired or assumed.</w:t>
      </w:r>
    </w:p>
    <w:p>
      <w:pPr>
        <w:spacing w:after="0" w:line="189" w:lineRule="exact"/>
        <w:rPr>
          <w:rFonts w:ascii="Courier New" w:cs="Courier New" w:eastAsia="Courier New" w:hAnsi="Courier New"/>
          <w:sz w:val="16"/>
          <w:szCs w:val="16"/>
          <w:color w:val="auto"/>
        </w:rPr>
      </w:pPr>
    </w:p>
    <w:p>
      <w:pPr>
        <w:ind w:left="1422" w:right="3720" w:hanging="373"/>
        <w:spacing w:after="0" w:line="239" w:lineRule="auto"/>
        <w:tabs>
          <w:tab w:leader="none" w:pos="1422"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allocate purchase price based on fair value of assets acquired, and liabilities assumed.</w:t>
      </w:r>
    </w:p>
    <w:p>
      <w:pPr>
        <w:spacing w:after="0" w:line="189" w:lineRule="exact"/>
        <w:rPr>
          <w:rFonts w:ascii="Courier New" w:cs="Courier New" w:eastAsia="Courier New" w:hAnsi="Courier New"/>
          <w:sz w:val="16"/>
          <w:szCs w:val="16"/>
          <w:color w:val="auto"/>
        </w:rPr>
      </w:pPr>
    </w:p>
    <w:p>
      <w:pPr>
        <w:ind w:left="1422" w:right="3720" w:hanging="373"/>
        <w:spacing w:after="0" w:line="239" w:lineRule="auto"/>
        <w:tabs>
          <w:tab w:leader="none" w:pos="1422"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allocation of the purchase price excludes contingent consideration.</w:t>
      </w:r>
    </w:p>
    <w:p>
      <w:pPr>
        <w:spacing w:after="0" w:line="186" w:lineRule="exact"/>
        <w:rPr>
          <w:rFonts w:ascii="Courier New" w:cs="Courier New" w:eastAsia="Courier New" w:hAnsi="Courier New"/>
          <w:sz w:val="16"/>
          <w:szCs w:val="16"/>
          <w:color w:val="auto"/>
        </w:rPr>
      </w:pPr>
    </w:p>
    <w:p>
      <w:pPr>
        <w:ind w:left="182" w:hanging="182"/>
        <w:spacing w:after="0"/>
        <w:tabs>
          <w:tab w:leader="none" w:pos="18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ind w:left="382" w:hanging="382"/>
        <w:spacing w:after="0"/>
        <w:tabs>
          <w:tab w:leader="none" w:pos="38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record the cash proceeds from the issuance of common stock and</w:t>
      </w:r>
    </w:p>
    <w:p>
      <w:pPr>
        <w:spacing w:after="0" w:line="2"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borrowings$169,065</w:t>
      </w:r>
    </w:p>
    <w:p>
      <w:pPr>
        <w:spacing w:after="0" w:line="368" w:lineRule="exact"/>
        <w:rPr>
          <w:rFonts w:ascii="Courier New" w:cs="Courier New" w:eastAsia="Courier New" w:hAnsi="Courier New"/>
          <w:sz w:val="16"/>
          <w:szCs w:val="16"/>
          <w:color w:val="auto"/>
        </w:rPr>
      </w:pPr>
    </w:p>
    <w:p>
      <w:pPr>
        <w:ind w:left="382" w:hanging="382"/>
        <w:spacing w:after="0"/>
        <w:tabs>
          <w:tab w:leader="none" w:pos="38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record the net borrowings necessary to finance the 1996</w:t>
      </w:r>
    </w:p>
    <w:p>
      <w:pPr>
        <w:spacing w:after="0" w:line="2" w:lineRule="exact"/>
        <w:rPr>
          <w:sz w:val="20"/>
          <w:szCs w:val="20"/>
          <w:color w:val="auto"/>
        </w:rPr>
      </w:pPr>
    </w:p>
    <w:p>
      <w:pPr>
        <w:ind w:left="2"/>
        <w:spacing w:after="0"/>
        <w:tabs>
          <w:tab w:leader="none" w:pos="2562" w:val="left"/>
        </w:tabs>
        <w:rPr>
          <w:sz w:val="20"/>
          <w:szCs w:val="20"/>
          <w:color w:val="auto"/>
        </w:rPr>
      </w:pPr>
      <w:r>
        <w:rPr>
          <w:rFonts w:ascii="Courier New" w:cs="Courier New" w:eastAsia="Courier New" w:hAnsi="Courier New"/>
          <w:sz w:val="16"/>
          <w:szCs w:val="16"/>
          <w:color w:val="auto"/>
        </w:rPr>
        <w:t>transactions</w:t>
      </w:r>
      <w:r>
        <w:rPr>
          <w:sz w:val="20"/>
          <w:szCs w:val="20"/>
          <w:color w:val="auto"/>
        </w:rPr>
        <w:tab/>
      </w:r>
      <w:r>
        <w:rPr>
          <w:rFonts w:ascii="Courier New" w:cs="Courier New" w:eastAsia="Courier New" w:hAnsi="Courier New"/>
          <w:sz w:val="16"/>
          <w:szCs w:val="16"/>
          <w:color w:val="auto"/>
        </w:rPr>
        <w:t>76,245</w:t>
      </w:r>
    </w:p>
    <w:p>
      <w:pPr>
        <w:spacing w:after="0" w:line="200" w:lineRule="exact"/>
        <w:rPr>
          <w:sz w:val="20"/>
          <w:szCs w:val="20"/>
          <w:color w:val="auto"/>
        </w:rPr>
      </w:pPr>
    </w:p>
    <w:p>
      <w:pPr>
        <w:spacing w:after="0" w:line="352" w:lineRule="exact"/>
        <w:rPr>
          <w:sz w:val="20"/>
          <w:szCs w:val="20"/>
          <w:color w:val="auto"/>
        </w:rPr>
      </w:pPr>
    </w:p>
    <w:p>
      <w:pPr>
        <w:ind w:left="382" w:hanging="382"/>
        <w:spacing w:after="0"/>
        <w:tabs>
          <w:tab w:leader="none" w:pos="382"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record the issuance of 4,000,000 shares at $24.375, net of offering</w:t>
      </w:r>
    </w:p>
    <w:p>
      <w:pPr>
        <w:spacing w:after="0" w:line="2"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costs92,820</w:t>
      </w:r>
    </w:p>
    <w:p>
      <w:pPr>
        <w:spacing w:after="0" w:line="369"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482"/>
          </w:cols>
          <w:pgMar w:left="238" w:top="481" w:right="1179" w:bottom="1440" w:gutter="0" w:footer="0" w:header="0"/>
        </w:sectPr>
      </w:pPr>
    </w:p>
    <w:bookmarkStart w:id="21" w:name="page22"/>
    <w:bookmarkEnd w:id="21"/>
    <w:p>
      <w:pPr>
        <w:jc w:val="center"/>
        <w:ind w:right="2180"/>
        <w:spacing w:after="0"/>
        <w:rPr>
          <w:sz w:val="20"/>
          <w:szCs w:val="20"/>
          <w:color w:val="auto"/>
        </w:rPr>
      </w:pPr>
      <w:r>
        <w:rPr>
          <w:rFonts w:ascii="Courier New" w:cs="Courier New" w:eastAsia="Courier New" w:hAnsi="Courier New"/>
          <w:sz w:val="16"/>
          <w:szCs w:val="16"/>
          <w:color w:val="auto"/>
        </w:rPr>
        <w:t>UNIVERSAL HEALTH SERVICES, INC. AND SUBSIDIARIES NOTES TO MANAGEMENT'S ASSUMPTIONS TO UNAUDITED PRO FORMA CONDENSED CONSOLIDATED FINANCIAL STATEMENTS--(CONTINUED)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960" w:type="dxa"/>
            <w:vAlign w:val="bottom"/>
            <w:gridSpan w:val="4"/>
          </w:tcPr>
          <w:p>
            <w:pPr>
              <w:spacing w:after="0"/>
              <w:rPr>
                <w:sz w:val="20"/>
                <w:szCs w:val="20"/>
                <w:color w:val="auto"/>
              </w:rPr>
            </w:pPr>
            <w:r>
              <w:rPr>
                <w:rFonts w:ascii="Courier New" w:cs="Courier New" w:eastAsia="Courier New" w:hAnsi="Courier New"/>
                <w:sz w:val="16"/>
                <w:szCs w:val="16"/>
                <w:color w:val="auto"/>
              </w:rPr>
              <w:t>(F) To reflect the historical revenues and expenses</w:t>
            </w:r>
          </w:p>
        </w:tc>
        <w:tc>
          <w:tcPr>
            <w:tcW w:w="2380" w:type="dxa"/>
            <w:vAlign w:val="bottom"/>
            <w:gridSpan w:val="3"/>
          </w:tcPr>
          <w:p>
            <w:pPr>
              <w:spacing w:after="0"/>
              <w:rPr>
                <w:sz w:val="20"/>
                <w:szCs w:val="20"/>
                <w:color w:val="auto"/>
              </w:rPr>
            </w:pPr>
            <w:r>
              <w:rPr>
                <w:rFonts w:ascii="Courier New" w:cs="Courier New" w:eastAsia="Courier New" w:hAnsi="Courier New"/>
                <w:sz w:val="16"/>
                <w:szCs w:val="16"/>
                <w:color w:val="auto"/>
                <w:w w:val="98"/>
              </w:rPr>
              <w:t>of the hospitals acquired</w:t>
            </w:r>
          </w:p>
        </w:tc>
        <w:tc>
          <w:tcPr>
            <w:tcW w:w="9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7240" w:type="dxa"/>
            <w:vAlign w:val="bottom"/>
            <w:gridSpan w:val="6"/>
          </w:tcPr>
          <w:p>
            <w:pPr>
              <w:spacing w:after="0"/>
              <w:rPr>
                <w:sz w:val="20"/>
                <w:szCs w:val="20"/>
                <w:color w:val="auto"/>
              </w:rPr>
            </w:pPr>
            <w:r>
              <w:rPr>
                <w:rFonts w:ascii="Courier New" w:cs="Courier New" w:eastAsia="Courier New" w:hAnsi="Courier New"/>
                <w:sz w:val="16"/>
                <w:szCs w:val="16"/>
                <w:color w:val="auto"/>
              </w:rPr>
              <w:t>and divested as part of the Manatee, Aiken and Universal Medical Center</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4960" w:type="dxa"/>
            <w:vAlign w:val="bottom"/>
            <w:gridSpan w:val="4"/>
          </w:tcPr>
          <w:p>
            <w:pPr>
              <w:spacing w:after="0"/>
              <w:rPr>
                <w:sz w:val="20"/>
                <w:szCs w:val="20"/>
                <w:color w:val="auto"/>
              </w:rPr>
            </w:pPr>
            <w:r>
              <w:rPr>
                <w:rFonts w:ascii="Courier New" w:cs="Courier New" w:eastAsia="Courier New" w:hAnsi="Courier New"/>
                <w:sz w:val="16"/>
                <w:szCs w:val="16"/>
                <w:color w:val="auto"/>
              </w:rPr>
              <w:t>transactions. The revenues and expenses of Manatee,</w:t>
            </w:r>
          </w:p>
        </w:tc>
        <w:tc>
          <w:tcPr>
            <w:tcW w:w="2280" w:type="dxa"/>
            <w:vAlign w:val="bottom"/>
            <w:gridSpan w:val="2"/>
          </w:tcPr>
          <w:p>
            <w:pPr>
              <w:spacing w:after="0"/>
              <w:rPr>
                <w:sz w:val="20"/>
                <w:szCs w:val="20"/>
                <w:color w:val="auto"/>
              </w:rPr>
            </w:pPr>
            <w:r>
              <w:rPr>
                <w:rFonts w:ascii="Courier New" w:cs="Courier New" w:eastAsia="Courier New" w:hAnsi="Courier New"/>
                <w:sz w:val="16"/>
                <w:szCs w:val="16"/>
                <w:color w:val="auto"/>
              </w:rPr>
              <w:t>Aiken, Westlake, Dallas</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7240" w:type="dxa"/>
            <w:vAlign w:val="bottom"/>
            <w:gridSpan w:val="6"/>
          </w:tcPr>
          <w:p>
            <w:pPr>
              <w:spacing w:after="0"/>
              <w:rPr>
                <w:sz w:val="20"/>
                <w:szCs w:val="20"/>
                <w:color w:val="auto"/>
              </w:rPr>
            </w:pPr>
            <w:r>
              <w:rPr>
                <w:rFonts w:ascii="Courier New" w:cs="Courier New" w:eastAsia="Courier New" w:hAnsi="Courier New"/>
                <w:sz w:val="16"/>
                <w:szCs w:val="16"/>
                <w:color w:val="auto"/>
                <w:w w:val="98"/>
              </w:rPr>
              <w:t>Family and Universal Medical Center reflected in the table below are for the</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7240" w:type="dxa"/>
            <w:vAlign w:val="bottom"/>
            <w:gridSpan w:val="6"/>
          </w:tcPr>
          <w:p>
            <w:pPr>
              <w:spacing w:after="0"/>
              <w:rPr>
                <w:sz w:val="20"/>
                <w:szCs w:val="20"/>
                <w:color w:val="auto"/>
              </w:rPr>
            </w:pPr>
            <w:r>
              <w:rPr>
                <w:rFonts w:ascii="Courier New" w:cs="Courier New" w:eastAsia="Courier New" w:hAnsi="Courier New"/>
                <w:sz w:val="16"/>
                <w:szCs w:val="16"/>
                <w:color w:val="auto"/>
              </w:rPr>
              <w:t>period from January 1, 1995 through the respective dates of acquisition or</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3140" w:type="dxa"/>
            <w:vAlign w:val="bottom"/>
          </w:tcPr>
          <w:p>
            <w:pPr>
              <w:spacing w:after="0"/>
              <w:rPr>
                <w:sz w:val="20"/>
                <w:szCs w:val="20"/>
                <w:color w:val="auto"/>
              </w:rPr>
            </w:pPr>
            <w:r>
              <w:rPr>
                <w:rFonts w:ascii="Courier New" w:cs="Courier New" w:eastAsia="Courier New" w:hAnsi="Courier New"/>
                <w:sz w:val="16"/>
                <w:szCs w:val="16"/>
                <w:color w:val="auto"/>
              </w:rPr>
              <w:t>divestiture.</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734"/>
        </w:trPr>
        <w:tc>
          <w:tcPr>
            <w:tcW w:w="3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THE</w:t>
            </w:r>
          </w:p>
        </w:tc>
        <w:tc>
          <w:tcPr>
            <w:tcW w:w="2280" w:type="dxa"/>
            <w:vAlign w:val="bottom"/>
            <w:gridSpan w:val="2"/>
          </w:tcPr>
          <w:p>
            <w:pPr>
              <w:spacing w:after="0"/>
              <w:rPr>
                <w:sz w:val="20"/>
                <w:szCs w:val="20"/>
                <w:color w:val="auto"/>
              </w:rPr>
            </w:pPr>
            <w:r>
              <w:rPr>
                <w:rFonts w:ascii="Courier New" w:cs="Courier New" w:eastAsia="Courier New" w:hAnsi="Courier New"/>
                <w:sz w:val="16"/>
                <w:szCs w:val="16"/>
                <w:color w:val="auto"/>
              </w:rPr>
              <w:t>AIKEN TRANSACTION</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3"/>
        </w:trPr>
        <w:tc>
          <w:tcPr>
            <w:tcW w:w="3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2"/>
              </w:rPr>
              <w:t>-----------------------------</w:t>
            </w:r>
          </w:p>
        </w:tc>
        <w:tc>
          <w:tcPr>
            <w:tcW w:w="1140" w:type="dxa"/>
            <w:vAlign w:val="bottom"/>
          </w:tcPr>
          <w:p>
            <w:pPr>
              <w:spacing w:after="0"/>
              <w:rPr>
                <w:sz w:val="15"/>
                <w:szCs w:val="15"/>
                <w:color w:val="auto"/>
              </w:rPr>
            </w:pPr>
          </w:p>
        </w:tc>
        <w:tc>
          <w:tcPr>
            <w:tcW w:w="1060" w:type="dxa"/>
            <w:vAlign w:val="bottom"/>
            <w:gridSpan w:val="2"/>
          </w:tcPr>
          <w:p>
            <w:pPr>
              <w:spacing w:after="0"/>
              <w:rPr>
                <w:sz w:val="20"/>
                <w:szCs w:val="20"/>
                <w:color w:val="auto"/>
              </w:rPr>
            </w:pPr>
            <w:r>
              <w:rPr>
                <w:rFonts w:ascii="Courier New" w:cs="Courier New" w:eastAsia="Courier New" w:hAnsi="Courier New"/>
                <w:sz w:val="16"/>
                <w:szCs w:val="16"/>
                <w:color w:val="auto"/>
              </w:rPr>
              <w:t>UNIVERSAL</w:t>
            </w:r>
          </w:p>
        </w:tc>
        <w:tc>
          <w:tcPr>
            <w:tcW w:w="1380" w:type="dxa"/>
            <w:vAlign w:val="bottom"/>
          </w:tcPr>
          <w:p>
            <w:pPr>
              <w:jc w:val="center"/>
              <w:ind w:right="61"/>
              <w:spacing w:after="0"/>
              <w:rPr>
                <w:sz w:val="20"/>
                <w:szCs w:val="20"/>
                <w:color w:val="auto"/>
              </w:rPr>
            </w:pPr>
            <w:r>
              <w:rPr>
                <w:rFonts w:ascii="Courier New" w:cs="Courier New" w:eastAsia="Courier New" w:hAnsi="Courier New"/>
                <w:sz w:val="16"/>
                <w:szCs w:val="16"/>
                <w:color w:val="auto"/>
                <w:w w:val="97"/>
              </w:rPr>
              <w:t>PRO</w:t>
            </w:r>
          </w:p>
        </w:tc>
        <w:tc>
          <w:tcPr>
            <w:tcW w:w="420" w:type="dxa"/>
            <w:vAlign w:val="bottom"/>
          </w:tcPr>
          <w:p>
            <w:pPr>
              <w:spacing w:after="0"/>
              <w:rPr>
                <w:sz w:val="15"/>
                <w:szCs w:val="15"/>
                <w:color w:val="auto"/>
              </w:rPr>
            </w:pPr>
          </w:p>
        </w:tc>
        <w:tc>
          <w:tcPr>
            <w:tcW w:w="860" w:type="dxa"/>
            <w:vAlign w:val="bottom"/>
          </w:tcPr>
          <w:p>
            <w:pPr>
              <w:spacing w:after="0"/>
              <w:rPr>
                <w:sz w:val="20"/>
                <w:szCs w:val="20"/>
                <w:color w:val="auto"/>
              </w:rPr>
            </w:pPr>
            <w:r>
              <w:rPr>
                <w:rFonts w:ascii="Courier New" w:cs="Courier New" w:eastAsia="Courier New" w:hAnsi="Courier New"/>
                <w:sz w:val="16"/>
                <w:szCs w:val="16"/>
                <w:color w:val="auto"/>
              </w:rPr>
              <w:t>1995</w:t>
            </w:r>
          </w:p>
        </w:tc>
      </w:tr>
      <w:tr>
        <w:trPr>
          <w:trHeight w:val="183"/>
        </w:trPr>
        <w:tc>
          <w:tcPr>
            <w:tcW w:w="3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jc w:val="center"/>
              <w:ind w:right="101"/>
              <w:spacing w:after="0"/>
              <w:rPr>
                <w:sz w:val="20"/>
                <w:szCs w:val="20"/>
                <w:color w:val="auto"/>
              </w:rPr>
            </w:pPr>
            <w:r>
              <w:rPr>
                <w:rFonts w:ascii="Courier New" w:cs="Courier New" w:eastAsia="Courier New" w:hAnsi="Courier New"/>
                <w:sz w:val="16"/>
                <w:szCs w:val="16"/>
                <w:color w:val="auto"/>
                <w:w w:val="97"/>
              </w:rPr>
              <w:t>DALLAS</w:t>
            </w:r>
          </w:p>
        </w:tc>
        <w:tc>
          <w:tcPr>
            <w:tcW w:w="100" w:type="dxa"/>
            <w:vAlign w:val="bottom"/>
          </w:tcPr>
          <w:p>
            <w:pPr>
              <w:spacing w:after="0"/>
              <w:rPr>
                <w:sz w:val="15"/>
                <w:szCs w:val="15"/>
                <w:color w:val="auto"/>
              </w:rPr>
            </w:pPr>
          </w:p>
        </w:tc>
        <w:tc>
          <w:tcPr>
            <w:tcW w:w="960" w:type="dxa"/>
            <w:vAlign w:val="bottom"/>
          </w:tcPr>
          <w:p>
            <w:pPr>
              <w:spacing w:after="0"/>
              <w:rPr>
                <w:sz w:val="20"/>
                <w:szCs w:val="20"/>
                <w:color w:val="auto"/>
              </w:rPr>
            </w:pPr>
            <w:r>
              <w:rPr>
                <w:rFonts w:ascii="Courier New" w:cs="Courier New" w:eastAsia="Courier New" w:hAnsi="Courier New"/>
                <w:sz w:val="16"/>
                <w:szCs w:val="16"/>
                <w:color w:val="auto"/>
              </w:rPr>
              <w:t>MEDICAL</w:t>
            </w:r>
          </w:p>
        </w:tc>
        <w:tc>
          <w:tcPr>
            <w:tcW w:w="1380" w:type="dxa"/>
            <w:vAlign w:val="bottom"/>
          </w:tcPr>
          <w:p>
            <w:pPr>
              <w:jc w:val="center"/>
              <w:ind w:right="61"/>
              <w:spacing w:after="0"/>
              <w:rPr>
                <w:sz w:val="20"/>
                <w:szCs w:val="20"/>
                <w:color w:val="auto"/>
              </w:rPr>
            </w:pPr>
            <w:r>
              <w:rPr>
                <w:rFonts w:ascii="Courier New" w:cs="Courier New" w:eastAsia="Courier New" w:hAnsi="Courier New"/>
                <w:sz w:val="16"/>
                <w:szCs w:val="16"/>
                <w:color w:val="auto"/>
                <w:w w:val="99"/>
              </w:rPr>
              <w:t>FORMA</w:t>
            </w:r>
          </w:p>
        </w:tc>
        <w:tc>
          <w:tcPr>
            <w:tcW w:w="12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TRANSACTIONS,</w:t>
            </w:r>
          </w:p>
        </w:tc>
      </w:tr>
      <w:tr>
        <w:trPr>
          <w:trHeight w:val="183"/>
        </w:trPr>
        <w:tc>
          <w:tcPr>
            <w:tcW w:w="3140" w:type="dxa"/>
            <w:vAlign w:val="bottom"/>
          </w:tcPr>
          <w:p>
            <w:pPr>
              <w:spacing w:after="0"/>
              <w:rPr>
                <w:sz w:val="15"/>
                <w:szCs w:val="15"/>
                <w:color w:val="auto"/>
              </w:rPr>
            </w:pPr>
          </w:p>
        </w:tc>
        <w:tc>
          <w:tcPr>
            <w:tcW w:w="9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MANATEE</w:t>
            </w:r>
          </w:p>
        </w:tc>
        <w:tc>
          <w:tcPr>
            <w:tcW w:w="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AIKEN</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WESTLAKE</w:t>
            </w:r>
          </w:p>
        </w:tc>
        <w:tc>
          <w:tcPr>
            <w:tcW w:w="1140" w:type="dxa"/>
            <w:vAlign w:val="bottom"/>
          </w:tcPr>
          <w:p>
            <w:pPr>
              <w:jc w:val="center"/>
              <w:ind w:right="101"/>
              <w:spacing w:after="0"/>
              <w:rPr>
                <w:sz w:val="20"/>
                <w:szCs w:val="20"/>
                <w:color w:val="auto"/>
              </w:rPr>
            </w:pPr>
            <w:r>
              <w:rPr>
                <w:rFonts w:ascii="Courier New" w:cs="Courier New" w:eastAsia="Courier New" w:hAnsi="Courier New"/>
                <w:sz w:val="16"/>
                <w:szCs w:val="16"/>
                <w:color w:val="auto"/>
                <w:w w:val="97"/>
              </w:rPr>
              <w:t>FAMILY</w:t>
            </w:r>
          </w:p>
        </w:tc>
        <w:tc>
          <w:tcPr>
            <w:tcW w:w="100" w:type="dxa"/>
            <w:vAlign w:val="bottom"/>
          </w:tcPr>
          <w:p>
            <w:pPr>
              <w:spacing w:after="0"/>
              <w:rPr>
                <w:sz w:val="15"/>
                <w:szCs w:val="15"/>
                <w:color w:val="auto"/>
              </w:rPr>
            </w:pPr>
          </w:p>
        </w:tc>
        <w:tc>
          <w:tcPr>
            <w:tcW w:w="960" w:type="dxa"/>
            <w:vAlign w:val="bottom"/>
          </w:tcPr>
          <w:p>
            <w:pPr>
              <w:spacing w:after="0"/>
              <w:rPr>
                <w:sz w:val="20"/>
                <w:szCs w:val="20"/>
                <w:color w:val="auto"/>
              </w:rPr>
            </w:pPr>
            <w:r>
              <w:rPr>
                <w:rFonts w:ascii="Courier New" w:cs="Courier New" w:eastAsia="Courier New" w:hAnsi="Courier New"/>
                <w:sz w:val="16"/>
                <w:szCs w:val="16"/>
                <w:color w:val="auto"/>
              </w:rPr>
              <w:t>CENTER</w:t>
            </w:r>
          </w:p>
        </w:tc>
        <w:tc>
          <w:tcPr>
            <w:tcW w:w="1380" w:type="dxa"/>
            <w:vAlign w:val="bottom"/>
          </w:tcPr>
          <w:p>
            <w:pPr>
              <w:jc w:val="center"/>
              <w:ind w:right="61"/>
              <w:spacing w:after="0"/>
              <w:rPr>
                <w:sz w:val="20"/>
                <w:szCs w:val="20"/>
                <w:color w:val="auto"/>
              </w:rPr>
            </w:pPr>
            <w:r>
              <w:rPr>
                <w:rFonts w:ascii="Courier New" w:cs="Courier New" w:eastAsia="Courier New" w:hAnsi="Courier New"/>
                <w:sz w:val="16"/>
                <w:szCs w:val="16"/>
                <w:color w:val="auto"/>
                <w:w w:val="98"/>
              </w:rPr>
              <w:t>ADJUSTMENTS</w:t>
            </w:r>
          </w:p>
        </w:tc>
        <w:tc>
          <w:tcPr>
            <w:tcW w:w="420" w:type="dxa"/>
            <w:vAlign w:val="bottom"/>
          </w:tcPr>
          <w:p>
            <w:pPr>
              <w:spacing w:after="0"/>
              <w:rPr>
                <w:sz w:val="15"/>
                <w:szCs w:val="15"/>
                <w:color w:val="auto"/>
              </w:rPr>
            </w:pPr>
          </w:p>
        </w:tc>
        <w:tc>
          <w:tcPr>
            <w:tcW w:w="86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7"/>
              </w:rPr>
              <w:t>NET</w:t>
            </w:r>
          </w:p>
        </w:tc>
      </w:tr>
      <w:tr>
        <w:trPr>
          <w:trHeight w:val="183"/>
        </w:trPr>
        <w:tc>
          <w:tcPr>
            <w:tcW w:w="3140" w:type="dxa"/>
            <w:vAlign w:val="bottom"/>
          </w:tcPr>
          <w:p>
            <w:pPr>
              <w:spacing w:after="0"/>
              <w:rPr>
                <w:sz w:val="15"/>
                <w:szCs w:val="15"/>
                <w:color w:val="auto"/>
              </w:rPr>
            </w:pPr>
          </w:p>
        </w:tc>
        <w:tc>
          <w:tcPr>
            <w:tcW w:w="92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w w:val="97"/>
              </w:rPr>
              <w:t>---------</w:t>
            </w:r>
          </w:p>
        </w:tc>
        <w:tc>
          <w:tcPr>
            <w:tcW w:w="1380" w:type="dxa"/>
            <w:vAlign w:val="bottom"/>
          </w:tcPr>
          <w:p>
            <w:pPr>
              <w:jc w:val="center"/>
              <w:ind w:right="61"/>
              <w:spacing w:after="0"/>
              <w:rPr>
                <w:sz w:val="20"/>
                <w:szCs w:val="20"/>
                <w:color w:val="auto"/>
              </w:rPr>
            </w:pPr>
            <w:r>
              <w:rPr>
                <w:rFonts w:ascii="Courier New" w:cs="Courier New" w:eastAsia="Courier New" w:hAnsi="Courier New"/>
                <w:sz w:val="16"/>
                <w:szCs w:val="16"/>
                <w:color w:val="auto"/>
                <w:w w:val="98"/>
              </w:rPr>
              <w:t>-----------</w:t>
            </w:r>
          </w:p>
        </w:tc>
        <w:tc>
          <w:tcPr>
            <w:tcW w:w="12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w:t>
            </w:r>
          </w:p>
        </w:tc>
      </w:tr>
      <w:tr>
        <w:trPr>
          <w:trHeight w:val="367"/>
        </w:trPr>
        <w:tc>
          <w:tcPr>
            <w:tcW w:w="3140" w:type="dxa"/>
            <w:vAlign w:val="bottom"/>
          </w:tcPr>
          <w:p>
            <w:pPr>
              <w:spacing w:after="0"/>
              <w:rPr>
                <w:sz w:val="20"/>
                <w:szCs w:val="20"/>
                <w:color w:val="auto"/>
              </w:rPr>
            </w:pPr>
            <w:r>
              <w:rPr>
                <w:rFonts w:ascii="Courier New" w:cs="Courier New" w:eastAsia="Courier New" w:hAnsi="Courier New"/>
                <w:sz w:val="16"/>
                <w:szCs w:val="16"/>
                <w:color w:val="auto"/>
              </w:rPr>
              <w:t>Net Revenues....................</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720" w:type="dxa"/>
            <w:vAlign w:val="bottom"/>
          </w:tcPr>
          <w:p>
            <w:pPr>
              <w:jc w:val="right"/>
              <w:ind w:right="81"/>
              <w:spacing w:after="0"/>
              <w:rPr>
                <w:sz w:val="20"/>
                <w:szCs w:val="20"/>
                <w:color w:val="auto"/>
              </w:rPr>
            </w:pPr>
            <w:r>
              <w:rPr>
                <w:rFonts w:ascii="Courier New" w:cs="Courier New" w:eastAsia="Courier New" w:hAnsi="Courier New"/>
                <w:sz w:val="16"/>
                <w:szCs w:val="16"/>
                <w:color w:val="auto"/>
                <w:w w:val="93"/>
              </w:rPr>
              <w:t>86,133</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$44,233</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$(16,032)</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$(10,523)</w:t>
            </w:r>
          </w:p>
        </w:tc>
        <w:tc>
          <w:tcPr>
            <w:tcW w:w="10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7"/>
              </w:rPr>
              <w:t>$ (23,665)</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$(4,835)(1)</w:t>
            </w:r>
          </w:p>
        </w:tc>
        <w:tc>
          <w:tcPr>
            <w:tcW w:w="12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$75,311</w:t>
            </w:r>
          </w:p>
        </w:tc>
      </w:tr>
      <w:tr>
        <w:trPr>
          <w:trHeight w:val="183"/>
        </w:trPr>
        <w:tc>
          <w:tcPr>
            <w:tcW w:w="3140" w:type="dxa"/>
            <w:vAlign w:val="bottom"/>
          </w:tcPr>
          <w:p>
            <w:pPr>
              <w:spacing w:after="0"/>
              <w:rPr>
                <w:sz w:val="20"/>
                <w:szCs w:val="20"/>
                <w:color w:val="auto"/>
              </w:rPr>
            </w:pPr>
            <w:r>
              <w:rPr>
                <w:rFonts w:ascii="Courier New" w:cs="Courier New" w:eastAsia="Courier New" w:hAnsi="Courier New"/>
                <w:sz w:val="16"/>
                <w:szCs w:val="16"/>
                <w:color w:val="auto"/>
              </w:rPr>
              <w:t>Operating charges:</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3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Operating expenses.............</w:t>
            </w:r>
          </w:p>
        </w:tc>
        <w:tc>
          <w:tcPr>
            <w:tcW w:w="200" w:type="dxa"/>
            <w:vAlign w:val="bottom"/>
          </w:tcPr>
          <w:p>
            <w:pPr>
              <w:spacing w:after="0"/>
              <w:rPr>
                <w:sz w:val="15"/>
                <w:szCs w:val="15"/>
                <w:color w:val="auto"/>
              </w:rPr>
            </w:pPr>
          </w:p>
        </w:tc>
        <w:tc>
          <w:tcPr>
            <w:tcW w:w="720" w:type="dxa"/>
            <w:vAlign w:val="bottom"/>
          </w:tcPr>
          <w:p>
            <w:pPr>
              <w:jc w:val="right"/>
              <w:ind w:right="81"/>
              <w:spacing w:after="0"/>
              <w:rPr>
                <w:sz w:val="20"/>
                <w:szCs w:val="20"/>
                <w:color w:val="auto"/>
              </w:rPr>
            </w:pPr>
            <w:r>
              <w:rPr>
                <w:rFonts w:ascii="Courier New" w:cs="Courier New" w:eastAsia="Courier New" w:hAnsi="Courier New"/>
                <w:sz w:val="16"/>
                <w:szCs w:val="16"/>
                <w:color w:val="auto"/>
                <w:w w:val="93"/>
              </w:rPr>
              <w:t>35,469</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20,247</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(7,965)</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(4,691)</w:t>
            </w:r>
          </w:p>
        </w:tc>
        <w:tc>
          <w:tcPr>
            <w:tcW w:w="10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(11,843)</w:t>
            </w: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667(2)</w:t>
            </w:r>
          </w:p>
        </w:tc>
        <w:tc>
          <w:tcPr>
            <w:tcW w:w="420" w:type="dxa"/>
            <w:vAlign w:val="bottom"/>
          </w:tcPr>
          <w:p>
            <w:pPr>
              <w:spacing w:after="0"/>
              <w:rPr>
                <w:sz w:val="15"/>
                <w:szCs w:val="15"/>
                <w:color w:val="auto"/>
              </w:rPr>
            </w:pP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7"/>
              </w:rPr>
              <w:t>31,884</w:t>
            </w:r>
          </w:p>
        </w:tc>
      </w:tr>
      <w:tr>
        <w:trPr>
          <w:trHeight w:val="183"/>
        </w:trPr>
        <w:tc>
          <w:tcPr>
            <w:tcW w:w="3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Salaries and wages.............</w:t>
            </w:r>
          </w:p>
        </w:tc>
        <w:tc>
          <w:tcPr>
            <w:tcW w:w="200" w:type="dxa"/>
            <w:vAlign w:val="bottom"/>
          </w:tcPr>
          <w:p>
            <w:pPr>
              <w:spacing w:after="0"/>
              <w:rPr>
                <w:sz w:val="15"/>
                <w:szCs w:val="15"/>
                <w:color w:val="auto"/>
              </w:rPr>
            </w:pPr>
          </w:p>
        </w:tc>
        <w:tc>
          <w:tcPr>
            <w:tcW w:w="720" w:type="dxa"/>
            <w:vAlign w:val="bottom"/>
          </w:tcPr>
          <w:p>
            <w:pPr>
              <w:jc w:val="right"/>
              <w:ind w:right="81"/>
              <w:spacing w:after="0"/>
              <w:rPr>
                <w:sz w:val="20"/>
                <w:szCs w:val="20"/>
                <w:color w:val="auto"/>
              </w:rPr>
            </w:pPr>
            <w:r>
              <w:rPr>
                <w:rFonts w:ascii="Courier New" w:cs="Courier New" w:eastAsia="Courier New" w:hAnsi="Courier New"/>
                <w:sz w:val="16"/>
                <w:szCs w:val="16"/>
                <w:color w:val="auto"/>
                <w:w w:val="93"/>
              </w:rPr>
              <w:t>26,368</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12,474</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(7,061)</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(4,354)</w:t>
            </w:r>
          </w:p>
        </w:tc>
        <w:tc>
          <w:tcPr>
            <w:tcW w:w="10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(9,867)</w:t>
            </w:r>
          </w:p>
        </w:tc>
        <w:tc>
          <w:tcPr>
            <w:tcW w:w="1380" w:type="dxa"/>
            <w:vAlign w:val="bottom"/>
          </w:tcPr>
          <w:p>
            <w:pPr>
              <w:jc w:val="right"/>
              <w:ind w:right="741"/>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7"/>
              </w:rPr>
              <w:t>17,560</w:t>
            </w:r>
          </w:p>
        </w:tc>
      </w:tr>
      <w:tr>
        <w:trPr>
          <w:trHeight w:val="183"/>
        </w:trPr>
        <w:tc>
          <w:tcPr>
            <w:tcW w:w="3140" w:type="dxa"/>
            <w:vAlign w:val="bottom"/>
          </w:tcPr>
          <w:p>
            <w:pPr>
              <w:ind w:left="100"/>
              <w:spacing w:after="0"/>
              <w:rPr>
                <w:sz w:val="20"/>
                <w:szCs w:val="20"/>
                <w:color w:val="auto"/>
              </w:rPr>
            </w:pPr>
            <w:r>
              <w:rPr>
                <w:rFonts w:ascii="Courier New" w:cs="Courier New" w:eastAsia="Courier New" w:hAnsi="Courier New"/>
                <w:sz w:val="16"/>
                <w:szCs w:val="16"/>
                <w:color w:val="auto"/>
              </w:rPr>
              <w:t>Provision for doubtful</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3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accounts......................</w:t>
            </w:r>
          </w:p>
        </w:tc>
        <w:tc>
          <w:tcPr>
            <w:tcW w:w="200" w:type="dxa"/>
            <w:vAlign w:val="bottom"/>
          </w:tcPr>
          <w:p>
            <w:pPr>
              <w:spacing w:after="0"/>
              <w:rPr>
                <w:sz w:val="15"/>
                <w:szCs w:val="15"/>
                <w:color w:val="auto"/>
              </w:rPr>
            </w:pPr>
          </w:p>
        </w:tc>
        <w:tc>
          <w:tcPr>
            <w:tcW w:w="7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5,945</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5,638</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(1,775)</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(2,228)</w:t>
            </w:r>
          </w:p>
        </w:tc>
        <w:tc>
          <w:tcPr>
            <w:tcW w:w="10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(1,083)</w:t>
            </w:r>
          </w:p>
        </w:tc>
        <w:tc>
          <w:tcPr>
            <w:tcW w:w="1380" w:type="dxa"/>
            <w:vAlign w:val="bottom"/>
          </w:tcPr>
          <w:p>
            <w:pPr>
              <w:jc w:val="right"/>
              <w:ind w:right="741"/>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6,497</w:t>
            </w:r>
          </w:p>
        </w:tc>
      </w:tr>
      <w:tr>
        <w:trPr>
          <w:trHeight w:val="183"/>
        </w:trPr>
        <w:tc>
          <w:tcPr>
            <w:tcW w:w="3140" w:type="dxa"/>
            <w:vAlign w:val="bottom"/>
          </w:tcPr>
          <w:p>
            <w:pPr>
              <w:ind w:left="100"/>
              <w:spacing w:after="0"/>
              <w:rPr>
                <w:sz w:val="20"/>
                <w:szCs w:val="20"/>
                <w:color w:val="auto"/>
              </w:rPr>
            </w:pPr>
            <w:r>
              <w:rPr>
                <w:rFonts w:ascii="Courier New" w:cs="Courier New" w:eastAsia="Courier New" w:hAnsi="Courier New"/>
                <w:sz w:val="16"/>
                <w:szCs w:val="16"/>
                <w:color w:val="auto"/>
              </w:rPr>
              <w:t>Depreciation and</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3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amortization..................</w:t>
            </w:r>
          </w:p>
        </w:tc>
        <w:tc>
          <w:tcPr>
            <w:tcW w:w="200" w:type="dxa"/>
            <w:vAlign w:val="bottom"/>
          </w:tcPr>
          <w:p>
            <w:pPr>
              <w:spacing w:after="0"/>
              <w:rPr>
                <w:sz w:val="15"/>
                <w:szCs w:val="15"/>
                <w:color w:val="auto"/>
              </w:rPr>
            </w:pPr>
          </w:p>
        </w:tc>
        <w:tc>
          <w:tcPr>
            <w:tcW w:w="7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3,980</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1,907</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(1,295)</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(884)</w:t>
            </w:r>
          </w:p>
        </w:tc>
        <w:tc>
          <w:tcPr>
            <w:tcW w:w="10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(1,375)</w:t>
            </w: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4,262(3)</w:t>
            </w:r>
          </w:p>
        </w:tc>
        <w:tc>
          <w:tcPr>
            <w:tcW w:w="420" w:type="dxa"/>
            <w:vAlign w:val="bottom"/>
          </w:tcPr>
          <w:p>
            <w:pPr>
              <w:spacing w:after="0"/>
              <w:rPr>
                <w:sz w:val="15"/>
                <w:szCs w:val="15"/>
                <w:color w:val="auto"/>
              </w:rPr>
            </w:pP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6,595</w:t>
            </w:r>
          </w:p>
        </w:tc>
      </w:tr>
      <w:tr>
        <w:trPr>
          <w:trHeight w:val="183"/>
        </w:trPr>
        <w:tc>
          <w:tcPr>
            <w:tcW w:w="3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Lease and rental expense.......</w:t>
            </w:r>
          </w:p>
        </w:tc>
        <w:tc>
          <w:tcPr>
            <w:tcW w:w="200" w:type="dxa"/>
            <w:vAlign w:val="bottom"/>
          </w:tcPr>
          <w:p>
            <w:pPr>
              <w:spacing w:after="0"/>
              <w:rPr>
                <w:sz w:val="15"/>
                <w:szCs w:val="15"/>
                <w:color w:val="auto"/>
              </w:rPr>
            </w:pPr>
          </w:p>
        </w:tc>
        <w:tc>
          <w:tcPr>
            <w:tcW w:w="7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1,174</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576</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(1,813)</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(562)</w:t>
            </w:r>
          </w:p>
        </w:tc>
        <w:tc>
          <w:tcPr>
            <w:tcW w:w="10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(417)</w:t>
            </w: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1,193(4)</w:t>
            </w:r>
          </w:p>
        </w:tc>
        <w:tc>
          <w:tcPr>
            <w:tcW w:w="420" w:type="dxa"/>
            <w:vAlign w:val="bottom"/>
          </w:tcPr>
          <w:p>
            <w:pPr>
              <w:spacing w:after="0"/>
              <w:rPr>
                <w:sz w:val="15"/>
                <w:szCs w:val="15"/>
                <w:color w:val="auto"/>
              </w:rPr>
            </w:pP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151</w:t>
            </w:r>
          </w:p>
        </w:tc>
      </w:tr>
      <w:tr>
        <w:trPr>
          <w:trHeight w:val="183"/>
        </w:trPr>
        <w:tc>
          <w:tcPr>
            <w:tcW w:w="3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Interest expense, net..........</w:t>
            </w:r>
          </w:p>
        </w:tc>
        <w:tc>
          <w:tcPr>
            <w:tcW w:w="200" w:type="dxa"/>
            <w:vAlign w:val="bottom"/>
          </w:tcPr>
          <w:p>
            <w:pPr>
              <w:spacing w:after="0"/>
              <w:rPr>
                <w:sz w:val="15"/>
                <w:szCs w:val="15"/>
                <w:color w:val="auto"/>
              </w:rPr>
            </w:pPr>
          </w:p>
        </w:tc>
        <w:tc>
          <w:tcPr>
            <w:tcW w:w="7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7,334</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92</w:t>
            </w: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center"/>
              <w:ind w:right="101"/>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5"/>
                <w:szCs w:val="15"/>
                <w:color w:val="auto"/>
              </w:rPr>
            </w:pPr>
          </w:p>
        </w:tc>
        <w:tc>
          <w:tcPr>
            <w:tcW w:w="9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1,478(5)</w:t>
            </w:r>
          </w:p>
        </w:tc>
        <w:tc>
          <w:tcPr>
            <w:tcW w:w="420" w:type="dxa"/>
            <w:vAlign w:val="bottom"/>
          </w:tcPr>
          <w:p>
            <w:pPr>
              <w:spacing w:after="0"/>
              <w:rPr>
                <w:sz w:val="15"/>
                <w:szCs w:val="15"/>
                <w:color w:val="auto"/>
              </w:rPr>
            </w:pP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8,904</w:t>
            </w:r>
          </w:p>
        </w:tc>
      </w:tr>
      <w:tr>
        <w:trPr>
          <w:trHeight w:val="183"/>
        </w:trPr>
        <w:tc>
          <w:tcPr>
            <w:tcW w:w="3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Non-recurring charges..........</w:t>
            </w:r>
          </w:p>
        </w:tc>
        <w:tc>
          <w:tcPr>
            <w:tcW w:w="200" w:type="dxa"/>
            <w:vAlign w:val="bottom"/>
          </w:tcPr>
          <w:p>
            <w:pPr>
              <w:spacing w:after="0"/>
              <w:rPr>
                <w:sz w:val="15"/>
                <w:szCs w:val="15"/>
                <w:color w:val="auto"/>
              </w:rPr>
            </w:pPr>
          </w:p>
        </w:tc>
        <w:tc>
          <w:tcPr>
            <w:tcW w:w="72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center"/>
              <w:ind w:right="101"/>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5"/>
                <w:szCs w:val="15"/>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5,251</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(2,661)(6)</w:t>
            </w:r>
          </w:p>
        </w:tc>
        <w:tc>
          <w:tcPr>
            <w:tcW w:w="420" w:type="dxa"/>
            <w:vAlign w:val="bottom"/>
          </w:tcPr>
          <w:p>
            <w:pPr>
              <w:spacing w:after="0"/>
              <w:rPr>
                <w:sz w:val="15"/>
                <w:szCs w:val="15"/>
                <w:color w:val="auto"/>
              </w:rPr>
            </w:pP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2,590</w:t>
            </w:r>
          </w:p>
        </w:tc>
      </w:tr>
      <w:tr>
        <w:trPr>
          <w:trHeight w:val="183"/>
        </w:trPr>
        <w:tc>
          <w:tcPr>
            <w:tcW w:w="3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Management fees................</w:t>
            </w:r>
          </w:p>
        </w:tc>
        <w:tc>
          <w:tcPr>
            <w:tcW w:w="200" w:type="dxa"/>
            <w:vAlign w:val="bottom"/>
          </w:tcPr>
          <w:p>
            <w:pPr>
              <w:spacing w:after="0"/>
              <w:rPr>
                <w:sz w:val="15"/>
                <w:szCs w:val="15"/>
                <w:color w:val="auto"/>
              </w:rPr>
            </w:pPr>
          </w:p>
        </w:tc>
        <w:tc>
          <w:tcPr>
            <w:tcW w:w="7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2,446</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1,299</w:t>
            </w: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center"/>
              <w:ind w:right="101"/>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5"/>
                <w:szCs w:val="15"/>
                <w:color w:val="auto"/>
              </w:rPr>
            </w:pPr>
          </w:p>
        </w:tc>
        <w:tc>
          <w:tcPr>
            <w:tcW w:w="9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(3,745)(7)</w:t>
            </w:r>
          </w:p>
        </w:tc>
        <w:tc>
          <w:tcPr>
            <w:tcW w:w="420" w:type="dxa"/>
            <w:vAlign w:val="bottom"/>
          </w:tcPr>
          <w:p>
            <w:pPr>
              <w:spacing w:after="0"/>
              <w:rPr>
                <w:sz w:val="15"/>
                <w:szCs w:val="15"/>
                <w:color w:val="auto"/>
              </w:rPr>
            </w:pPr>
          </w:p>
        </w:tc>
        <w:tc>
          <w:tcPr>
            <w:tcW w:w="860" w:type="dxa"/>
            <w:vAlign w:val="bottom"/>
          </w:tcPr>
          <w:p>
            <w:pPr>
              <w:spacing w:after="0"/>
              <w:rPr>
                <w:sz w:val="20"/>
                <w:szCs w:val="20"/>
                <w:color w:val="auto"/>
              </w:rPr>
            </w:pPr>
            <w:r>
              <w:rPr>
                <w:rFonts w:ascii="Courier New" w:cs="Courier New" w:eastAsia="Courier New" w:hAnsi="Courier New"/>
                <w:sz w:val="16"/>
                <w:szCs w:val="16"/>
                <w:color w:val="auto"/>
              </w:rPr>
              <w:t>--</w:t>
            </w:r>
          </w:p>
        </w:tc>
      </w:tr>
      <w:tr>
        <w:trPr>
          <w:trHeight w:val="183"/>
        </w:trPr>
        <w:tc>
          <w:tcPr>
            <w:tcW w:w="3140" w:type="dxa"/>
            <w:vAlign w:val="bottom"/>
          </w:tcPr>
          <w:p>
            <w:pPr>
              <w:spacing w:after="0"/>
              <w:rPr>
                <w:sz w:val="15"/>
                <w:szCs w:val="15"/>
                <w:color w:val="auto"/>
              </w:rPr>
            </w:pPr>
          </w:p>
        </w:tc>
        <w:tc>
          <w:tcPr>
            <w:tcW w:w="92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w w:val="97"/>
              </w:rPr>
              <w:t>---------</w:t>
            </w:r>
          </w:p>
        </w:tc>
        <w:tc>
          <w:tcPr>
            <w:tcW w:w="1380" w:type="dxa"/>
            <w:vAlign w:val="bottom"/>
          </w:tcPr>
          <w:p>
            <w:pPr>
              <w:jc w:val="center"/>
              <w:ind w:right="61"/>
              <w:spacing w:after="0"/>
              <w:rPr>
                <w:sz w:val="20"/>
                <w:szCs w:val="20"/>
                <w:color w:val="auto"/>
              </w:rPr>
            </w:pPr>
            <w:r>
              <w:rPr>
                <w:rFonts w:ascii="Courier New" w:cs="Courier New" w:eastAsia="Courier New" w:hAnsi="Courier New"/>
                <w:sz w:val="16"/>
                <w:szCs w:val="16"/>
                <w:color w:val="auto"/>
                <w:w w:val="98"/>
              </w:rPr>
              <w:t>-----------</w:t>
            </w:r>
          </w:p>
        </w:tc>
        <w:tc>
          <w:tcPr>
            <w:tcW w:w="12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w:t>
            </w:r>
          </w:p>
        </w:tc>
      </w:tr>
      <w:tr>
        <w:trPr>
          <w:trHeight w:val="183"/>
        </w:trPr>
        <w:tc>
          <w:tcPr>
            <w:tcW w:w="3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Total expenses...............</w:t>
            </w:r>
          </w:p>
        </w:tc>
        <w:tc>
          <w:tcPr>
            <w:tcW w:w="200" w:type="dxa"/>
            <w:vAlign w:val="bottom"/>
          </w:tcPr>
          <w:p>
            <w:pPr>
              <w:spacing w:after="0"/>
              <w:rPr>
                <w:sz w:val="15"/>
                <w:szCs w:val="15"/>
                <w:color w:val="auto"/>
              </w:rPr>
            </w:pPr>
          </w:p>
        </w:tc>
        <w:tc>
          <w:tcPr>
            <w:tcW w:w="720" w:type="dxa"/>
            <w:vAlign w:val="bottom"/>
          </w:tcPr>
          <w:p>
            <w:pPr>
              <w:jc w:val="right"/>
              <w:ind w:right="81"/>
              <w:spacing w:after="0"/>
              <w:rPr>
                <w:sz w:val="20"/>
                <w:szCs w:val="20"/>
                <w:color w:val="auto"/>
              </w:rPr>
            </w:pPr>
            <w:r>
              <w:rPr>
                <w:rFonts w:ascii="Courier New" w:cs="Courier New" w:eastAsia="Courier New" w:hAnsi="Courier New"/>
                <w:sz w:val="16"/>
                <w:szCs w:val="16"/>
                <w:color w:val="auto"/>
                <w:w w:val="93"/>
              </w:rPr>
              <w:t>82,716</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42,233</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(19,909)</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(12,719)</w:t>
            </w:r>
          </w:p>
        </w:tc>
        <w:tc>
          <w:tcPr>
            <w:tcW w:w="10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(19,334)</w:t>
            </w:r>
          </w:p>
        </w:tc>
        <w:tc>
          <w:tcPr>
            <w:tcW w:w="13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1,194</w:t>
            </w:r>
          </w:p>
        </w:tc>
        <w:tc>
          <w:tcPr>
            <w:tcW w:w="420" w:type="dxa"/>
            <w:vAlign w:val="bottom"/>
          </w:tcPr>
          <w:p>
            <w:pPr>
              <w:spacing w:after="0"/>
              <w:rPr>
                <w:sz w:val="15"/>
                <w:szCs w:val="15"/>
                <w:color w:val="auto"/>
              </w:rPr>
            </w:pP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7"/>
              </w:rPr>
              <w:t>74,181</w:t>
            </w:r>
          </w:p>
        </w:tc>
      </w:tr>
      <w:tr>
        <w:trPr>
          <w:trHeight w:val="183"/>
        </w:trPr>
        <w:tc>
          <w:tcPr>
            <w:tcW w:w="3140" w:type="dxa"/>
            <w:vAlign w:val="bottom"/>
          </w:tcPr>
          <w:p>
            <w:pPr>
              <w:spacing w:after="0"/>
              <w:rPr>
                <w:sz w:val="15"/>
                <w:szCs w:val="15"/>
                <w:color w:val="auto"/>
              </w:rPr>
            </w:pPr>
          </w:p>
        </w:tc>
        <w:tc>
          <w:tcPr>
            <w:tcW w:w="92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w w:val="97"/>
              </w:rPr>
              <w:t>---------</w:t>
            </w:r>
          </w:p>
        </w:tc>
        <w:tc>
          <w:tcPr>
            <w:tcW w:w="1380" w:type="dxa"/>
            <w:vAlign w:val="bottom"/>
          </w:tcPr>
          <w:p>
            <w:pPr>
              <w:jc w:val="center"/>
              <w:ind w:right="61"/>
              <w:spacing w:after="0"/>
              <w:rPr>
                <w:sz w:val="20"/>
                <w:szCs w:val="20"/>
                <w:color w:val="auto"/>
              </w:rPr>
            </w:pPr>
            <w:r>
              <w:rPr>
                <w:rFonts w:ascii="Courier New" w:cs="Courier New" w:eastAsia="Courier New" w:hAnsi="Courier New"/>
                <w:sz w:val="16"/>
                <w:szCs w:val="16"/>
                <w:color w:val="auto"/>
                <w:w w:val="98"/>
              </w:rPr>
              <w:t>-----------</w:t>
            </w:r>
          </w:p>
        </w:tc>
        <w:tc>
          <w:tcPr>
            <w:tcW w:w="12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w:t>
            </w:r>
          </w:p>
        </w:tc>
      </w:tr>
      <w:tr>
        <w:trPr>
          <w:trHeight w:val="183"/>
        </w:trPr>
        <w:tc>
          <w:tcPr>
            <w:tcW w:w="3140" w:type="dxa"/>
            <w:vAlign w:val="bottom"/>
          </w:tcPr>
          <w:p>
            <w:pPr>
              <w:spacing w:after="0"/>
              <w:rPr>
                <w:sz w:val="20"/>
                <w:szCs w:val="20"/>
                <w:color w:val="auto"/>
              </w:rPr>
            </w:pPr>
            <w:r>
              <w:rPr>
                <w:rFonts w:ascii="Courier New" w:cs="Courier New" w:eastAsia="Courier New" w:hAnsi="Courier New"/>
                <w:sz w:val="16"/>
                <w:szCs w:val="16"/>
                <w:color w:val="auto"/>
              </w:rPr>
              <w:t>Income (loss) before income</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3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taxes.........................</w:t>
            </w:r>
          </w:p>
        </w:tc>
        <w:tc>
          <w:tcPr>
            <w:tcW w:w="200" w:type="dxa"/>
            <w:vAlign w:val="bottom"/>
          </w:tcPr>
          <w:p>
            <w:pPr>
              <w:spacing w:after="0"/>
              <w:rPr>
                <w:sz w:val="15"/>
                <w:szCs w:val="15"/>
                <w:color w:val="auto"/>
              </w:rPr>
            </w:pPr>
          </w:p>
        </w:tc>
        <w:tc>
          <w:tcPr>
            <w:tcW w:w="7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3,417</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2,000</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3,877</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2,196</w:t>
            </w:r>
          </w:p>
        </w:tc>
        <w:tc>
          <w:tcPr>
            <w:tcW w:w="10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(4,331)</w:t>
            </w:r>
          </w:p>
        </w:tc>
        <w:tc>
          <w:tcPr>
            <w:tcW w:w="13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(6,029)</w:t>
            </w:r>
          </w:p>
        </w:tc>
        <w:tc>
          <w:tcPr>
            <w:tcW w:w="420" w:type="dxa"/>
            <w:vAlign w:val="bottom"/>
          </w:tcPr>
          <w:p>
            <w:pPr>
              <w:spacing w:after="0"/>
              <w:rPr>
                <w:sz w:val="15"/>
                <w:szCs w:val="15"/>
                <w:color w:val="auto"/>
              </w:rPr>
            </w:pP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1,130</w:t>
            </w:r>
          </w:p>
        </w:tc>
      </w:tr>
      <w:tr>
        <w:trPr>
          <w:trHeight w:val="183"/>
        </w:trPr>
        <w:tc>
          <w:tcPr>
            <w:tcW w:w="3140" w:type="dxa"/>
            <w:vAlign w:val="bottom"/>
          </w:tcPr>
          <w:p>
            <w:pPr>
              <w:spacing w:after="0"/>
              <w:rPr>
                <w:sz w:val="20"/>
                <w:szCs w:val="20"/>
                <w:color w:val="auto"/>
              </w:rPr>
            </w:pPr>
            <w:r>
              <w:rPr>
                <w:rFonts w:ascii="Courier New" w:cs="Courier New" w:eastAsia="Courier New" w:hAnsi="Courier New"/>
                <w:sz w:val="16"/>
                <w:szCs w:val="16"/>
                <w:color w:val="auto"/>
              </w:rPr>
              <w:t>Provision (benefit) for income</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3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taxes.........................</w:t>
            </w:r>
          </w:p>
        </w:tc>
        <w:tc>
          <w:tcPr>
            <w:tcW w:w="200" w:type="dxa"/>
            <w:vAlign w:val="bottom"/>
          </w:tcPr>
          <w:p>
            <w:pPr>
              <w:spacing w:after="0"/>
              <w:rPr>
                <w:sz w:val="15"/>
                <w:szCs w:val="15"/>
                <w:color w:val="auto"/>
              </w:rPr>
            </w:pPr>
          </w:p>
        </w:tc>
        <w:tc>
          <w:tcPr>
            <w:tcW w:w="72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822</w:t>
            </w: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center"/>
              <w:ind w:right="101"/>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5"/>
                <w:szCs w:val="15"/>
                <w:color w:val="auto"/>
              </w:rPr>
            </w:pPr>
          </w:p>
        </w:tc>
        <w:tc>
          <w:tcPr>
            <w:tcW w:w="9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741"/>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822</w:t>
            </w:r>
          </w:p>
        </w:tc>
      </w:tr>
      <w:tr>
        <w:trPr>
          <w:trHeight w:val="183"/>
        </w:trPr>
        <w:tc>
          <w:tcPr>
            <w:tcW w:w="3140" w:type="dxa"/>
            <w:vAlign w:val="bottom"/>
          </w:tcPr>
          <w:p>
            <w:pPr>
              <w:spacing w:after="0"/>
              <w:rPr>
                <w:sz w:val="15"/>
                <w:szCs w:val="15"/>
                <w:color w:val="auto"/>
              </w:rPr>
            </w:pPr>
          </w:p>
        </w:tc>
        <w:tc>
          <w:tcPr>
            <w:tcW w:w="92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w w:val="97"/>
              </w:rPr>
              <w:t>---------</w:t>
            </w:r>
          </w:p>
        </w:tc>
        <w:tc>
          <w:tcPr>
            <w:tcW w:w="1380" w:type="dxa"/>
            <w:vAlign w:val="bottom"/>
          </w:tcPr>
          <w:p>
            <w:pPr>
              <w:jc w:val="center"/>
              <w:ind w:right="61"/>
              <w:spacing w:after="0"/>
              <w:rPr>
                <w:sz w:val="20"/>
                <w:szCs w:val="20"/>
                <w:color w:val="auto"/>
              </w:rPr>
            </w:pPr>
            <w:r>
              <w:rPr>
                <w:rFonts w:ascii="Courier New" w:cs="Courier New" w:eastAsia="Courier New" w:hAnsi="Courier New"/>
                <w:sz w:val="16"/>
                <w:szCs w:val="16"/>
                <w:color w:val="auto"/>
                <w:w w:val="98"/>
              </w:rPr>
              <w:t>-----------</w:t>
            </w:r>
          </w:p>
        </w:tc>
        <w:tc>
          <w:tcPr>
            <w:tcW w:w="12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w:t>
            </w:r>
          </w:p>
        </w:tc>
      </w:tr>
      <w:tr>
        <w:trPr>
          <w:trHeight w:val="183"/>
        </w:trPr>
        <w:tc>
          <w:tcPr>
            <w:tcW w:w="31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Net income (loss)...............</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7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3,417</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$ 1,178</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  3,877</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2,196</w:t>
            </w:r>
          </w:p>
        </w:tc>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(4,331)</w:t>
            </w:r>
          </w:p>
        </w:tc>
        <w:tc>
          <w:tcPr>
            <w:tcW w:w="13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$(6,029)</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308</w:t>
            </w:r>
          </w:p>
        </w:tc>
      </w:tr>
      <w:tr>
        <w:trPr>
          <w:trHeight w:val="183"/>
        </w:trPr>
        <w:tc>
          <w:tcPr>
            <w:tcW w:w="3140" w:type="dxa"/>
            <w:vAlign w:val="bottom"/>
          </w:tcPr>
          <w:p>
            <w:pPr>
              <w:spacing w:after="0"/>
              <w:rPr>
                <w:sz w:val="15"/>
                <w:szCs w:val="15"/>
                <w:color w:val="auto"/>
              </w:rPr>
            </w:pPr>
          </w:p>
        </w:tc>
        <w:tc>
          <w:tcPr>
            <w:tcW w:w="92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w w:val="97"/>
              </w:rPr>
              <w:t>---------</w:t>
            </w:r>
          </w:p>
        </w:tc>
        <w:tc>
          <w:tcPr>
            <w:tcW w:w="1380" w:type="dxa"/>
            <w:vAlign w:val="bottom"/>
          </w:tcPr>
          <w:p>
            <w:pPr>
              <w:jc w:val="center"/>
              <w:ind w:right="61"/>
              <w:spacing w:after="0"/>
              <w:rPr>
                <w:sz w:val="20"/>
                <w:szCs w:val="20"/>
                <w:color w:val="auto"/>
              </w:rPr>
            </w:pPr>
            <w:r>
              <w:rPr>
                <w:rFonts w:ascii="Courier New" w:cs="Courier New" w:eastAsia="Courier New" w:hAnsi="Courier New"/>
                <w:sz w:val="16"/>
                <w:szCs w:val="16"/>
                <w:color w:val="auto"/>
                <w:w w:val="98"/>
              </w:rPr>
              <w:t>-----------</w:t>
            </w:r>
          </w:p>
        </w:tc>
        <w:tc>
          <w:tcPr>
            <w:tcW w:w="12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w:t>
            </w:r>
          </w:p>
        </w:tc>
      </w:tr>
      <w:tr>
        <w:trPr>
          <w:trHeight w:val="183"/>
        </w:trPr>
        <w:tc>
          <w:tcPr>
            <w:tcW w:w="3140" w:type="dxa"/>
            <w:vAlign w:val="bottom"/>
          </w:tcPr>
          <w:p>
            <w:pPr>
              <w:spacing w:after="0"/>
              <w:rPr>
                <w:sz w:val="15"/>
                <w:szCs w:val="15"/>
                <w:color w:val="auto"/>
              </w:rPr>
            </w:pPr>
          </w:p>
        </w:tc>
        <w:tc>
          <w:tcPr>
            <w:tcW w:w="92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w w:val="97"/>
              </w:rPr>
              <w:t>---------</w:t>
            </w:r>
          </w:p>
        </w:tc>
        <w:tc>
          <w:tcPr>
            <w:tcW w:w="1380" w:type="dxa"/>
            <w:vAlign w:val="bottom"/>
          </w:tcPr>
          <w:p>
            <w:pPr>
              <w:jc w:val="center"/>
              <w:ind w:right="61"/>
              <w:spacing w:after="0"/>
              <w:rPr>
                <w:sz w:val="20"/>
                <w:szCs w:val="20"/>
                <w:color w:val="auto"/>
              </w:rPr>
            </w:pPr>
            <w:r>
              <w:rPr>
                <w:rFonts w:ascii="Courier New" w:cs="Courier New" w:eastAsia="Courier New" w:hAnsi="Courier New"/>
                <w:sz w:val="16"/>
                <w:szCs w:val="16"/>
                <w:color w:val="auto"/>
                <w:w w:val="98"/>
              </w:rPr>
              <w:t>-----------</w:t>
            </w:r>
          </w:p>
        </w:tc>
        <w:tc>
          <w:tcPr>
            <w:tcW w:w="12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w:t>
            </w:r>
          </w:p>
        </w:tc>
      </w:tr>
    </w:tbl>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352" w:lineRule="exact"/>
        <w:rPr>
          <w:sz w:val="20"/>
          <w:szCs w:val="20"/>
          <w:color w:val="auto"/>
        </w:rPr>
      </w:pPr>
    </w:p>
    <w:p>
      <w:pPr>
        <w:ind w:left="8000"/>
        <w:spacing w:after="0"/>
        <w:rPr>
          <w:sz w:val="20"/>
          <w:szCs w:val="20"/>
          <w:color w:val="auto"/>
        </w:rPr>
      </w:pPr>
      <w:r>
        <w:rPr>
          <w:rFonts w:ascii="Courier New" w:cs="Courier New" w:eastAsia="Courier New" w:hAnsi="Courier New"/>
          <w:sz w:val="16"/>
          <w:szCs w:val="16"/>
          <w:color w:val="auto"/>
        </w:rPr>
        <w:t>YEAR ENDED</w:t>
      </w:r>
    </w:p>
    <w:p>
      <w:pPr>
        <w:spacing w:after="0" w:line="2" w:lineRule="exact"/>
        <w:rPr>
          <w:sz w:val="20"/>
          <w:szCs w:val="20"/>
          <w:color w:val="auto"/>
        </w:rPr>
      </w:pPr>
    </w:p>
    <w:p>
      <w:pPr>
        <w:ind w:left="7720"/>
        <w:spacing w:after="0"/>
        <w:rPr>
          <w:sz w:val="20"/>
          <w:szCs w:val="20"/>
          <w:color w:val="auto"/>
        </w:rPr>
      </w:pPr>
      <w:r>
        <w:rPr>
          <w:rFonts w:ascii="Courier New" w:cs="Courier New" w:eastAsia="Courier New" w:hAnsi="Courier New"/>
          <w:sz w:val="16"/>
          <w:szCs w:val="16"/>
          <w:color w:val="auto"/>
        </w:rPr>
        <w:t>DECEMBER 31, 1995</w:t>
      </w:r>
    </w:p>
    <w:p>
      <w:pPr>
        <w:spacing w:after="0" w:line="2" w:lineRule="exact"/>
        <w:rPr>
          <w:sz w:val="20"/>
          <w:szCs w:val="20"/>
          <w:color w:val="auto"/>
        </w:rPr>
      </w:pPr>
    </w:p>
    <w:p>
      <w:pPr>
        <w:ind w:left="772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960"/>
          </w:cols>
          <w:pgMar w:left="240" w:top="484" w:right="699" w:bottom="0" w:gutter="0" w:footer="0" w:header="0"/>
        </w:sectPr>
      </w:pPr>
    </w:p>
    <w:p>
      <w:pPr>
        <w:spacing w:after="0" w:line="186" w:lineRule="exact"/>
        <w:rPr>
          <w:sz w:val="20"/>
          <w:szCs w:val="20"/>
          <w:color w:val="auto"/>
        </w:rPr>
      </w:pPr>
    </w:p>
    <w:p>
      <w:pPr>
        <w:spacing w:after="0"/>
        <w:tabs>
          <w:tab w:leader="none" w:pos="560" w:val="left"/>
        </w:tabs>
        <w:rPr>
          <w:sz w:val="20"/>
          <w:szCs w:val="20"/>
          <w:color w:val="auto"/>
        </w:rPr>
      </w:pPr>
      <w:r>
        <w:rPr>
          <w:rFonts w:ascii="Courier New" w:cs="Courier New" w:eastAsia="Courier New" w:hAnsi="Courier New"/>
          <w:sz w:val="16"/>
          <w:szCs w:val="16"/>
          <w:color w:val="auto"/>
        </w:rPr>
        <w:t>(1)</w:t>
      </w:r>
      <w:r>
        <w:rPr>
          <w:sz w:val="20"/>
          <w:szCs w:val="20"/>
          <w:color w:val="auto"/>
        </w:rPr>
        <w:tab/>
      </w:r>
      <w:r>
        <w:rPr>
          <w:rFonts w:ascii="Courier New" w:cs="Courier New" w:eastAsia="Courier New" w:hAnsi="Courier New"/>
          <w:sz w:val="16"/>
          <w:szCs w:val="16"/>
          <w:color w:val="auto"/>
        </w:rPr>
        <w:t>Adjustments to Net Revenues--</w:t>
      </w:r>
    </w:p>
    <w:p>
      <w:pPr>
        <w:spacing w:after="0" w:line="5" w:lineRule="exact"/>
        <w:rPr>
          <w:sz w:val="20"/>
          <w:szCs w:val="20"/>
          <w:color w:val="auto"/>
        </w:rPr>
      </w:pPr>
    </w:p>
    <w:p>
      <w:pPr>
        <w:ind w:left="580"/>
        <w:spacing w:after="0"/>
        <w:rPr>
          <w:sz w:val="20"/>
          <w:szCs w:val="20"/>
          <w:color w:val="auto"/>
        </w:rPr>
      </w:pPr>
      <w:r>
        <w:rPr>
          <w:rFonts w:ascii="Courier New" w:cs="Courier New" w:eastAsia="Courier New" w:hAnsi="Courier New"/>
          <w:sz w:val="15"/>
          <w:szCs w:val="15"/>
          <w:color w:val="auto"/>
        </w:rPr>
        <w:t>. To eliminate nonoperating income at Manatee...........................</w:t>
      </w:r>
    </w:p>
    <w:p>
      <w:pPr>
        <w:spacing w:after="0" w:line="13" w:lineRule="exact"/>
        <w:rPr>
          <w:sz w:val="20"/>
          <w:szCs w:val="20"/>
          <w:color w:val="auto"/>
        </w:rPr>
      </w:pPr>
    </w:p>
    <w:p>
      <w:pPr>
        <w:ind w:left="580"/>
        <w:spacing w:after="0"/>
        <w:rPr>
          <w:sz w:val="20"/>
          <w:szCs w:val="20"/>
          <w:color w:val="auto"/>
        </w:rPr>
      </w:pPr>
      <w:r>
        <w:rPr>
          <w:rFonts w:ascii="Courier New" w:cs="Courier New" w:eastAsia="Courier New" w:hAnsi="Courier New"/>
          <w:sz w:val="15"/>
          <w:szCs w:val="15"/>
          <w:color w:val="auto"/>
        </w:rPr>
        <w:t>. To eliminate management fees charged by UHS to Manatee................</w:t>
      </w:r>
    </w:p>
    <w:p>
      <w:pPr>
        <w:spacing w:after="0" w:line="197" w:lineRule="exact"/>
        <w:rPr>
          <w:sz w:val="20"/>
          <w:szCs w:val="20"/>
          <w:color w:val="auto"/>
        </w:rPr>
      </w:pPr>
    </w:p>
    <w:p>
      <w:pPr>
        <w:ind w:left="580"/>
        <w:spacing w:after="0"/>
        <w:rPr>
          <w:sz w:val="20"/>
          <w:szCs w:val="20"/>
          <w:color w:val="auto"/>
        </w:rPr>
      </w:pPr>
      <w:r>
        <w:rPr>
          <w:rFonts w:ascii="Courier New" w:cs="Courier New" w:eastAsia="Courier New" w:hAnsi="Courier New"/>
          <w:sz w:val="15"/>
          <w:szCs w:val="15"/>
          <w:color w:val="auto"/>
        </w:rPr>
        <w:t>Total adjustments to Net Revenues.......................................</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($3,335)</w:t>
      </w:r>
    </w:p>
    <w:p>
      <w:pPr>
        <w:spacing w:after="0" w:line="1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(1,500)</w:t>
      </w:r>
    </w:p>
    <w:p>
      <w:pPr>
        <w:spacing w:after="0" w:line="1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(4,835)</w:t>
      </w:r>
    </w:p>
    <w:p>
      <w:pPr>
        <w:spacing w:after="0" w:line="1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ectPr>
          <w:pgSz w:w="11900" w:h="16838" w:orient="portrait"/>
          <w:cols w:equalWidth="0" w:num="2">
            <w:col w:w="7480" w:space="720"/>
            <w:col w:w="2760"/>
          </w:cols>
          <w:pgMar w:left="240" w:top="484" w:right="699" w:bottom="0" w:gutter="0" w:footer="0" w:header="0"/>
          <w:type w:val="continuous"/>
        </w:sectPr>
      </w:pPr>
    </w:p>
    <w:p>
      <w:pPr>
        <w:ind w:left="580" w:right="140" w:hanging="579"/>
        <w:spacing w:after="0" w:line="271" w:lineRule="auto"/>
        <w:tabs>
          <w:tab w:leader="none" w:pos="560" w:val="left"/>
        </w:tabs>
        <w:rPr>
          <w:sz w:val="20"/>
          <w:szCs w:val="20"/>
          <w:color w:val="auto"/>
        </w:rPr>
      </w:pPr>
      <w:r>
        <w:rPr>
          <w:rFonts w:ascii="Courier New" w:cs="Courier New" w:eastAsia="Courier New" w:hAnsi="Courier New"/>
          <w:sz w:val="15"/>
          <w:szCs w:val="15"/>
          <w:color w:val="auto"/>
        </w:rPr>
        <w:t>(2)</w:t>
      </w:r>
      <w:r>
        <w:rPr>
          <w:sz w:val="20"/>
          <w:szCs w:val="20"/>
          <w:color w:val="auto"/>
        </w:rPr>
        <w:tab/>
      </w:r>
      <w:r>
        <w:rPr>
          <w:rFonts w:ascii="Courier New" w:cs="Courier New" w:eastAsia="Courier New" w:hAnsi="Courier New"/>
          <w:sz w:val="15"/>
          <w:szCs w:val="15"/>
          <w:color w:val="auto"/>
        </w:rPr>
        <w:t>To adjust operating expenses at Manatee for state and local taxes and other operating expenses................................................</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667</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sectPr>
          <w:pgSz w:w="11900" w:h="16838" w:orient="portrait"/>
          <w:cols w:equalWidth="0" w:num="2">
            <w:col w:w="7580" w:space="720"/>
            <w:col w:w="2660"/>
          </w:cols>
          <w:pgMar w:left="240" w:top="484" w:right="699" w:bottom="0" w:gutter="0" w:footer="0" w:header="0"/>
          <w:type w:val="continuous"/>
        </w:sectPr>
      </w:pPr>
    </w:p>
    <w:p>
      <w:pPr>
        <w:spacing w:after="0"/>
        <w:tabs>
          <w:tab w:leader="none" w:pos="560" w:val="left"/>
        </w:tabs>
        <w:rPr>
          <w:sz w:val="20"/>
          <w:szCs w:val="20"/>
          <w:color w:val="auto"/>
        </w:rPr>
      </w:pPr>
      <w:r>
        <w:rPr>
          <w:rFonts w:ascii="Courier New" w:cs="Courier New" w:eastAsia="Courier New" w:hAnsi="Courier New"/>
          <w:sz w:val="15"/>
          <w:szCs w:val="15"/>
          <w:color w:val="auto"/>
        </w:rPr>
        <w:t>(3)</w:t>
      </w:r>
      <w:r>
        <w:rPr>
          <w:sz w:val="20"/>
          <w:szCs w:val="20"/>
          <w:color w:val="auto"/>
        </w:rPr>
        <w:tab/>
      </w:r>
      <w:r>
        <w:rPr>
          <w:rFonts w:ascii="Courier New" w:cs="Courier New" w:eastAsia="Courier New" w:hAnsi="Courier New"/>
          <w:sz w:val="15"/>
          <w:szCs w:val="15"/>
          <w:color w:val="auto"/>
        </w:rPr>
        <w:t>Adjustments to Depreciation and amortization--</w:t>
      </w:r>
    </w:p>
    <w:p>
      <w:pPr>
        <w:sectPr>
          <w:pgSz w:w="11900" w:h="16838" w:orient="portrait"/>
          <w:cols w:equalWidth="0" w:num="1">
            <w:col w:w="10960"/>
          </w:cols>
          <w:pgMar w:left="240" w:top="484" w:right="699" w:bottom="0" w:gutter="0" w:footer="0" w:header="0"/>
          <w:type w:val="continuous"/>
        </w:sectPr>
      </w:pPr>
    </w:p>
    <w:p>
      <w:pPr>
        <w:spacing w:after="0" w:line="13" w:lineRule="exact"/>
        <w:rPr>
          <w:sz w:val="20"/>
          <w:szCs w:val="20"/>
          <w:color w:val="auto"/>
        </w:rPr>
      </w:pPr>
    </w:p>
    <w:p>
      <w:pPr>
        <w:ind w:left="580"/>
        <w:spacing w:after="0"/>
        <w:rPr>
          <w:sz w:val="20"/>
          <w:szCs w:val="20"/>
          <w:color w:val="auto"/>
        </w:rPr>
      </w:pPr>
      <w:r>
        <w:rPr>
          <w:rFonts w:ascii="Courier New" w:cs="Courier New" w:eastAsia="Courier New" w:hAnsi="Courier New"/>
          <w:sz w:val="15"/>
          <w:szCs w:val="15"/>
          <w:color w:val="auto"/>
        </w:rPr>
        <w:t>. To eliminate historical depreciation expense at Manatee and Aiken.....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(5,887)</w:t>
      </w:r>
    </w:p>
    <w:p>
      <w:pPr>
        <w:spacing w:after="0" w:line="13" w:lineRule="exact"/>
        <w:rPr>
          <w:sz w:val="20"/>
          <w:szCs w:val="20"/>
          <w:color w:val="auto"/>
        </w:rPr>
      </w:pPr>
    </w:p>
    <w:p>
      <w:pPr>
        <w:sectPr>
          <w:pgSz w:w="11900" w:h="16838" w:orient="portrait"/>
          <w:cols w:equalWidth="0" w:num="2">
            <w:col w:w="7580" w:space="720"/>
            <w:col w:w="2660"/>
          </w:cols>
          <w:pgMar w:left="240" w:top="484" w:right="699" w:bottom="0" w:gutter="0" w:footer="0" w:header="0"/>
          <w:type w:val="continuous"/>
        </w:sectPr>
      </w:pPr>
    </w:p>
    <w:p>
      <w:pPr>
        <w:ind w:left="760" w:right="3420" w:hanging="190"/>
        <w:spacing w:after="0"/>
        <w:tabs>
          <w:tab w:leader="none" w:pos="7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record historical depreciation and amortization expense based on average depreciable lives of 20 years for buildings and improvements, 5 years for equipment and 15 years for the amortization of goodwill at</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8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Manatee and Aiken.....................................................</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10,574</w:t>
            </w:r>
          </w:p>
        </w:tc>
      </w:tr>
      <w:tr>
        <w:trPr>
          <w:trHeight w:val="183"/>
        </w:trPr>
        <w:tc>
          <w:tcPr>
            <w:tcW w:w="7860" w:type="dxa"/>
            <w:vAlign w:val="bottom"/>
          </w:tcPr>
          <w:p>
            <w:pPr>
              <w:jc w:val="right"/>
              <w:ind w:right="1101"/>
              <w:spacing w:after="0"/>
              <w:rPr>
                <w:sz w:val="20"/>
                <w:szCs w:val="20"/>
                <w:color w:val="auto"/>
              </w:rPr>
            </w:pPr>
            <w:r>
              <w:rPr>
                <w:rFonts w:ascii="Courier New" w:cs="Courier New" w:eastAsia="Courier New" w:hAnsi="Courier New"/>
                <w:sz w:val="16"/>
                <w:szCs w:val="16"/>
                <w:color w:val="auto"/>
              </w:rPr>
              <w:t>. To adjust historical depreciation expense on the real property</w:t>
            </w:r>
          </w:p>
        </w:tc>
        <w:tc>
          <w:tcPr>
            <w:tcW w:w="1100" w:type="dxa"/>
            <w:vAlign w:val="bottom"/>
          </w:tcPr>
          <w:p>
            <w:pPr>
              <w:spacing w:after="0"/>
              <w:rPr>
                <w:sz w:val="15"/>
                <w:szCs w:val="15"/>
                <w:color w:val="auto"/>
              </w:rPr>
            </w:pPr>
          </w:p>
        </w:tc>
      </w:tr>
      <w:tr>
        <w:trPr>
          <w:trHeight w:val="183"/>
        </w:trPr>
        <w:tc>
          <w:tcPr>
            <w:tcW w:w="78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transferred to UHT as part of the Aiken transaction...................</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(425)</w:t>
            </w:r>
          </w:p>
        </w:tc>
      </w:tr>
      <w:tr>
        <w:trPr>
          <w:trHeight w:val="183"/>
        </w:trPr>
        <w:tc>
          <w:tcPr>
            <w:tcW w:w="7860" w:type="dxa"/>
            <w:vAlign w:val="bottom"/>
          </w:tcPr>
          <w:p>
            <w:pPr>
              <w:spacing w:after="0"/>
              <w:rPr>
                <w:sz w:val="15"/>
                <w:szCs w:val="15"/>
                <w:color w:val="auto"/>
              </w:rPr>
            </w:pP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78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Total adjustments to Depreciation and amortization......................</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4,262</w:t>
            </w:r>
          </w:p>
        </w:tc>
      </w:tr>
      <w:tr>
        <w:trPr>
          <w:trHeight w:val="183"/>
        </w:trPr>
        <w:tc>
          <w:tcPr>
            <w:tcW w:w="7860" w:type="dxa"/>
            <w:vAlign w:val="bottom"/>
          </w:tcPr>
          <w:p>
            <w:pPr>
              <w:spacing w:after="0"/>
              <w:rPr>
                <w:sz w:val="15"/>
                <w:szCs w:val="15"/>
                <w:color w:val="auto"/>
              </w:rPr>
            </w:pP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7860" w:type="dxa"/>
            <w:vAlign w:val="bottom"/>
          </w:tcPr>
          <w:p>
            <w:pPr>
              <w:spacing w:after="0"/>
              <w:rPr>
                <w:sz w:val="15"/>
                <w:szCs w:val="15"/>
                <w:color w:val="auto"/>
              </w:rPr>
            </w:pP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7860" w:type="dxa"/>
            <w:vAlign w:val="bottom"/>
          </w:tcPr>
          <w:p>
            <w:pPr>
              <w:spacing w:after="0"/>
              <w:rPr>
                <w:sz w:val="20"/>
                <w:szCs w:val="20"/>
                <w:color w:val="auto"/>
              </w:rPr>
            </w:pPr>
            <w:r>
              <w:rPr>
                <w:rFonts w:ascii="Courier New" w:cs="Courier New" w:eastAsia="Courier New" w:hAnsi="Courier New"/>
                <w:sz w:val="16"/>
                <w:szCs w:val="16"/>
                <w:color w:val="auto"/>
              </w:rPr>
              <w:t>(4)   To record lease and rental expense relating to the assets transferred</w:t>
            </w:r>
          </w:p>
        </w:tc>
        <w:tc>
          <w:tcPr>
            <w:tcW w:w="1100" w:type="dxa"/>
            <w:vAlign w:val="bottom"/>
          </w:tcPr>
          <w:p>
            <w:pPr>
              <w:spacing w:after="0"/>
              <w:rPr>
                <w:sz w:val="15"/>
                <w:szCs w:val="15"/>
                <w:color w:val="auto"/>
              </w:rPr>
            </w:pPr>
          </w:p>
        </w:tc>
      </w:tr>
      <w:tr>
        <w:trPr>
          <w:trHeight w:val="183"/>
        </w:trPr>
        <w:tc>
          <w:tcPr>
            <w:tcW w:w="78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from UHS to UHT.......................................................</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1,193</w:t>
            </w:r>
          </w:p>
        </w:tc>
      </w:tr>
      <w:tr>
        <w:trPr>
          <w:trHeight w:val="183"/>
        </w:trPr>
        <w:tc>
          <w:tcPr>
            <w:tcW w:w="7860" w:type="dxa"/>
            <w:vAlign w:val="bottom"/>
          </w:tcPr>
          <w:p>
            <w:pPr>
              <w:spacing w:after="0"/>
              <w:rPr>
                <w:sz w:val="15"/>
                <w:szCs w:val="15"/>
                <w:color w:val="auto"/>
              </w:rPr>
            </w:pP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7860" w:type="dxa"/>
            <w:vAlign w:val="bottom"/>
          </w:tcPr>
          <w:p>
            <w:pPr>
              <w:spacing w:after="0"/>
              <w:rPr>
                <w:sz w:val="15"/>
                <w:szCs w:val="15"/>
                <w:color w:val="auto"/>
              </w:rPr>
            </w:pP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7860" w:type="dxa"/>
            <w:vAlign w:val="bottom"/>
          </w:tcPr>
          <w:p>
            <w:pPr>
              <w:spacing w:after="0"/>
              <w:rPr>
                <w:sz w:val="20"/>
                <w:szCs w:val="20"/>
                <w:color w:val="auto"/>
              </w:rPr>
            </w:pPr>
            <w:r>
              <w:rPr>
                <w:rFonts w:ascii="Courier New" w:cs="Courier New" w:eastAsia="Courier New" w:hAnsi="Courier New"/>
                <w:sz w:val="16"/>
                <w:szCs w:val="16"/>
                <w:color w:val="auto"/>
              </w:rPr>
              <w:t>(5)   Adjustment to interest expense, net--</w:t>
            </w:r>
          </w:p>
        </w:tc>
        <w:tc>
          <w:tcPr>
            <w:tcW w:w="1100" w:type="dxa"/>
            <w:vAlign w:val="bottom"/>
          </w:tcPr>
          <w:p>
            <w:pPr>
              <w:spacing w:after="0"/>
              <w:rPr>
                <w:sz w:val="15"/>
                <w:szCs w:val="15"/>
                <w:color w:val="auto"/>
              </w:rPr>
            </w:pPr>
          </w:p>
        </w:tc>
      </w:tr>
      <w:tr>
        <w:trPr>
          <w:trHeight w:val="183"/>
        </w:trPr>
        <w:tc>
          <w:tcPr>
            <w:tcW w:w="78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 To eliminate historical interest expense at Manatee and Aiken.........</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(7,426)</w:t>
            </w:r>
          </w:p>
        </w:tc>
      </w:tr>
      <w:tr>
        <w:trPr>
          <w:trHeight w:val="183"/>
        </w:trPr>
        <w:tc>
          <w:tcPr>
            <w:tcW w:w="78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 To record interest savings on UMC proceeds............................</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(1,100)</w:t>
            </w:r>
          </w:p>
        </w:tc>
      </w:tr>
    </w:tbl>
    <w:p>
      <w:pPr>
        <w:spacing w:after="0" w:line="5" w:lineRule="exact"/>
        <w:rPr>
          <w:sz w:val="20"/>
          <w:szCs w:val="20"/>
          <w:color w:val="auto"/>
        </w:rPr>
      </w:pPr>
    </w:p>
    <w:p>
      <w:pPr>
        <w:ind w:left="760" w:right="3620" w:hanging="190"/>
        <w:spacing w:after="0" w:line="259" w:lineRule="auto"/>
        <w:tabs>
          <w:tab w:leader="none" w:pos="76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interest on borrowings to finance the purchase transactions using borrowings generated from the Company's $135 million Senior</w:t>
      </w:r>
    </w:p>
    <w:p>
      <w:pPr>
        <w:sectPr>
          <w:pgSz w:w="11900" w:h="16838" w:orient="portrait"/>
          <w:cols w:equalWidth="0" w:num="1">
            <w:col w:w="10960"/>
          </w:cols>
          <w:pgMar w:left="240" w:top="484" w:right="699" w:bottom="0" w:gutter="0" w:footer="0" w:header="0"/>
          <w:type w:val="continuous"/>
        </w:sectPr>
      </w:pPr>
    </w:p>
    <w:p>
      <w:pPr>
        <w:ind w:left="760"/>
        <w:spacing w:after="0"/>
        <w:rPr>
          <w:sz w:val="20"/>
          <w:szCs w:val="20"/>
          <w:color w:val="auto"/>
        </w:rPr>
      </w:pPr>
      <w:r>
        <w:rPr>
          <w:rFonts w:ascii="Courier New" w:cs="Courier New" w:eastAsia="Courier New" w:hAnsi="Courier New"/>
          <w:sz w:val="15"/>
          <w:szCs w:val="15"/>
          <w:color w:val="auto"/>
        </w:rPr>
        <w:t>Notes, commercial paper and revolving credit facilities...............</w:t>
      </w:r>
    </w:p>
    <w:p>
      <w:pPr>
        <w:spacing w:after="0" w:line="197" w:lineRule="exact"/>
        <w:rPr>
          <w:sz w:val="20"/>
          <w:szCs w:val="20"/>
          <w:color w:val="auto"/>
        </w:rPr>
      </w:pPr>
    </w:p>
    <w:p>
      <w:pPr>
        <w:ind w:left="580"/>
        <w:spacing w:after="0"/>
        <w:rPr>
          <w:sz w:val="20"/>
          <w:szCs w:val="20"/>
          <w:color w:val="auto"/>
        </w:rPr>
      </w:pPr>
      <w:r>
        <w:rPr>
          <w:rFonts w:ascii="Courier New" w:cs="Courier New" w:eastAsia="Courier New" w:hAnsi="Courier New"/>
          <w:sz w:val="15"/>
          <w:szCs w:val="15"/>
          <w:color w:val="auto"/>
        </w:rPr>
        <w:t>Total adjustments to Interest expense, net..............................</w:t>
      </w:r>
    </w:p>
    <w:p>
      <w:pPr>
        <w:spacing w:after="0" w:line="20" w:lineRule="exact"/>
        <w:rPr>
          <w:sz w:val="20"/>
          <w:szCs w:val="20"/>
          <w:color w:val="auto"/>
        </w:rPr>
      </w:pPr>
      <w:r>
        <w:rPr>
          <w:sz w:val="20"/>
          <w:szCs w:val="20"/>
          <w:color w:val="auto"/>
        </w:rPr>
        <w:br w:type="column"/>
      </w:r>
    </w:p>
    <w:p>
      <w:pPr>
        <w:jc w:val="right"/>
        <w:ind w:right="2100"/>
        <w:spacing w:after="0"/>
        <w:rPr>
          <w:sz w:val="20"/>
          <w:szCs w:val="20"/>
          <w:color w:val="auto"/>
        </w:rPr>
      </w:pPr>
      <w:r>
        <w:rPr>
          <w:rFonts w:ascii="Courier New" w:cs="Courier New" w:eastAsia="Courier New" w:hAnsi="Courier New"/>
          <w:sz w:val="15"/>
          <w:szCs w:val="15"/>
          <w:color w:val="auto"/>
        </w:rPr>
        <w:t>10,004</w:t>
      </w:r>
    </w:p>
    <w:p>
      <w:pPr>
        <w:spacing w:after="0" w:line="13" w:lineRule="exact"/>
        <w:rPr>
          <w:sz w:val="20"/>
          <w:szCs w:val="20"/>
          <w:color w:val="auto"/>
        </w:rPr>
      </w:pPr>
    </w:p>
    <w:p>
      <w:pPr>
        <w:jc w:val="right"/>
        <w:ind w:right="210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jc w:val="right"/>
        <w:ind w:right="2100"/>
        <w:spacing w:after="0"/>
        <w:rPr>
          <w:sz w:val="20"/>
          <w:szCs w:val="20"/>
          <w:color w:val="auto"/>
        </w:rPr>
      </w:pPr>
      <w:r>
        <w:rPr>
          <w:rFonts w:ascii="Courier New" w:cs="Courier New" w:eastAsia="Courier New" w:hAnsi="Courier New"/>
          <w:sz w:val="16"/>
          <w:szCs w:val="16"/>
          <w:color w:val="auto"/>
        </w:rPr>
        <w:t>1,478</w:t>
      </w:r>
    </w:p>
    <w:p>
      <w:pPr>
        <w:spacing w:after="0" w:line="5" w:lineRule="exact"/>
        <w:rPr>
          <w:sz w:val="20"/>
          <w:szCs w:val="20"/>
          <w:color w:val="auto"/>
        </w:rPr>
      </w:pPr>
    </w:p>
    <w:p>
      <w:pPr>
        <w:jc w:val="right"/>
        <w:ind w:right="210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2">
            <w:col w:w="7580" w:space="720"/>
            <w:col w:w="2660"/>
          </w:cols>
          <w:pgMar w:left="240" w:top="484" w:right="699" w:bottom="0" w:gutter="0" w:footer="0" w:header="0"/>
          <w:type w:val="continuous"/>
        </w:sectPr>
      </w:pPr>
    </w:p>
    <w:bookmarkStart w:id="22" w:name="page23"/>
    <w:bookmarkEnd w:id="22"/>
    <w:tbl>
      <w:tblPr>
        <w:tblLayout w:type="fixed"/>
        <w:tblInd w:w="0" w:type="dxa"/>
        <w:tblCellMar>
          <w:top w:w="0" w:type="dxa"/>
          <w:left w:w="0" w:type="dxa"/>
          <w:bottom w:w="0" w:type="dxa"/>
          <w:right w:w="0" w:type="dxa"/>
        </w:tblCellMar>
      </w:tblPr>
      <w:tr>
        <w:trPr>
          <w:trHeight w:val="181"/>
        </w:trPr>
        <w:tc>
          <w:tcPr>
            <w:tcW w:w="420" w:type="dxa"/>
            <w:vAlign w:val="bottom"/>
          </w:tcPr>
          <w:p>
            <w:pPr>
              <w:spacing w:after="0"/>
              <w:rPr>
                <w:sz w:val="15"/>
                <w:szCs w:val="15"/>
                <w:color w:val="auto"/>
              </w:rPr>
            </w:pPr>
          </w:p>
        </w:tc>
        <w:tc>
          <w:tcPr>
            <w:tcW w:w="7440" w:type="dxa"/>
            <w:vAlign w:val="bottom"/>
          </w:tcPr>
          <w:p>
            <w:pPr>
              <w:spacing w:after="0"/>
              <w:rPr>
                <w:sz w:val="15"/>
                <w:szCs w:val="15"/>
                <w:color w:val="auto"/>
              </w:rPr>
            </w:pPr>
          </w:p>
        </w:tc>
        <w:tc>
          <w:tcPr>
            <w:tcW w:w="1100" w:type="dxa"/>
            <w:vAlign w:val="bottom"/>
          </w:tcPr>
          <w:p>
            <w:pPr>
              <w:ind w:left="440"/>
              <w:spacing w:after="0"/>
              <w:rPr>
                <w:sz w:val="20"/>
                <w:szCs w:val="20"/>
                <w:color w:val="auto"/>
              </w:rPr>
            </w:pPr>
            <w:r>
              <w:rPr>
                <w:rFonts w:ascii="Courier New" w:cs="Courier New" w:eastAsia="Courier New" w:hAnsi="Courier New"/>
                <w:sz w:val="16"/>
                <w:szCs w:val="16"/>
                <w:color w:val="auto"/>
              </w:rPr>
              <w:t>------</w:t>
            </w:r>
          </w:p>
        </w:tc>
      </w:tr>
      <w:tr>
        <w:trPr>
          <w:trHeight w:val="183"/>
        </w:trPr>
        <w:tc>
          <w:tcPr>
            <w:tcW w:w="4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0"/>
              </w:rPr>
              <w:t>(6)</w:t>
            </w:r>
          </w:p>
        </w:tc>
        <w:tc>
          <w:tcPr>
            <w:tcW w:w="7440" w:type="dxa"/>
            <w:vAlign w:val="bottom"/>
          </w:tcPr>
          <w:p>
            <w:pPr>
              <w:ind w:left="160"/>
              <w:spacing w:after="0"/>
              <w:rPr>
                <w:sz w:val="20"/>
                <w:szCs w:val="20"/>
                <w:color w:val="auto"/>
              </w:rPr>
            </w:pPr>
            <w:r>
              <w:rPr>
                <w:rFonts w:ascii="Courier New" w:cs="Courier New" w:eastAsia="Courier New" w:hAnsi="Courier New"/>
                <w:sz w:val="16"/>
                <w:szCs w:val="16"/>
                <w:color w:val="auto"/>
              </w:rPr>
              <w:t>To eliminate the loss on the Aiken transaction recorded in 1995.........</w:t>
            </w:r>
          </w:p>
        </w:tc>
        <w:tc>
          <w:tcPr>
            <w:tcW w:w="1100" w:type="dxa"/>
            <w:vAlign w:val="bottom"/>
          </w:tcPr>
          <w:p>
            <w:pPr>
              <w:ind w:left="440"/>
              <w:spacing w:after="0"/>
              <w:rPr>
                <w:sz w:val="20"/>
                <w:szCs w:val="20"/>
                <w:color w:val="auto"/>
              </w:rPr>
            </w:pPr>
            <w:r>
              <w:rPr>
                <w:rFonts w:ascii="Courier New" w:cs="Courier New" w:eastAsia="Courier New" w:hAnsi="Courier New"/>
                <w:sz w:val="16"/>
                <w:szCs w:val="16"/>
                <w:color w:val="auto"/>
                <w:w w:val="95"/>
              </w:rPr>
              <w:t>(2,661)</w:t>
            </w:r>
          </w:p>
        </w:tc>
      </w:tr>
      <w:tr>
        <w:trPr>
          <w:trHeight w:val="183"/>
        </w:trPr>
        <w:tc>
          <w:tcPr>
            <w:tcW w:w="420" w:type="dxa"/>
            <w:vAlign w:val="bottom"/>
          </w:tcPr>
          <w:p>
            <w:pPr>
              <w:spacing w:after="0"/>
              <w:rPr>
                <w:sz w:val="15"/>
                <w:szCs w:val="15"/>
                <w:color w:val="auto"/>
              </w:rPr>
            </w:pPr>
          </w:p>
        </w:tc>
        <w:tc>
          <w:tcPr>
            <w:tcW w:w="7440" w:type="dxa"/>
            <w:vAlign w:val="bottom"/>
          </w:tcPr>
          <w:p>
            <w:pPr>
              <w:spacing w:after="0"/>
              <w:rPr>
                <w:sz w:val="15"/>
                <w:szCs w:val="15"/>
                <w:color w:val="auto"/>
              </w:rPr>
            </w:pPr>
          </w:p>
        </w:tc>
        <w:tc>
          <w:tcPr>
            <w:tcW w:w="1100" w:type="dxa"/>
            <w:vAlign w:val="bottom"/>
          </w:tcPr>
          <w:p>
            <w:pPr>
              <w:ind w:left="440"/>
              <w:spacing w:after="0"/>
              <w:rPr>
                <w:sz w:val="20"/>
                <w:szCs w:val="20"/>
                <w:color w:val="auto"/>
              </w:rPr>
            </w:pPr>
            <w:r>
              <w:rPr>
                <w:rFonts w:ascii="Courier New" w:cs="Courier New" w:eastAsia="Courier New" w:hAnsi="Courier New"/>
                <w:sz w:val="16"/>
                <w:szCs w:val="16"/>
                <w:color w:val="auto"/>
              </w:rPr>
              <w:t>------</w:t>
            </w:r>
          </w:p>
        </w:tc>
      </w:tr>
      <w:tr>
        <w:trPr>
          <w:trHeight w:val="183"/>
        </w:trPr>
        <w:tc>
          <w:tcPr>
            <w:tcW w:w="420" w:type="dxa"/>
            <w:vAlign w:val="bottom"/>
          </w:tcPr>
          <w:p>
            <w:pPr>
              <w:spacing w:after="0"/>
              <w:rPr>
                <w:sz w:val="15"/>
                <w:szCs w:val="15"/>
                <w:color w:val="auto"/>
              </w:rPr>
            </w:pPr>
          </w:p>
        </w:tc>
        <w:tc>
          <w:tcPr>
            <w:tcW w:w="7440" w:type="dxa"/>
            <w:vAlign w:val="bottom"/>
          </w:tcPr>
          <w:p>
            <w:pPr>
              <w:spacing w:after="0"/>
              <w:rPr>
                <w:sz w:val="15"/>
                <w:szCs w:val="15"/>
                <w:color w:val="auto"/>
              </w:rPr>
            </w:pPr>
          </w:p>
        </w:tc>
        <w:tc>
          <w:tcPr>
            <w:tcW w:w="1100" w:type="dxa"/>
            <w:vAlign w:val="bottom"/>
          </w:tcPr>
          <w:p>
            <w:pPr>
              <w:ind w:left="440"/>
              <w:spacing w:after="0"/>
              <w:rPr>
                <w:sz w:val="20"/>
                <w:szCs w:val="20"/>
                <w:color w:val="auto"/>
              </w:rPr>
            </w:pPr>
            <w:r>
              <w:rPr>
                <w:rFonts w:ascii="Courier New" w:cs="Courier New" w:eastAsia="Courier New" w:hAnsi="Courier New"/>
                <w:sz w:val="16"/>
                <w:szCs w:val="16"/>
                <w:color w:val="auto"/>
              </w:rPr>
              <w:t>------</w:t>
            </w:r>
          </w:p>
        </w:tc>
      </w:tr>
      <w:tr>
        <w:trPr>
          <w:trHeight w:val="183"/>
        </w:trPr>
        <w:tc>
          <w:tcPr>
            <w:tcW w:w="4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0"/>
              </w:rPr>
              <w:t>(7)</w:t>
            </w:r>
          </w:p>
        </w:tc>
        <w:tc>
          <w:tcPr>
            <w:tcW w:w="7440" w:type="dxa"/>
            <w:vAlign w:val="bottom"/>
          </w:tcPr>
          <w:p>
            <w:pPr>
              <w:ind w:left="160"/>
              <w:spacing w:after="0"/>
              <w:rPr>
                <w:sz w:val="20"/>
                <w:szCs w:val="20"/>
                <w:color w:val="auto"/>
              </w:rPr>
            </w:pPr>
            <w:r>
              <w:rPr>
                <w:rFonts w:ascii="Courier New" w:cs="Courier New" w:eastAsia="Courier New" w:hAnsi="Courier New"/>
                <w:sz w:val="16"/>
                <w:szCs w:val="16"/>
                <w:color w:val="auto"/>
              </w:rPr>
              <w:t>To eliminate management fees paid to affiliates.........................</w:t>
            </w:r>
          </w:p>
        </w:tc>
        <w:tc>
          <w:tcPr>
            <w:tcW w:w="1100" w:type="dxa"/>
            <w:vAlign w:val="bottom"/>
          </w:tcPr>
          <w:p>
            <w:pPr>
              <w:ind w:left="440"/>
              <w:spacing w:after="0"/>
              <w:rPr>
                <w:sz w:val="20"/>
                <w:szCs w:val="20"/>
                <w:color w:val="auto"/>
              </w:rPr>
            </w:pPr>
            <w:r>
              <w:rPr>
                <w:rFonts w:ascii="Courier New" w:cs="Courier New" w:eastAsia="Courier New" w:hAnsi="Courier New"/>
                <w:sz w:val="16"/>
                <w:szCs w:val="16"/>
                <w:color w:val="auto"/>
                <w:w w:val="95"/>
              </w:rPr>
              <w:t>(3,745)</w:t>
            </w:r>
          </w:p>
        </w:tc>
      </w:tr>
      <w:tr>
        <w:trPr>
          <w:trHeight w:val="183"/>
        </w:trPr>
        <w:tc>
          <w:tcPr>
            <w:tcW w:w="420" w:type="dxa"/>
            <w:vAlign w:val="bottom"/>
          </w:tcPr>
          <w:p>
            <w:pPr>
              <w:spacing w:after="0"/>
              <w:rPr>
                <w:sz w:val="15"/>
                <w:szCs w:val="15"/>
                <w:color w:val="auto"/>
              </w:rPr>
            </w:pPr>
          </w:p>
        </w:tc>
        <w:tc>
          <w:tcPr>
            <w:tcW w:w="7440" w:type="dxa"/>
            <w:vAlign w:val="bottom"/>
          </w:tcPr>
          <w:p>
            <w:pPr>
              <w:spacing w:after="0"/>
              <w:rPr>
                <w:sz w:val="15"/>
                <w:szCs w:val="15"/>
                <w:color w:val="auto"/>
              </w:rPr>
            </w:pPr>
          </w:p>
        </w:tc>
        <w:tc>
          <w:tcPr>
            <w:tcW w:w="1100" w:type="dxa"/>
            <w:vAlign w:val="bottom"/>
          </w:tcPr>
          <w:p>
            <w:pPr>
              <w:ind w:left="440"/>
              <w:spacing w:after="0"/>
              <w:rPr>
                <w:sz w:val="20"/>
                <w:szCs w:val="20"/>
                <w:color w:val="auto"/>
              </w:rPr>
            </w:pPr>
            <w:r>
              <w:rPr>
                <w:rFonts w:ascii="Courier New" w:cs="Courier New" w:eastAsia="Courier New" w:hAnsi="Courier New"/>
                <w:sz w:val="16"/>
                <w:szCs w:val="16"/>
                <w:color w:val="auto"/>
              </w:rPr>
              <w:t>------</w:t>
            </w:r>
          </w:p>
        </w:tc>
      </w:tr>
      <w:tr>
        <w:trPr>
          <w:trHeight w:val="183"/>
        </w:trPr>
        <w:tc>
          <w:tcPr>
            <w:tcW w:w="420" w:type="dxa"/>
            <w:vAlign w:val="bottom"/>
          </w:tcPr>
          <w:p>
            <w:pPr>
              <w:spacing w:after="0"/>
              <w:rPr>
                <w:sz w:val="15"/>
                <w:szCs w:val="15"/>
                <w:color w:val="auto"/>
              </w:rPr>
            </w:pPr>
          </w:p>
        </w:tc>
        <w:tc>
          <w:tcPr>
            <w:tcW w:w="7440" w:type="dxa"/>
            <w:vAlign w:val="bottom"/>
          </w:tcPr>
          <w:p>
            <w:pPr>
              <w:spacing w:after="0"/>
              <w:rPr>
                <w:sz w:val="15"/>
                <w:szCs w:val="15"/>
                <w:color w:val="auto"/>
              </w:rPr>
            </w:pPr>
          </w:p>
        </w:tc>
        <w:tc>
          <w:tcPr>
            <w:tcW w:w="1100" w:type="dxa"/>
            <w:vAlign w:val="bottom"/>
          </w:tcPr>
          <w:p>
            <w:pPr>
              <w:ind w:left="440"/>
              <w:spacing w:after="0"/>
              <w:rPr>
                <w:sz w:val="20"/>
                <w:szCs w:val="20"/>
                <w:color w:val="auto"/>
              </w:rPr>
            </w:pPr>
            <w:r>
              <w:rPr>
                <w:rFonts w:ascii="Courier New" w:cs="Courier New" w:eastAsia="Courier New" w:hAnsi="Courier New"/>
                <w:sz w:val="16"/>
                <w:szCs w:val="16"/>
                <w:color w:val="auto"/>
              </w:rPr>
              <w:t>------</w:t>
            </w:r>
          </w:p>
        </w:tc>
      </w:tr>
      <w:tr>
        <w:trPr>
          <w:trHeight w:val="550"/>
        </w:trPr>
        <w:tc>
          <w:tcPr>
            <w:tcW w:w="420" w:type="dxa"/>
            <w:vAlign w:val="bottom"/>
          </w:tcPr>
          <w:p>
            <w:pPr>
              <w:spacing w:after="0"/>
              <w:rPr>
                <w:sz w:val="24"/>
                <w:szCs w:val="24"/>
                <w:color w:val="auto"/>
              </w:rPr>
            </w:pPr>
          </w:p>
        </w:tc>
        <w:tc>
          <w:tcPr>
            <w:tcW w:w="7440" w:type="dxa"/>
            <w:vAlign w:val="bottom"/>
          </w:tcPr>
          <w:p>
            <w:pPr>
              <w:jc w:val="right"/>
              <w:ind w:right="3881"/>
              <w:spacing w:after="0"/>
              <w:rPr>
                <w:sz w:val="20"/>
                <w:szCs w:val="20"/>
                <w:color w:val="auto"/>
              </w:rPr>
            </w:pPr>
            <w:r>
              <w:rPr>
                <w:rFonts w:ascii="Courier New" w:cs="Courier New" w:eastAsia="Courier New" w:hAnsi="Courier New"/>
                <w:sz w:val="16"/>
                <w:szCs w:val="16"/>
                <w:color w:val="auto"/>
              </w:rPr>
              <w:t>18</w:t>
            </w:r>
          </w:p>
        </w:tc>
        <w:tc>
          <w:tcPr>
            <w:tcW w:w="1100" w:type="dxa"/>
            <w:vAlign w:val="bottom"/>
          </w:tcPr>
          <w:p>
            <w:pPr>
              <w:spacing w:after="0"/>
              <w:rPr>
                <w:sz w:val="24"/>
                <w:szCs w:val="24"/>
                <w:color w:val="auto"/>
              </w:rPr>
            </w:pPr>
          </w:p>
        </w:tc>
      </w:tr>
    </w:tbl>
    <w:p>
      <w:pPr>
        <w:sectPr>
          <w:pgSz w:w="11900" w:h="16838" w:orient="portrait"/>
          <w:cols w:equalWidth="0" w:num="1">
            <w:col w:w="10219"/>
          </w:cols>
          <w:pgMar w:left="240" w:top="139" w:right="1440" w:bottom="1440" w:gutter="0" w:footer="0" w:header="0"/>
        </w:sectPr>
      </w:pPr>
    </w:p>
    <w:bookmarkStart w:id="23" w:name="page24"/>
    <w:bookmarkEnd w:id="23"/>
    <w:p>
      <w:pPr>
        <w:jc w:val="center"/>
        <w:ind w:right="1639"/>
        <w:spacing w:after="0"/>
        <w:rPr>
          <w:sz w:val="20"/>
          <w:szCs w:val="20"/>
          <w:color w:val="auto"/>
        </w:rPr>
      </w:pPr>
      <w:r>
        <w:rPr>
          <w:rFonts w:ascii="Courier New" w:cs="Courier New" w:eastAsia="Courier New" w:hAnsi="Courier New"/>
          <w:sz w:val="16"/>
          <w:szCs w:val="16"/>
          <w:color w:val="auto"/>
        </w:rPr>
        <w:t>UNIVERSAL HEALTH SERVICES, INC. AND SUBSIDIARIES NOTES TO MANAGEMENT'S ASSUMPTIONS TO UNAUDITED PRO FORMA CONDENSED CONSOLIDATED FINANCIAL STATEMENTS--(CONTINUED)</w:t>
      </w:r>
    </w:p>
    <w:p>
      <w:pPr>
        <w:spacing w:after="0" w:line="3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 NORTHWEST TEXAS HEALTH ACQUISITION</w:t>
      </w:r>
    </w:p>
    <w:p>
      <w:pPr>
        <w:spacing w:after="0" w:line="369" w:lineRule="exact"/>
        <w:rPr>
          <w:sz w:val="20"/>
          <w:szCs w:val="20"/>
          <w:color w:val="auto"/>
        </w:rPr>
      </w:pPr>
    </w:p>
    <w:p>
      <w:pPr>
        <w:jc w:val="center"/>
        <w:ind w:right="679"/>
        <w:spacing w:after="0"/>
        <w:rPr>
          <w:sz w:val="20"/>
          <w:szCs w:val="20"/>
          <w:color w:val="auto"/>
        </w:rPr>
      </w:pPr>
      <w:r>
        <w:rPr>
          <w:rFonts w:ascii="Courier New" w:cs="Courier New" w:eastAsia="Courier New" w:hAnsi="Courier New"/>
          <w:sz w:val="16"/>
          <w:szCs w:val="16"/>
          <w:color w:val="auto"/>
        </w:rPr>
        <w:t>YEAR ENDED DECEMBER 31, 1995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620" w:type="dxa"/>
            <w:vAlign w:val="bottom"/>
          </w:tcPr>
          <w:p>
            <w:pPr>
              <w:spacing w:after="0"/>
              <w:rPr>
                <w:sz w:val="15"/>
                <w:szCs w:val="15"/>
                <w:color w:val="auto"/>
              </w:rPr>
            </w:pPr>
          </w:p>
        </w:tc>
        <w:tc>
          <w:tcPr>
            <w:tcW w:w="182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NORTHWEST</w:t>
            </w:r>
          </w:p>
        </w:tc>
        <w:tc>
          <w:tcPr>
            <w:tcW w:w="7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NORTHWEST</w:t>
            </w:r>
          </w:p>
        </w:tc>
      </w:tr>
      <w:tr>
        <w:trPr>
          <w:trHeight w:val="183"/>
        </w:trPr>
        <w:tc>
          <w:tcPr>
            <w:tcW w:w="4620" w:type="dxa"/>
            <w:vAlign w:val="bottom"/>
          </w:tcPr>
          <w:p>
            <w:pPr>
              <w:spacing w:after="0"/>
              <w:rPr>
                <w:sz w:val="15"/>
                <w:szCs w:val="15"/>
                <w:color w:val="auto"/>
              </w:rPr>
            </w:pPr>
          </w:p>
        </w:tc>
        <w:tc>
          <w:tcPr>
            <w:tcW w:w="18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TEXAS HEALTH</w:t>
            </w:r>
          </w:p>
        </w:tc>
        <w:tc>
          <w:tcPr>
            <w:tcW w:w="190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PRO FORMA</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TEXAS HEALTH</w:t>
            </w:r>
          </w:p>
        </w:tc>
      </w:tr>
      <w:tr>
        <w:trPr>
          <w:trHeight w:val="183"/>
        </w:trPr>
        <w:tc>
          <w:tcPr>
            <w:tcW w:w="4620" w:type="dxa"/>
            <w:vAlign w:val="bottom"/>
          </w:tcPr>
          <w:p>
            <w:pPr>
              <w:spacing w:after="0"/>
              <w:rPr>
                <w:sz w:val="15"/>
                <w:szCs w:val="15"/>
                <w:color w:val="auto"/>
              </w:rPr>
            </w:pPr>
          </w:p>
        </w:tc>
        <w:tc>
          <w:tcPr>
            <w:tcW w:w="1820" w:type="dxa"/>
            <w:vAlign w:val="bottom"/>
            <w:gridSpan w:val="2"/>
          </w:tcPr>
          <w:p>
            <w:pPr>
              <w:jc w:val="right"/>
              <w:ind w:right="361"/>
              <w:spacing w:after="0"/>
              <w:rPr>
                <w:sz w:val="20"/>
                <w:szCs w:val="20"/>
                <w:color w:val="auto"/>
              </w:rPr>
            </w:pPr>
            <w:r>
              <w:rPr>
                <w:rFonts w:ascii="Courier New" w:cs="Courier New" w:eastAsia="Courier New" w:hAnsi="Courier New"/>
                <w:sz w:val="16"/>
                <w:szCs w:val="16"/>
                <w:color w:val="auto"/>
              </w:rPr>
              <w:t>HISTORICAL</w:t>
            </w:r>
          </w:p>
        </w:tc>
        <w:tc>
          <w:tcPr>
            <w:tcW w:w="190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ADJUSTMENTS</w:t>
            </w:r>
          </w:p>
        </w:tc>
        <w:tc>
          <w:tcPr>
            <w:tcW w:w="13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PRO FORMA</w:t>
            </w:r>
          </w:p>
        </w:tc>
      </w:tr>
      <w:tr>
        <w:trPr>
          <w:trHeight w:val="183"/>
        </w:trPr>
        <w:tc>
          <w:tcPr>
            <w:tcW w:w="4620" w:type="dxa"/>
            <w:vAlign w:val="bottom"/>
          </w:tcPr>
          <w:p>
            <w:pPr>
              <w:spacing w:after="0"/>
              <w:rPr>
                <w:sz w:val="15"/>
                <w:szCs w:val="15"/>
                <w:color w:val="auto"/>
              </w:rPr>
            </w:pPr>
          </w:p>
        </w:tc>
        <w:tc>
          <w:tcPr>
            <w:tcW w:w="1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9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734"/>
        </w:trPr>
        <w:tc>
          <w:tcPr>
            <w:tcW w:w="46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Net Revenues...................................</w:t>
            </w:r>
          </w:p>
        </w:tc>
        <w:tc>
          <w:tcPr>
            <w:tcW w:w="620" w:type="dxa"/>
            <w:vAlign w:val="bottom"/>
          </w:tcPr>
          <w:p>
            <w:pPr>
              <w:ind w:left="520"/>
              <w:spacing w:after="0"/>
              <w:rPr>
                <w:sz w:val="20"/>
                <w:szCs w:val="20"/>
                <w:color w:val="auto"/>
              </w:rPr>
            </w:pPr>
            <w:r>
              <w:rPr>
                <w:rFonts w:ascii="Courier New" w:cs="Courier New" w:eastAsia="Courier New" w:hAnsi="Courier New"/>
                <w:sz w:val="16"/>
                <w:szCs w:val="16"/>
                <w:color w:val="auto"/>
                <w:w w:val="82"/>
              </w:rPr>
              <w:t>$</w:t>
            </w:r>
          </w:p>
        </w:tc>
        <w:tc>
          <w:tcPr>
            <w:tcW w:w="12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152,717</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(3,913)(1)</w:t>
            </w:r>
          </w:p>
        </w:tc>
        <w:tc>
          <w:tcPr>
            <w:tcW w:w="13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$148,804</w:t>
            </w:r>
          </w:p>
        </w:tc>
      </w:tr>
      <w:tr>
        <w:trPr>
          <w:trHeight w:val="183"/>
        </w:trPr>
        <w:tc>
          <w:tcPr>
            <w:tcW w:w="4620" w:type="dxa"/>
            <w:vAlign w:val="bottom"/>
          </w:tcPr>
          <w:p>
            <w:pPr>
              <w:jc w:val="right"/>
              <w:ind w:right="2821"/>
              <w:spacing w:after="0"/>
              <w:rPr>
                <w:sz w:val="20"/>
                <w:szCs w:val="20"/>
                <w:color w:val="auto"/>
              </w:rPr>
            </w:pPr>
            <w:r>
              <w:rPr>
                <w:rFonts w:ascii="Courier New" w:cs="Courier New" w:eastAsia="Courier New" w:hAnsi="Courier New"/>
                <w:sz w:val="16"/>
                <w:szCs w:val="16"/>
                <w:color w:val="auto"/>
                <w:w w:val="98"/>
              </w:rPr>
              <w:t>Operating charges:</w:t>
            </w:r>
          </w:p>
        </w:tc>
        <w:tc>
          <w:tcPr>
            <w:tcW w:w="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3"/>
        </w:trPr>
        <w:tc>
          <w:tcPr>
            <w:tcW w:w="4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Operating expenses............................</w:t>
            </w:r>
          </w:p>
        </w:tc>
        <w:tc>
          <w:tcPr>
            <w:tcW w:w="620" w:type="dxa"/>
            <w:vAlign w:val="bottom"/>
          </w:tcPr>
          <w:p>
            <w:pPr>
              <w:spacing w:after="0"/>
              <w:rPr>
                <w:sz w:val="15"/>
                <w:szCs w:val="15"/>
                <w:color w:val="auto"/>
              </w:rPr>
            </w:pPr>
          </w:p>
        </w:tc>
        <w:tc>
          <w:tcPr>
            <w:tcW w:w="12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62,487</w:t>
            </w:r>
          </w:p>
        </w:tc>
        <w:tc>
          <w:tcPr>
            <w:tcW w:w="720" w:type="dxa"/>
            <w:vAlign w:val="bottom"/>
          </w:tcPr>
          <w:p>
            <w:pPr>
              <w:spacing w:after="0"/>
              <w:rPr>
                <w:sz w:val="15"/>
                <w:szCs w:val="15"/>
                <w:color w:val="auto"/>
              </w:rPr>
            </w:pP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4,350(2)</w:t>
            </w:r>
          </w:p>
        </w:tc>
        <w:tc>
          <w:tcPr>
            <w:tcW w:w="13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66,837</w:t>
            </w:r>
          </w:p>
        </w:tc>
      </w:tr>
      <w:tr>
        <w:trPr>
          <w:trHeight w:val="183"/>
        </w:trPr>
        <w:tc>
          <w:tcPr>
            <w:tcW w:w="4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Salaries and wages............................</w:t>
            </w:r>
          </w:p>
        </w:tc>
        <w:tc>
          <w:tcPr>
            <w:tcW w:w="620" w:type="dxa"/>
            <w:vAlign w:val="bottom"/>
          </w:tcPr>
          <w:p>
            <w:pPr>
              <w:spacing w:after="0"/>
              <w:rPr>
                <w:sz w:val="15"/>
                <w:szCs w:val="15"/>
                <w:color w:val="auto"/>
              </w:rPr>
            </w:pPr>
          </w:p>
        </w:tc>
        <w:tc>
          <w:tcPr>
            <w:tcW w:w="12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50,890</w:t>
            </w:r>
          </w:p>
        </w:tc>
        <w:tc>
          <w:tcPr>
            <w:tcW w:w="720" w:type="dxa"/>
            <w:vAlign w:val="bottom"/>
          </w:tcPr>
          <w:p>
            <w:pPr>
              <w:spacing w:after="0"/>
              <w:rPr>
                <w:sz w:val="15"/>
                <w:szCs w:val="15"/>
                <w:color w:val="auto"/>
              </w:rPr>
            </w:pPr>
          </w:p>
        </w:tc>
        <w:tc>
          <w:tcPr>
            <w:tcW w:w="1180" w:type="dxa"/>
            <w:vAlign w:val="bottom"/>
          </w:tcPr>
          <w:p>
            <w:pPr>
              <w:jc w:val="right"/>
              <w:ind w:right="921"/>
              <w:spacing w:after="0"/>
              <w:rPr>
                <w:sz w:val="20"/>
                <w:szCs w:val="20"/>
                <w:color w:val="auto"/>
              </w:rPr>
            </w:pPr>
            <w:r>
              <w:rPr>
                <w:rFonts w:ascii="Courier New" w:cs="Courier New" w:eastAsia="Courier New" w:hAnsi="Courier New"/>
                <w:sz w:val="16"/>
                <w:szCs w:val="16"/>
                <w:color w:val="auto"/>
                <w:w w:val="83"/>
              </w:rPr>
              <w:t>--</w:t>
            </w:r>
          </w:p>
        </w:tc>
        <w:tc>
          <w:tcPr>
            <w:tcW w:w="13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50,890</w:t>
            </w:r>
          </w:p>
        </w:tc>
      </w:tr>
      <w:tr>
        <w:trPr>
          <w:trHeight w:val="183"/>
        </w:trPr>
        <w:tc>
          <w:tcPr>
            <w:tcW w:w="4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Provision for doubtful accounts...............</w:t>
            </w:r>
          </w:p>
        </w:tc>
        <w:tc>
          <w:tcPr>
            <w:tcW w:w="620" w:type="dxa"/>
            <w:vAlign w:val="bottom"/>
          </w:tcPr>
          <w:p>
            <w:pPr>
              <w:spacing w:after="0"/>
              <w:rPr>
                <w:sz w:val="15"/>
                <w:szCs w:val="15"/>
                <w:color w:val="auto"/>
              </w:rPr>
            </w:pPr>
          </w:p>
        </w:tc>
        <w:tc>
          <w:tcPr>
            <w:tcW w:w="12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11,712</w:t>
            </w:r>
          </w:p>
        </w:tc>
        <w:tc>
          <w:tcPr>
            <w:tcW w:w="720" w:type="dxa"/>
            <w:vAlign w:val="bottom"/>
          </w:tcPr>
          <w:p>
            <w:pPr>
              <w:spacing w:after="0"/>
              <w:rPr>
                <w:sz w:val="15"/>
                <w:szCs w:val="15"/>
                <w:color w:val="auto"/>
              </w:rPr>
            </w:pPr>
          </w:p>
        </w:tc>
        <w:tc>
          <w:tcPr>
            <w:tcW w:w="1180" w:type="dxa"/>
            <w:vAlign w:val="bottom"/>
          </w:tcPr>
          <w:p>
            <w:pPr>
              <w:jc w:val="right"/>
              <w:ind w:right="921"/>
              <w:spacing w:after="0"/>
              <w:rPr>
                <w:sz w:val="20"/>
                <w:szCs w:val="20"/>
                <w:color w:val="auto"/>
              </w:rPr>
            </w:pPr>
            <w:r>
              <w:rPr>
                <w:rFonts w:ascii="Courier New" w:cs="Courier New" w:eastAsia="Courier New" w:hAnsi="Courier New"/>
                <w:sz w:val="16"/>
                <w:szCs w:val="16"/>
                <w:color w:val="auto"/>
                <w:w w:val="83"/>
              </w:rPr>
              <w:t>--</w:t>
            </w:r>
          </w:p>
        </w:tc>
        <w:tc>
          <w:tcPr>
            <w:tcW w:w="13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11,712</w:t>
            </w:r>
          </w:p>
        </w:tc>
      </w:tr>
      <w:tr>
        <w:trPr>
          <w:trHeight w:val="183"/>
        </w:trPr>
        <w:tc>
          <w:tcPr>
            <w:tcW w:w="4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Depreciation and amortization.................</w:t>
            </w:r>
          </w:p>
        </w:tc>
        <w:tc>
          <w:tcPr>
            <w:tcW w:w="620" w:type="dxa"/>
            <w:vAlign w:val="bottom"/>
          </w:tcPr>
          <w:p>
            <w:pPr>
              <w:spacing w:after="0"/>
              <w:rPr>
                <w:sz w:val="15"/>
                <w:szCs w:val="15"/>
                <w:color w:val="auto"/>
              </w:rPr>
            </w:pPr>
          </w:p>
        </w:tc>
        <w:tc>
          <w:tcPr>
            <w:tcW w:w="12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8,724</w:t>
            </w:r>
          </w:p>
        </w:tc>
        <w:tc>
          <w:tcPr>
            <w:tcW w:w="720" w:type="dxa"/>
            <w:vAlign w:val="bottom"/>
          </w:tcPr>
          <w:p>
            <w:pPr>
              <w:spacing w:after="0"/>
              <w:rPr>
                <w:sz w:val="15"/>
                <w:szCs w:val="15"/>
                <w:color w:val="auto"/>
              </w:rPr>
            </w:pP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(935)(3)</w:t>
            </w:r>
          </w:p>
        </w:tc>
        <w:tc>
          <w:tcPr>
            <w:tcW w:w="13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7,789</w:t>
            </w:r>
          </w:p>
        </w:tc>
      </w:tr>
      <w:tr>
        <w:trPr>
          <w:trHeight w:val="183"/>
        </w:trPr>
        <w:tc>
          <w:tcPr>
            <w:tcW w:w="4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Lease and rental expense......................</w:t>
            </w:r>
          </w:p>
        </w:tc>
        <w:tc>
          <w:tcPr>
            <w:tcW w:w="620" w:type="dxa"/>
            <w:vAlign w:val="bottom"/>
          </w:tcPr>
          <w:p>
            <w:pPr>
              <w:spacing w:after="0"/>
              <w:rPr>
                <w:sz w:val="15"/>
                <w:szCs w:val="15"/>
                <w:color w:val="auto"/>
              </w:rPr>
            </w:pPr>
          </w:p>
        </w:tc>
        <w:tc>
          <w:tcPr>
            <w:tcW w:w="12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605</w:t>
            </w:r>
          </w:p>
        </w:tc>
        <w:tc>
          <w:tcPr>
            <w:tcW w:w="720" w:type="dxa"/>
            <w:vAlign w:val="bottom"/>
          </w:tcPr>
          <w:p>
            <w:pPr>
              <w:spacing w:after="0"/>
              <w:rPr>
                <w:sz w:val="15"/>
                <w:szCs w:val="15"/>
                <w:color w:val="auto"/>
              </w:rPr>
            </w:pPr>
          </w:p>
        </w:tc>
        <w:tc>
          <w:tcPr>
            <w:tcW w:w="1180" w:type="dxa"/>
            <w:vAlign w:val="bottom"/>
          </w:tcPr>
          <w:p>
            <w:pPr>
              <w:jc w:val="right"/>
              <w:ind w:right="921"/>
              <w:spacing w:after="0"/>
              <w:rPr>
                <w:sz w:val="20"/>
                <w:szCs w:val="20"/>
                <w:color w:val="auto"/>
              </w:rPr>
            </w:pPr>
            <w:r>
              <w:rPr>
                <w:rFonts w:ascii="Courier New" w:cs="Courier New" w:eastAsia="Courier New" w:hAnsi="Courier New"/>
                <w:sz w:val="16"/>
                <w:szCs w:val="16"/>
                <w:color w:val="auto"/>
                <w:w w:val="83"/>
              </w:rPr>
              <w:t>--</w:t>
            </w:r>
          </w:p>
        </w:tc>
        <w:tc>
          <w:tcPr>
            <w:tcW w:w="13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605</w:t>
            </w:r>
          </w:p>
        </w:tc>
      </w:tr>
      <w:tr>
        <w:trPr>
          <w:trHeight w:val="183"/>
        </w:trPr>
        <w:tc>
          <w:tcPr>
            <w:tcW w:w="4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Interest expense, net.........................</w:t>
            </w:r>
          </w:p>
        </w:tc>
        <w:tc>
          <w:tcPr>
            <w:tcW w:w="620" w:type="dxa"/>
            <w:vAlign w:val="bottom"/>
          </w:tcPr>
          <w:p>
            <w:pPr>
              <w:spacing w:after="0"/>
              <w:rPr>
                <w:sz w:val="15"/>
                <w:szCs w:val="15"/>
                <w:color w:val="auto"/>
              </w:rPr>
            </w:pPr>
          </w:p>
        </w:tc>
        <w:tc>
          <w:tcPr>
            <w:tcW w:w="12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636</w:t>
            </w:r>
          </w:p>
        </w:tc>
        <w:tc>
          <w:tcPr>
            <w:tcW w:w="720" w:type="dxa"/>
            <w:vAlign w:val="bottom"/>
          </w:tcPr>
          <w:p>
            <w:pPr>
              <w:spacing w:after="0"/>
              <w:rPr>
                <w:sz w:val="15"/>
                <w:szCs w:val="15"/>
                <w:color w:val="auto"/>
              </w:rPr>
            </w:pP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(636)(4)</w:t>
            </w:r>
          </w:p>
        </w:tc>
        <w:tc>
          <w:tcPr>
            <w:tcW w:w="130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r>
      <w:tr>
        <w:trPr>
          <w:trHeight w:val="183"/>
        </w:trPr>
        <w:tc>
          <w:tcPr>
            <w:tcW w:w="4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tcPr>
          <w:p>
            <w:pPr>
              <w:jc w:val="right"/>
              <w:ind w:right="361"/>
              <w:spacing w:after="0"/>
              <w:rPr>
                <w:sz w:val="20"/>
                <w:szCs w:val="20"/>
                <w:color w:val="auto"/>
              </w:rPr>
            </w:pPr>
            <w:r>
              <w:rPr>
                <w:rFonts w:ascii="Courier New" w:cs="Courier New" w:eastAsia="Courier New" w:hAnsi="Courier New"/>
                <w:sz w:val="16"/>
                <w:szCs w:val="16"/>
                <w:color w:val="auto"/>
                <w:w w:val="96"/>
              </w:rPr>
              <w:t>--------</w:t>
            </w:r>
          </w:p>
        </w:tc>
        <w:tc>
          <w:tcPr>
            <w:tcW w:w="720" w:type="dxa"/>
            <w:vAlign w:val="bottom"/>
          </w:tcPr>
          <w:p>
            <w:pPr>
              <w:spacing w:after="0"/>
              <w:rPr>
                <w:sz w:val="15"/>
                <w:szCs w:val="15"/>
                <w:color w:val="auto"/>
              </w:rPr>
            </w:pPr>
          </w:p>
        </w:tc>
        <w:tc>
          <w:tcPr>
            <w:tcW w:w="1180" w:type="dxa"/>
            <w:vAlign w:val="bottom"/>
          </w:tcPr>
          <w:p>
            <w:pPr>
              <w:jc w:val="right"/>
              <w:ind w:right="441"/>
              <w:spacing w:after="0"/>
              <w:rPr>
                <w:sz w:val="20"/>
                <w:szCs w:val="20"/>
                <w:color w:val="auto"/>
              </w:rPr>
            </w:pPr>
            <w:r>
              <w:rPr>
                <w:rFonts w:ascii="Courier New" w:cs="Courier New" w:eastAsia="Courier New" w:hAnsi="Courier New"/>
                <w:sz w:val="16"/>
                <w:szCs w:val="16"/>
                <w:color w:val="auto"/>
                <w:w w:val="95"/>
              </w:rPr>
              <w:t>-------</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Total expenses............................</w:t>
            </w:r>
          </w:p>
        </w:tc>
        <w:tc>
          <w:tcPr>
            <w:tcW w:w="620" w:type="dxa"/>
            <w:vAlign w:val="bottom"/>
          </w:tcPr>
          <w:p>
            <w:pPr>
              <w:spacing w:after="0"/>
              <w:rPr>
                <w:sz w:val="15"/>
                <w:szCs w:val="15"/>
                <w:color w:val="auto"/>
              </w:rPr>
            </w:pPr>
          </w:p>
        </w:tc>
        <w:tc>
          <w:tcPr>
            <w:tcW w:w="12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135,054</w:t>
            </w:r>
          </w:p>
        </w:tc>
        <w:tc>
          <w:tcPr>
            <w:tcW w:w="720" w:type="dxa"/>
            <w:vAlign w:val="bottom"/>
          </w:tcPr>
          <w:p>
            <w:pPr>
              <w:spacing w:after="0"/>
              <w:rPr>
                <w:sz w:val="15"/>
                <w:szCs w:val="15"/>
                <w:color w:val="auto"/>
              </w:rPr>
            </w:pPr>
          </w:p>
        </w:tc>
        <w:tc>
          <w:tcPr>
            <w:tcW w:w="11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2,779</w:t>
            </w:r>
          </w:p>
        </w:tc>
        <w:tc>
          <w:tcPr>
            <w:tcW w:w="13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137,833</w:t>
            </w:r>
          </w:p>
        </w:tc>
      </w:tr>
      <w:tr>
        <w:trPr>
          <w:trHeight w:val="183"/>
        </w:trPr>
        <w:tc>
          <w:tcPr>
            <w:tcW w:w="4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tcPr>
          <w:p>
            <w:pPr>
              <w:jc w:val="right"/>
              <w:ind w:right="361"/>
              <w:spacing w:after="0"/>
              <w:rPr>
                <w:sz w:val="20"/>
                <w:szCs w:val="20"/>
                <w:color w:val="auto"/>
              </w:rPr>
            </w:pPr>
            <w:r>
              <w:rPr>
                <w:rFonts w:ascii="Courier New" w:cs="Courier New" w:eastAsia="Courier New" w:hAnsi="Courier New"/>
                <w:sz w:val="16"/>
                <w:szCs w:val="16"/>
                <w:color w:val="auto"/>
                <w:w w:val="96"/>
              </w:rPr>
              <w:t>--------</w:t>
            </w:r>
          </w:p>
        </w:tc>
        <w:tc>
          <w:tcPr>
            <w:tcW w:w="720" w:type="dxa"/>
            <w:vAlign w:val="bottom"/>
          </w:tcPr>
          <w:p>
            <w:pPr>
              <w:spacing w:after="0"/>
              <w:rPr>
                <w:sz w:val="15"/>
                <w:szCs w:val="15"/>
                <w:color w:val="auto"/>
              </w:rPr>
            </w:pPr>
          </w:p>
        </w:tc>
        <w:tc>
          <w:tcPr>
            <w:tcW w:w="1180" w:type="dxa"/>
            <w:vAlign w:val="bottom"/>
          </w:tcPr>
          <w:p>
            <w:pPr>
              <w:jc w:val="right"/>
              <w:ind w:right="441"/>
              <w:spacing w:after="0"/>
              <w:rPr>
                <w:sz w:val="20"/>
                <w:szCs w:val="20"/>
                <w:color w:val="auto"/>
              </w:rPr>
            </w:pPr>
            <w:r>
              <w:rPr>
                <w:rFonts w:ascii="Courier New" w:cs="Courier New" w:eastAsia="Courier New" w:hAnsi="Courier New"/>
                <w:sz w:val="16"/>
                <w:szCs w:val="16"/>
                <w:color w:val="auto"/>
                <w:w w:val="95"/>
              </w:rPr>
              <w:t>-------</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6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Income before income taxes.....................</w:t>
            </w:r>
          </w:p>
        </w:tc>
        <w:tc>
          <w:tcPr>
            <w:tcW w:w="620" w:type="dxa"/>
            <w:vAlign w:val="bottom"/>
          </w:tcPr>
          <w:p>
            <w:pPr>
              <w:spacing w:after="0"/>
              <w:rPr>
                <w:sz w:val="15"/>
                <w:szCs w:val="15"/>
                <w:color w:val="auto"/>
              </w:rPr>
            </w:pPr>
          </w:p>
        </w:tc>
        <w:tc>
          <w:tcPr>
            <w:tcW w:w="12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17,663</w:t>
            </w:r>
          </w:p>
        </w:tc>
        <w:tc>
          <w:tcPr>
            <w:tcW w:w="720" w:type="dxa"/>
            <w:vAlign w:val="bottom"/>
          </w:tcPr>
          <w:p>
            <w:pPr>
              <w:spacing w:after="0"/>
              <w:rPr>
                <w:sz w:val="15"/>
                <w:szCs w:val="15"/>
                <w:color w:val="auto"/>
              </w:rPr>
            </w:pPr>
          </w:p>
        </w:tc>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(6,692)</w:t>
            </w:r>
          </w:p>
        </w:tc>
        <w:tc>
          <w:tcPr>
            <w:tcW w:w="13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10,971</w:t>
            </w:r>
          </w:p>
        </w:tc>
      </w:tr>
      <w:tr>
        <w:trPr>
          <w:trHeight w:val="183"/>
        </w:trPr>
        <w:tc>
          <w:tcPr>
            <w:tcW w:w="46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Provision for income taxes.....................</w:t>
            </w:r>
          </w:p>
        </w:tc>
        <w:tc>
          <w:tcPr>
            <w:tcW w:w="620" w:type="dxa"/>
            <w:vAlign w:val="bottom"/>
          </w:tcPr>
          <w:p>
            <w:pPr>
              <w:spacing w:after="0"/>
              <w:rPr>
                <w:sz w:val="15"/>
                <w:szCs w:val="15"/>
                <w:color w:val="auto"/>
              </w:rPr>
            </w:pPr>
          </w:p>
        </w:tc>
        <w:tc>
          <w:tcPr>
            <w:tcW w:w="1200" w:type="dxa"/>
            <w:vAlign w:val="bottom"/>
          </w:tcPr>
          <w:p>
            <w:pPr>
              <w:jc w:val="right"/>
              <w:ind w:right="921"/>
              <w:spacing w:after="0"/>
              <w:rPr>
                <w:sz w:val="20"/>
                <w:szCs w:val="20"/>
                <w:color w:val="auto"/>
              </w:rPr>
            </w:pPr>
            <w:r>
              <w:rPr>
                <w:rFonts w:ascii="Courier New" w:cs="Courier New" w:eastAsia="Courier New" w:hAnsi="Courier New"/>
                <w:sz w:val="16"/>
                <w:szCs w:val="16"/>
                <w:color w:val="auto"/>
                <w:w w:val="93"/>
              </w:rPr>
              <w:t>--</w:t>
            </w:r>
          </w:p>
        </w:tc>
        <w:tc>
          <w:tcPr>
            <w:tcW w:w="720" w:type="dxa"/>
            <w:vAlign w:val="bottom"/>
          </w:tcPr>
          <w:p>
            <w:pPr>
              <w:spacing w:after="0"/>
              <w:rPr>
                <w:sz w:val="15"/>
                <w:szCs w:val="15"/>
                <w:color w:val="auto"/>
              </w:rPr>
            </w:pPr>
          </w:p>
        </w:tc>
        <w:tc>
          <w:tcPr>
            <w:tcW w:w="1180" w:type="dxa"/>
            <w:vAlign w:val="bottom"/>
          </w:tcPr>
          <w:p>
            <w:pPr>
              <w:jc w:val="right"/>
              <w:ind w:right="921"/>
              <w:spacing w:after="0"/>
              <w:rPr>
                <w:sz w:val="20"/>
                <w:szCs w:val="20"/>
                <w:color w:val="auto"/>
              </w:rPr>
            </w:pPr>
            <w:r>
              <w:rPr>
                <w:rFonts w:ascii="Courier New" w:cs="Courier New" w:eastAsia="Courier New" w:hAnsi="Courier New"/>
                <w:sz w:val="16"/>
                <w:szCs w:val="16"/>
                <w:color w:val="auto"/>
                <w:w w:val="83"/>
              </w:rPr>
              <w:t>--</w:t>
            </w:r>
          </w:p>
        </w:tc>
        <w:tc>
          <w:tcPr>
            <w:tcW w:w="130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r>
      <w:tr>
        <w:trPr>
          <w:trHeight w:val="183"/>
        </w:trPr>
        <w:tc>
          <w:tcPr>
            <w:tcW w:w="4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tcPr>
          <w:p>
            <w:pPr>
              <w:jc w:val="right"/>
              <w:ind w:right="361"/>
              <w:spacing w:after="0"/>
              <w:rPr>
                <w:sz w:val="20"/>
                <w:szCs w:val="20"/>
                <w:color w:val="auto"/>
              </w:rPr>
            </w:pPr>
            <w:r>
              <w:rPr>
                <w:rFonts w:ascii="Courier New" w:cs="Courier New" w:eastAsia="Courier New" w:hAnsi="Courier New"/>
                <w:sz w:val="16"/>
                <w:szCs w:val="16"/>
                <w:color w:val="auto"/>
                <w:w w:val="96"/>
              </w:rPr>
              <w:t>--------</w:t>
            </w:r>
          </w:p>
        </w:tc>
        <w:tc>
          <w:tcPr>
            <w:tcW w:w="720" w:type="dxa"/>
            <w:vAlign w:val="bottom"/>
          </w:tcPr>
          <w:p>
            <w:pPr>
              <w:spacing w:after="0"/>
              <w:rPr>
                <w:sz w:val="15"/>
                <w:szCs w:val="15"/>
                <w:color w:val="auto"/>
              </w:rPr>
            </w:pPr>
          </w:p>
        </w:tc>
        <w:tc>
          <w:tcPr>
            <w:tcW w:w="1180" w:type="dxa"/>
            <w:vAlign w:val="bottom"/>
          </w:tcPr>
          <w:p>
            <w:pPr>
              <w:jc w:val="right"/>
              <w:ind w:right="441"/>
              <w:spacing w:after="0"/>
              <w:rPr>
                <w:sz w:val="20"/>
                <w:szCs w:val="20"/>
                <w:color w:val="auto"/>
              </w:rPr>
            </w:pPr>
            <w:r>
              <w:rPr>
                <w:rFonts w:ascii="Courier New" w:cs="Courier New" w:eastAsia="Courier New" w:hAnsi="Courier New"/>
                <w:sz w:val="16"/>
                <w:szCs w:val="16"/>
                <w:color w:val="auto"/>
                <w:w w:val="95"/>
              </w:rPr>
              <w:t>-------</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6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Net income.....................................</w:t>
            </w:r>
          </w:p>
        </w:tc>
        <w:tc>
          <w:tcPr>
            <w:tcW w:w="620" w:type="dxa"/>
            <w:vAlign w:val="bottom"/>
          </w:tcPr>
          <w:p>
            <w:pPr>
              <w:ind w:left="520"/>
              <w:spacing w:after="0"/>
              <w:rPr>
                <w:sz w:val="20"/>
                <w:szCs w:val="20"/>
                <w:color w:val="auto"/>
              </w:rPr>
            </w:pPr>
            <w:r>
              <w:rPr>
                <w:rFonts w:ascii="Courier New" w:cs="Courier New" w:eastAsia="Courier New" w:hAnsi="Courier New"/>
                <w:sz w:val="16"/>
                <w:szCs w:val="16"/>
                <w:color w:val="auto"/>
                <w:w w:val="82"/>
              </w:rPr>
              <w:t>$</w:t>
            </w:r>
          </w:p>
        </w:tc>
        <w:tc>
          <w:tcPr>
            <w:tcW w:w="12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17,663</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(6,692)</w:t>
            </w:r>
          </w:p>
        </w:tc>
        <w:tc>
          <w:tcPr>
            <w:tcW w:w="13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$ 10,971</w:t>
            </w:r>
          </w:p>
        </w:tc>
      </w:tr>
      <w:tr>
        <w:trPr>
          <w:trHeight w:val="183"/>
        </w:trPr>
        <w:tc>
          <w:tcPr>
            <w:tcW w:w="4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tcPr>
          <w:p>
            <w:pPr>
              <w:jc w:val="right"/>
              <w:ind w:right="361"/>
              <w:spacing w:after="0"/>
              <w:rPr>
                <w:sz w:val="20"/>
                <w:szCs w:val="20"/>
                <w:color w:val="auto"/>
              </w:rPr>
            </w:pPr>
            <w:r>
              <w:rPr>
                <w:rFonts w:ascii="Courier New" w:cs="Courier New" w:eastAsia="Courier New" w:hAnsi="Courier New"/>
                <w:sz w:val="16"/>
                <w:szCs w:val="16"/>
                <w:color w:val="auto"/>
                <w:w w:val="96"/>
              </w:rPr>
              <w:t>--------</w:t>
            </w:r>
          </w:p>
        </w:tc>
        <w:tc>
          <w:tcPr>
            <w:tcW w:w="720" w:type="dxa"/>
            <w:vAlign w:val="bottom"/>
          </w:tcPr>
          <w:p>
            <w:pPr>
              <w:spacing w:after="0"/>
              <w:rPr>
                <w:sz w:val="15"/>
                <w:szCs w:val="15"/>
                <w:color w:val="auto"/>
              </w:rPr>
            </w:pPr>
          </w:p>
        </w:tc>
        <w:tc>
          <w:tcPr>
            <w:tcW w:w="1180" w:type="dxa"/>
            <w:vAlign w:val="bottom"/>
          </w:tcPr>
          <w:p>
            <w:pPr>
              <w:jc w:val="right"/>
              <w:ind w:right="441"/>
              <w:spacing w:after="0"/>
              <w:rPr>
                <w:sz w:val="20"/>
                <w:szCs w:val="20"/>
                <w:color w:val="auto"/>
              </w:rPr>
            </w:pPr>
            <w:r>
              <w:rPr>
                <w:rFonts w:ascii="Courier New" w:cs="Courier New" w:eastAsia="Courier New" w:hAnsi="Courier New"/>
                <w:sz w:val="16"/>
                <w:szCs w:val="16"/>
                <w:color w:val="auto"/>
                <w:w w:val="95"/>
              </w:rPr>
              <w:t>-------</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tcPr>
          <w:p>
            <w:pPr>
              <w:jc w:val="right"/>
              <w:ind w:right="361"/>
              <w:spacing w:after="0"/>
              <w:rPr>
                <w:sz w:val="20"/>
                <w:szCs w:val="20"/>
                <w:color w:val="auto"/>
              </w:rPr>
            </w:pPr>
            <w:r>
              <w:rPr>
                <w:rFonts w:ascii="Courier New" w:cs="Courier New" w:eastAsia="Courier New" w:hAnsi="Courier New"/>
                <w:sz w:val="16"/>
                <w:szCs w:val="16"/>
                <w:color w:val="auto"/>
                <w:w w:val="96"/>
              </w:rPr>
              <w:t>--------</w:t>
            </w:r>
          </w:p>
        </w:tc>
        <w:tc>
          <w:tcPr>
            <w:tcW w:w="720" w:type="dxa"/>
            <w:vAlign w:val="bottom"/>
          </w:tcPr>
          <w:p>
            <w:pPr>
              <w:spacing w:after="0"/>
              <w:rPr>
                <w:sz w:val="15"/>
                <w:szCs w:val="15"/>
                <w:color w:val="auto"/>
              </w:rPr>
            </w:pPr>
          </w:p>
        </w:tc>
        <w:tc>
          <w:tcPr>
            <w:tcW w:w="1180" w:type="dxa"/>
            <w:vAlign w:val="bottom"/>
          </w:tcPr>
          <w:p>
            <w:pPr>
              <w:jc w:val="right"/>
              <w:ind w:right="441"/>
              <w:spacing w:after="0"/>
              <w:rPr>
                <w:sz w:val="20"/>
                <w:szCs w:val="20"/>
                <w:color w:val="auto"/>
              </w:rPr>
            </w:pPr>
            <w:r>
              <w:rPr>
                <w:rFonts w:ascii="Courier New" w:cs="Courier New" w:eastAsia="Courier New" w:hAnsi="Courier New"/>
                <w:sz w:val="16"/>
                <w:szCs w:val="16"/>
                <w:color w:val="auto"/>
                <w:w w:val="95"/>
              </w:rPr>
              <w:t>-------</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69" w:lineRule="exact"/>
        <w:rPr>
          <w:sz w:val="20"/>
          <w:szCs w:val="20"/>
          <w:color w:val="auto"/>
        </w:rPr>
      </w:pPr>
    </w:p>
    <w:p>
      <w:pPr>
        <w:jc w:val="center"/>
        <w:ind w:right="579"/>
        <w:spacing w:after="0"/>
        <w:rPr>
          <w:sz w:val="20"/>
          <w:szCs w:val="20"/>
          <w:color w:val="auto"/>
        </w:rPr>
      </w:pPr>
      <w:r>
        <w:rPr>
          <w:rFonts w:ascii="Courier New" w:cs="Courier New" w:eastAsia="Courier New" w:hAnsi="Courier New"/>
          <w:sz w:val="16"/>
          <w:szCs w:val="16"/>
          <w:color w:val="auto"/>
        </w:rPr>
        <w:t>THREE MONTHS ENDED MARCH 31, 1996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620" w:type="dxa"/>
            <w:vAlign w:val="bottom"/>
          </w:tcPr>
          <w:p>
            <w:pPr>
              <w:spacing w:after="0"/>
              <w:rPr>
                <w:sz w:val="15"/>
                <w:szCs w:val="15"/>
                <w:color w:val="auto"/>
              </w:rPr>
            </w:pPr>
          </w:p>
        </w:tc>
        <w:tc>
          <w:tcPr>
            <w:tcW w:w="182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NORTHWEST</w:t>
            </w:r>
          </w:p>
        </w:tc>
        <w:tc>
          <w:tcPr>
            <w:tcW w:w="7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NORTHWEST</w:t>
            </w:r>
          </w:p>
        </w:tc>
      </w:tr>
      <w:tr>
        <w:trPr>
          <w:trHeight w:val="183"/>
        </w:trPr>
        <w:tc>
          <w:tcPr>
            <w:tcW w:w="4620" w:type="dxa"/>
            <w:vAlign w:val="bottom"/>
          </w:tcPr>
          <w:p>
            <w:pPr>
              <w:spacing w:after="0"/>
              <w:rPr>
                <w:sz w:val="15"/>
                <w:szCs w:val="15"/>
                <w:color w:val="auto"/>
              </w:rPr>
            </w:pPr>
          </w:p>
        </w:tc>
        <w:tc>
          <w:tcPr>
            <w:tcW w:w="18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TEXAS HEALTH</w:t>
            </w:r>
          </w:p>
        </w:tc>
        <w:tc>
          <w:tcPr>
            <w:tcW w:w="190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PRO FORMA</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TEXAS HEALTH</w:t>
            </w:r>
          </w:p>
        </w:tc>
      </w:tr>
      <w:tr>
        <w:trPr>
          <w:trHeight w:val="183"/>
        </w:trPr>
        <w:tc>
          <w:tcPr>
            <w:tcW w:w="4620" w:type="dxa"/>
            <w:vAlign w:val="bottom"/>
          </w:tcPr>
          <w:p>
            <w:pPr>
              <w:spacing w:after="0"/>
              <w:rPr>
                <w:sz w:val="15"/>
                <w:szCs w:val="15"/>
                <w:color w:val="auto"/>
              </w:rPr>
            </w:pPr>
          </w:p>
        </w:tc>
        <w:tc>
          <w:tcPr>
            <w:tcW w:w="1820" w:type="dxa"/>
            <w:vAlign w:val="bottom"/>
            <w:gridSpan w:val="2"/>
          </w:tcPr>
          <w:p>
            <w:pPr>
              <w:jc w:val="right"/>
              <w:ind w:right="361"/>
              <w:spacing w:after="0"/>
              <w:rPr>
                <w:sz w:val="20"/>
                <w:szCs w:val="20"/>
                <w:color w:val="auto"/>
              </w:rPr>
            </w:pPr>
            <w:r>
              <w:rPr>
                <w:rFonts w:ascii="Courier New" w:cs="Courier New" w:eastAsia="Courier New" w:hAnsi="Courier New"/>
                <w:sz w:val="16"/>
                <w:szCs w:val="16"/>
                <w:color w:val="auto"/>
              </w:rPr>
              <w:t>HISTORICAL</w:t>
            </w:r>
          </w:p>
        </w:tc>
        <w:tc>
          <w:tcPr>
            <w:tcW w:w="19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ADJUSTMENTS(5)</w:t>
            </w:r>
          </w:p>
        </w:tc>
        <w:tc>
          <w:tcPr>
            <w:tcW w:w="13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PRO FORMA</w:t>
            </w:r>
          </w:p>
        </w:tc>
      </w:tr>
      <w:tr>
        <w:trPr>
          <w:trHeight w:val="183"/>
        </w:trPr>
        <w:tc>
          <w:tcPr>
            <w:tcW w:w="4620" w:type="dxa"/>
            <w:vAlign w:val="bottom"/>
          </w:tcPr>
          <w:p>
            <w:pPr>
              <w:spacing w:after="0"/>
              <w:rPr>
                <w:sz w:val="15"/>
                <w:szCs w:val="15"/>
                <w:color w:val="auto"/>
              </w:rPr>
            </w:pPr>
          </w:p>
        </w:tc>
        <w:tc>
          <w:tcPr>
            <w:tcW w:w="1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9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46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Net Revenues...................................</w:t>
            </w:r>
          </w:p>
        </w:tc>
        <w:tc>
          <w:tcPr>
            <w:tcW w:w="620" w:type="dxa"/>
            <w:vAlign w:val="bottom"/>
          </w:tcPr>
          <w:p>
            <w:pPr>
              <w:ind w:left="520"/>
              <w:spacing w:after="0"/>
              <w:rPr>
                <w:sz w:val="20"/>
                <w:szCs w:val="20"/>
                <w:color w:val="auto"/>
              </w:rPr>
            </w:pPr>
            <w:r>
              <w:rPr>
                <w:rFonts w:ascii="Courier New" w:cs="Courier New" w:eastAsia="Courier New" w:hAnsi="Courier New"/>
                <w:sz w:val="16"/>
                <w:szCs w:val="16"/>
                <w:color w:val="auto"/>
                <w:w w:val="82"/>
              </w:rPr>
              <w:t>$</w:t>
            </w:r>
          </w:p>
        </w:tc>
        <w:tc>
          <w:tcPr>
            <w:tcW w:w="12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37,519</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(1,150)(1)</w:t>
            </w:r>
          </w:p>
        </w:tc>
        <w:tc>
          <w:tcPr>
            <w:tcW w:w="13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$ 36,369</w:t>
            </w:r>
          </w:p>
        </w:tc>
      </w:tr>
      <w:tr>
        <w:trPr>
          <w:trHeight w:val="183"/>
        </w:trPr>
        <w:tc>
          <w:tcPr>
            <w:tcW w:w="4620" w:type="dxa"/>
            <w:vAlign w:val="bottom"/>
          </w:tcPr>
          <w:p>
            <w:pPr>
              <w:jc w:val="right"/>
              <w:ind w:right="2821"/>
              <w:spacing w:after="0"/>
              <w:rPr>
                <w:sz w:val="20"/>
                <w:szCs w:val="20"/>
                <w:color w:val="auto"/>
              </w:rPr>
            </w:pPr>
            <w:r>
              <w:rPr>
                <w:rFonts w:ascii="Courier New" w:cs="Courier New" w:eastAsia="Courier New" w:hAnsi="Courier New"/>
                <w:sz w:val="16"/>
                <w:szCs w:val="16"/>
                <w:color w:val="auto"/>
                <w:w w:val="98"/>
              </w:rPr>
              <w:t>Operating charges:</w:t>
            </w:r>
          </w:p>
        </w:tc>
        <w:tc>
          <w:tcPr>
            <w:tcW w:w="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3"/>
        </w:trPr>
        <w:tc>
          <w:tcPr>
            <w:tcW w:w="4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Operating expenses............................</w:t>
            </w:r>
          </w:p>
        </w:tc>
        <w:tc>
          <w:tcPr>
            <w:tcW w:w="620" w:type="dxa"/>
            <w:vAlign w:val="bottom"/>
          </w:tcPr>
          <w:p>
            <w:pPr>
              <w:spacing w:after="0"/>
              <w:rPr>
                <w:sz w:val="15"/>
                <w:szCs w:val="15"/>
                <w:color w:val="auto"/>
              </w:rPr>
            </w:pPr>
          </w:p>
        </w:tc>
        <w:tc>
          <w:tcPr>
            <w:tcW w:w="12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16,419</w:t>
            </w:r>
          </w:p>
        </w:tc>
        <w:tc>
          <w:tcPr>
            <w:tcW w:w="720" w:type="dxa"/>
            <w:vAlign w:val="bottom"/>
          </w:tcPr>
          <w:p>
            <w:pPr>
              <w:spacing w:after="0"/>
              <w:rPr>
                <w:sz w:val="15"/>
                <w:szCs w:val="15"/>
                <w:color w:val="auto"/>
              </w:rPr>
            </w:pP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701(2)</w:t>
            </w:r>
          </w:p>
        </w:tc>
        <w:tc>
          <w:tcPr>
            <w:tcW w:w="13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17,120</w:t>
            </w:r>
          </w:p>
        </w:tc>
      </w:tr>
      <w:tr>
        <w:trPr>
          <w:trHeight w:val="183"/>
        </w:trPr>
        <w:tc>
          <w:tcPr>
            <w:tcW w:w="4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Salaries and wages............................</w:t>
            </w:r>
          </w:p>
        </w:tc>
        <w:tc>
          <w:tcPr>
            <w:tcW w:w="620" w:type="dxa"/>
            <w:vAlign w:val="bottom"/>
          </w:tcPr>
          <w:p>
            <w:pPr>
              <w:spacing w:after="0"/>
              <w:rPr>
                <w:sz w:val="15"/>
                <w:szCs w:val="15"/>
                <w:color w:val="auto"/>
              </w:rPr>
            </w:pPr>
          </w:p>
        </w:tc>
        <w:tc>
          <w:tcPr>
            <w:tcW w:w="12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12,346</w:t>
            </w:r>
          </w:p>
        </w:tc>
        <w:tc>
          <w:tcPr>
            <w:tcW w:w="720" w:type="dxa"/>
            <w:vAlign w:val="bottom"/>
          </w:tcPr>
          <w:p>
            <w:pPr>
              <w:spacing w:after="0"/>
              <w:rPr>
                <w:sz w:val="15"/>
                <w:szCs w:val="15"/>
                <w:color w:val="auto"/>
              </w:rPr>
            </w:pPr>
          </w:p>
        </w:tc>
        <w:tc>
          <w:tcPr>
            <w:tcW w:w="1180" w:type="dxa"/>
            <w:vAlign w:val="bottom"/>
          </w:tcPr>
          <w:p>
            <w:pPr>
              <w:jc w:val="right"/>
              <w:ind w:right="921"/>
              <w:spacing w:after="0"/>
              <w:rPr>
                <w:sz w:val="20"/>
                <w:szCs w:val="20"/>
                <w:color w:val="auto"/>
              </w:rPr>
            </w:pPr>
            <w:r>
              <w:rPr>
                <w:rFonts w:ascii="Courier New" w:cs="Courier New" w:eastAsia="Courier New" w:hAnsi="Courier New"/>
                <w:sz w:val="16"/>
                <w:szCs w:val="16"/>
                <w:color w:val="auto"/>
                <w:w w:val="83"/>
              </w:rPr>
              <w:t>--</w:t>
            </w:r>
          </w:p>
        </w:tc>
        <w:tc>
          <w:tcPr>
            <w:tcW w:w="13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12,346</w:t>
            </w:r>
          </w:p>
        </w:tc>
      </w:tr>
      <w:tr>
        <w:trPr>
          <w:trHeight w:val="183"/>
        </w:trPr>
        <w:tc>
          <w:tcPr>
            <w:tcW w:w="4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Provision for doubtful accounts...............</w:t>
            </w:r>
          </w:p>
        </w:tc>
        <w:tc>
          <w:tcPr>
            <w:tcW w:w="620" w:type="dxa"/>
            <w:vAlign w:val="bottom"/>
          </w:tcPr>
          <w:p>
            <w:pPr>
              <w:spacing w:after="0"/>
              <w:rPr>
                <w:sz w:val="15"/>
                <w:szCs w:val="15"/>
                <w:color w:val="auto"/>
              </w:rPr>
            </w:pPr>
          </w:p>
        </w:tc>
        <w:tc>
          <w:tcPr>
            <w:tcW w:w="12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2,726</w:t>
            </w:r>
          </w:p>
        </w:tc>
        <w:tc>
          <w:tcPr>
            <w:tcW w:w="720" w:type="dxa"/>
            <w:vAlign w:val="bottom"/>
          </w:tcPr>
          <w:p>
            <w:pPr>
              <w:spacing w:after="0"/>
              <w:rPr>
                <w:sz w:val="15"/>
                <w:szCs w:val="15"/>
                <w:color w:val="auto"/>
              </w:rPr>
            </w:pPr>
          </w:p>
        </w:tc>
        <w:tc>
          <w:tcPr>
            <w:tcW w:w="1180" w:type="dxa"/>
            <w:vAlign w:val="bottom"/>
          </w:tcPr>
          <w:p>
            <w:pPr>
              <w:jc w:val="right"/>
              <w:ind w:right="921"/>
              <w:spacing w:after="0"/>
              <w:rPr>
                <w:sz w:val="20"/>
                <w:szCs w:val="20"/>
                <w:color w:val="auto"/>
              </w:rPr>
            </w:pPr>
            <w:r>
              <w:rPr>
                <w:rFonts w:ascii="Courier New" w:cs="Courier New" w:eastAsia="Courier New" w:hAnsi="Courier New"/>
                <w:sz w:val="16"/>
                <w:szCs w:val="16"/>
                <w:color w:val="auto"/>
                <w:w w:val="83"/>
              </w:rPr>
              <w:t>--</w:t>
            </w:r>
          </w:p>
        </w:tc>
        <w:tc>
          <w:tcPr>
            <w:tcW w:w="13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2,726</w:t>
            </w:r>
          </w:p>
        </w:tc>
      </w:tr>
      <w:tr>
        <w:trPr>
          <w:trHeight w:val="183"/>
        </w:trPr>
        <w:tc>
          <w:tcPr>
            <w:tcW w:w="4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Depreciation and amortization.................</w:t>
            </w:r>
          </w:p>
        </w:tc>
        <w:tc>
          <w:tcPr>
            <w:tcW w:w="620" w:type="dxa"/>
            <w:vAlign w:val="bottom"/>
          </w:tcPr>
          <w:p>
            <w:pPr>
              <w:spacing w:after="0"/>
              <w:rPr>
                <w:sz w:val="15"/>
                <w:szCs w:val="15"/>
                <w:color w:val="auto"/>
              </w:rPr>
            </w:pPr>
          </w:p>
        </w:tc>
        <w:tc>
          <w:tcPr>
            <w:tcW w:w="12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2,091</w:t>
            </w:r>
          </w:p>
        </w:tc>
        <w:tc>
          <w:tcPr>
            <w:tcW w:w="720" w:type="dxa"/>
            <w:vAlign w:val="bottom"/>
          </w:tcPr>
          <w:p>
            <w:pPr>
              <w:spacing w:after="0"/>
              <w:rPr>
                <w:sz w:val="15"/>
                <w:szCs w:val="15"/>
                <w:color w:val="auto"/>
              </w:rPr>
            </w:pP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(144)(3)</w:t>
            </w:r>
          </w:p>
        </w:tc>
        <w:tc>
          <w:tcPr>
            <w:tcW w:w="13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1,947</w:t>
            </w:r>
          </w:p>
        </w:tc>
      </w:tr>
      <w:tr>
        <w:trPr>
          <w:trHeight w:val="183"/>
        </w:trPr>
        <w:tc>
          <w:tcPr>
            <w:tcW w:w="4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Lease and rental expense......................</w:t>
            </w:r>
          </w:p>
        </w:tc>
        <w:tc>
          <w:tcPr>
            <w:tcW w:w="620" w:type="dxa"/>
            <w:vAlign w:val="bottom"/>
          </w:tcPr>
          <w:p>
            <w:pPr>
              <w:spacing w:after="0"/>
              <w:rPr>
                <w:sz w:val="15"/>
                <w:szCs w:val="15"/>
                <w:color w:val="auto"/>
              </w:rPr>
            </w:pPr>
          </w:p>
        </w:tc>
        <w:tc>
          <w:tcPr>
            <w:tcW w:w="12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188</w:t>
            </w:r>
          </w:p>
        </w:tc>
        <w:tc>
          <w:tcPr>
            <w:tcW w:w="720" w:type="dxa"/>
            <w:vAlign w:val="bottom"/>
          </w:tcPr>
          <w:p>
            <w:pPr>
              <w:spacing w:after="0"/>
              <w:rPr>
                <w:sz w:val="15"/>
                <w:szCs w:val="15"/>
                <w:color w:val="auto"/>
              </w:rPr>
            </w:pPr>
          </w:p>
        </w:tc>
        <w:tc>
          <w:tcPr>
            <w:tcW w:w="1180" w:type="dxa"/>
            <w:vAlign w:val="bottom"/>
          </w:tcPr>
          <w:p>
            <w:pPr>
              <w:jc w:val="right"/>
              <w:ind w:right="921"/>
              <w:spacing w:after="0"/>
              <w:rPr>
                <w:sz w:val="20"/>
                <w:szCs w:val="20"/>
                <w:color w:val="auto"/>
              </w:rPr>
            </w:pPr>
            <w:r>
              <w:rPr>
                <w:rFonts w:ascii="Courier New" w:cs="Courier New" w:eastAsia="Courier New" w:hAnsi="Courier New"/>
                <w:sz w:val="16"/>
                <w:szCs w:val="16"/>
                <w:color w:val="auto"/>
                <w:w w:val="83"/>
              </w:rPr>
              <w:t>--</w:t>
            </w:r>
          </w:p>
        </w:tc>
        <w:tc>
          <w:tcPr>
            <w:tcW w:w="13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188</w:t>
            </w:r>
          </w:p>
        </w:tc>
      </w:tr>
      <w:tr>
        <w:trPr>
          <w:trHeight w:val="183"/>
        </w:trPr>
        <w:tc>
          <w:tcPr>
            <w:tcW w:w="4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Interest expense, net.........................</w:t>
            </w:r>
          </w:p>
        </w:tc>
        <w:tc>
          <w:tcPr>
            <w:tcW w:w="620" w:type="dxa"/>
            <w:vAlign w:val="bottom"/>
          </w:tcPr>
          <w:p>
            <w:pPr>
              <w:spacing w:after="0"/>
              <w:rPr>
                <w:sz w:val="15"/>
                <w:szCs w:val="15"/>
                <w:color w:val="auto"/>
              </w:rPr>
            </w:pPr>
          </w:p>
        </w:tc>
        <w:tc>
          <w:tcPr>
            <w:tcW w:w="12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112</w:t>
            </w:r>
          </w:p>
        </w:tc>
        <w:tc>
          <w:tcPr>
            <w:tcW w:w="720" w:type="dxa"/>
            <w:vAlign w:val="bottom"/>
          </w:tcPr>
          <w:p>
            <w:pPr>
              <w:spacing w:after="0"/>
              <w:rPr>
                <w:sz w:val="15"/>
                <w:szCs w:val="15"/>
                <w:color w:val="auto"/>
              </w:rPr>
            </w:pP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(112)(4)</w:t>
            </w:r>
          </w:p>
        </w:tc>
        <w:tc>
          <w:tcPr>
            <w:tcW w:w="130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r>
      <w:tr>
        <w:trPr>
          <w:trHeight w:val="183"/>
        </w:trPr>
        <w:tc>
          <w:tcPr>
            <w:tcW w:w="4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tcPr>
          <w:p>
            <w:pPr>
              <w:jc w:val="right"/>
              <w:ind w:right="361"/>
              <w:spacing w:after="0"/>
              <w:rPr>
                <w:sz w:val="20"/>
                <w:szCs w:val="20"/>
                <w:color w:val="auto"/>
              </w:rPr>
            </w:pPr>
            <w:r>
              <w:rPr>
                <w:rFonts w:ascii="Courier New" w:cs="Courier New" w:eastAsia="Courier New" w:hAnsi="Courier New"/>
                <w:sz w:val="16"/>
                <w:szCs w:val="16"/>
                <w:color w:val="auto"/>
                <w:w w:val="96"/>
              </w:rPr>
              <w:t>--------</w:t>
            </w:r>
          </w:p>
        </w:tc>
        <w:tc>
          <w:tcPr>
            <w:tcW w:w="720" w:type="dxa"/>
            <w:vAlign w:val="bottom"/>
          </w:tcPr>
          <w:p>
            <w:pPr>
              <w:spacing w:after="0"/>
              <w:rPr>
                <w:sz w:val="15"/>
                <w:szCs w:val="15"/>
                <w:color w:val="auto"/>
              </w:rPr>
            </w:pPr>
          </w:p>
        </w:tc>
        <w:tc>
          <w:tcPr>
            <w:tcW w:w="1180" w:type="dxa"/>
            <w:vAlign w:val="bottom"/>
          </w:tcPr>
          <w:p>
            <w:pPr>
              <w:jc w:val="right"/>
              <w:ind w:right="441"/>
              <w:spacing w:after="0"/>
              <w:rPr>
                <w:sz w:val="20"/>
                <w:szCs w:val="20"/>
                <w:color w:val="auto"/>
              </w:rPr>
            </w:pPr>
            <w:r>
              <w:rPr>
                <w:rFonts w:ascii="Courier New" w:cs="Courier New" w:eastAsia="Courier New" w:hAnsi="Courier New"/>
                <w:sz w:val="16"/>
                <w:szCs w:val="16"/>
                <w:color w:val="auto"/>
                <w:w w:val="95"/>
              </w:rPr>
              <w:t>-------</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Total expenses............................</w:t>
            </w:r>
          </w:p>
        </w:tc>
        <w:tc>
          <w:tcPr>
            <w:tcW w:w="620" w:type="dxa"/>
            <w:vAlign w:val="bottom"/>
          </w:tcPr>
          <w:p>
            <w:pPr>
              <w:spacing w:after="0"/>
              <w:rPr>
                <w:sz w:val="15"/>
                <w:szCs w:val="15"/>
                <w:color w:val="auto"/>
              </w:rPr>
            </w:pPr>
          </w:p>
        </w:tc>
        <w:tc>
          <w:tcPr>
            <w:tcW w:w="12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33,882</w:t>
            </w:r>
          </w:p>
        </w:tc>
        <w:tc>
          <w:tcPr>
            <w:tcW w:w="720" w:type="dxa"/>
            <w:vAlign w:val="bottom"/>
          </w:tcPr>
          <w:p>
            <w:pPr>
              <w:spacing w:after="0"/>
              <w:rPr>
                <w:sz w:val="15"/>
                <w:szCs w:val="15"/>
                <w:color w:val="auto"/>
              </w:rPr>
            </w:pPr>
          </w:p>
        </w:tc>
        <w:tc>
          <w:tcPr>
            <w:tcW w:w="11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445</w:t>
            </w:r>
          </w:p>
        </w:tc>
        <w:tc>
          <w:tcPr>
            <w:tcW w:w="13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34,327</w:t>
            </w:r>
          </w:p>
        </w:tc>
      </w:tr>
      <w:tr>
        <w:trPr>
          <w:trHeight w:val="183"/>
        </w:trPr>
        <w:tc>
          <w:tcPr>
            <w:tcW w:w="4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tcPr>
          <w:p>
            <w:pPr>
              <w:jc w:val="right"/>
              <w:ind w:right="361"/>
              <w:spacing w:after="0"/>
              <w:rPr>
                <w:sz w:val="20"/>
                <w:szCs w:val="20"/>
                <w:color w:val="auto"/>
              </w:rPr>
            </w:pPr>
            <w:r>
              <w:rPr>
                <w:rFonts w:ascii="Courier New" w:cs="Courier New" w:eastAsia="Courier New" w:hAnsi="Courier New"/>
                <w:sz w:val="16"/>
                <w:szCs w:val="16"/>
                <w:color w:val="auto"/>
                <w:w w:val="96"/>
              </w:rPr>
              <w:t>--------</w:t>
            </w:r>
          </w:p>
        </w:tc>
        <w:tc>
          <w:tcPr>
            <w:tcW w:w="720" w:type="dxa"/>
            <w:vAlign w:val="bottom"/>
          </w:tcPr>
          <w:p>
            <w:pPr>
              <w:spacing w:after="0"/>
              <w:rPr>
                <w:sz w:val="15"/>
                <w:szCs w:val="15"/>
                <w:color w:val="auto"/>
              </w:rPr>
            </w:pPr>
          </w:p>
        </w:tc>
        <w:tc>
          <w:tcPr>
            <w:tcW w:w="1180" w:type="dxa"/>
            <w:vAlign w:val="bottom"/>
          </w:tcPr>
          <w:p>
            <w:pPr>
              <w:jc w:val="right"/>
              <w:ind w:right="441"/>
              <w:spacing w:after="0"/>
              <w:rPr>
                <w:sz w:val="20"/>
                <w:szCs w:val="20"/>
                <w:color w:val="auto"/>
              </w:rPr>
            </w:pPr>
            <w:r>
              <w:rPr>
                <w:rFonts w:ascii="Courier New" w:cs="Courier New" w:eastAsia="Courier New" w:hAnsi="Courier New"/>
                <w:sz w:val="16"/>
                <w:szCs w:val="16"/>
                <w:color w:val="auto"/>
                <w:w w:val="95"/>
              </w:rPr>
              <w:t>-------</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6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Income before income taxes.....................</w:t>
            </w:r>
          </w:p>
        </w:tc>
        <w:tc>
          <w:tcPr>
            <w:tcW w:w="620" w:type="dxa"/>
            <w:vAlign w:val="bottom"/>
          </w:tcPr>
          <w:p>
            <w:pPr>
              <w:spacing w:after="0"/>
              <w:rPr>
                <w:sz w:val="15"/>
                <w:szCs w:val="15"/>
                <w:color w:val="auto"/>
              </w:rPr>
            </w:pPr>
          </w:p>
        </w:tc>
        <w:tc>
          <w:tcPr>
            <w:tcW w:w="12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3,637</w:t>
            </w:r>
          </w:p>
        </w:tc>
        <w:tc>
          <w:tcPr>
            <w:tcW w:w="720" w:type="dxa"/>
            <w:vAlign w:val="bottom"/>
          </w:tcPr>
          <w:p>
            <w:pPr>
              <w:spacing w:after="0"/>
              <w:rPr>
                <w:sz w:val="15"/>
                <w:szCs w:val="15"/>
                <w:color w:val="auto"/>
              </w:rPr>
            </w:pPr>
          </w:p>
        </w:tc>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(1,595)</w:t>
            </w:r>
          </w:p>
        </w:tc>
        <w:tc>
          <w:tcPr>
            <w:tcW w:w="13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2,042</w:t>
            </w:r>
          </w:p>
        </w:tc>
      </w:tr>
      <w:tr>
        <w:trPr>
          <w:trHeight w:val="183"/>
        </w:trPr>
        <w:tc>
          <w:tcPr>
            <w:tcW w:w="46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Provision for income taxes.....................</w:t>
            </w:r>
          </w:p>
        </w:tc>
        <w:tc>
          <w:tcPr>
            <w:tcW w:w="620" w:type="dxa"/>
            <w:vAlign w:val="bottom"/>
          </w:tcPr>
          <w:p>
            <w:pPr>
              <w:spacing w:after="0"/>
              <w:rPr>
                <w:sz w:val="15"/>
                <w:szCs w:val="15"/>
                <w:color w:val="auto"/>
              </w:rPr>
            </w:pPr>
          </w:p>
        </w:tc>
        <w:tc>
          <w:tcPr>
            <w:tcW w:w="1200" w:type="dxa"/>
            <w:vAlign w:val="bottom"/>
          </w:tcPr>
          <w:p>
            <w:pPr>
              <w:jc w:val="right"/>
              <w:ind w:right="921"/>
              <w:spacing w:after="0"/>
              <w:rPr>
                <w:sz w:val="20"/>
                <w:szCs w:val="20"/>
                <w:color w:val="auto"/>
              </w:rPr>
            </w:pPr>
            <w:r>
              <w:rPr>
                <w:rFonts w:ascii="Courier New" w:cs="Courier New" w:eastAsia="Courier New" w:hAnsi="Courier New"/>
                <w:sz w:val="16"/>
                <w:szCs w:val="16"/>
                <w:color w:val="auto"/>
                <w:w w:val="93"/>
              </w:rPr>
              <w:t>--</w:t>
            </w:r>
          </w:p>
        </w:tc>
        <w:tc>
          <w:tcPr>
            <w:tcW w:w="720" w:type="dxa"/>
            <w:vAlign w:val="bottom"/>
          </w:tcPr>
          <w:p>
            <w:pPr>
              <w:spacing w:after="0"/>
              <w:rPr>
                <w:sz w:val="15"/>
                <w:szCs w:val="15"/>
                <w:color w:val="auto"/>
              </w:rPr>
            </w:pPr>
          </w:p>
        </w:tc>
        <w:tc>
          <w:tcPr>
            <w:tcW w:w="1180" w:type="dxa"/>
            <w:vAlign w:val="bottom"/>
          </w:tcPr>
          <w:p>
            <w:pPr>
              <w:jc w:val="right"/>
              <w:ind w:right="921"/>
              <w:spacing w:after="0"/>
              <w:rPr>
                <w:sz w:val="20"/>
                <w:szCs w:val="20"/>
                <w:color w:val="auto"/>
              </w:rPr>
            </w:pPr>
            <w:r>
              <w:rPr>
                <w:rFonts w:ascii="Courier New" w:cs="Courier New" w:eastAsia="Courier New" w:hAnsi="Courier New"/>
                <w:sz w:val="16"/>
                <w:szCs w:val="16"/>
                <w:color w:val="auto"/>
                <w:w w:val="83"/>
              </w:rPr>
              <w:t>--</w:t>
            </w:r>
          </w:p>
        </w:tc>
        <w:tc>
          <w:tcPr>
            <w:tcW w:w="130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r>
      <w:tr>
        <w:trPr>
          <w:trHeight w:val="183"/>
        </w:trPr>
        <w:tc>
          <w:tcPr>
            <w:tcW w:w="4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tcPr>
          <w:p>
            <w:pPr>
              <w:jc w:val="right"/>
              <w:ind w:right="361"/>
              <w:spacing w:after="0"/>
              <w:rPr>
                <w:sz w:val="20"/>
                <w:szCs w:val="20"/>
                <w:color w:val="auto"/>
              </w:rPr>
            </w:pPr>
            <w:r>
              <w:rPr>
                <w:rFonts w:ascii="Courier New" w:cs="Courier New" w:eastAsia="Courier New" w:hAnsi="Courier New"/>
                <w:sz w:val="16"/>
                <w:szCs w:val="16"/>
                <w:color w:val="auto"/>
                <w:w w:val="96"/>
              </w:rPr>
              <w:t>--------</w:t>
            </w:r>
          </w:p>
        </w:tc>
        <w:tc>
          <w:tcPr>
            <w:tcW w:w="720" w:type="dxa"/>
            <w:vAlign w:val="bottom"/>
          </w:tcPr>
          <w:p>
            <w:pPr>
              <w:spacing w:after="0"/>
              <w:rPr>
                <w:sz w:val="15"/>
                <w:szCs w:val="15"/>
                <w:color w:val="auto"/>
              </w:rPr>
            </w:pPr>
          </w:p>
        </w:tc>
        <w:tc>
          <w:tcPr>
            <w:tcW w:w="1180" w:type="dxa"/>
            <w:vAlign w:val="bottom"/>
          </w:tcPr>
          <w:p>
            <w:pPr>
              <w:jc w:val="right"/>
              <w:ind w:right="441"/>
              <w:spacing w:after="0"/>
              <w:rPr>
                <w:sz w:val="20"/>
                <w:szCs w:val="20"/>
                <w:color w:val="auto"/>
              </w:rPr>
            </w:pPr>
            <w:r>
              <w:rPr>
                <w:rFonts w:ascii="Courier New" w:cs="Courier New" w:eastAsia="Courier New" w:hAnsi="Courier New"/>
                <w:sz w:val="16"/>
                <w:szCs w:val="16"/>
                <w:color w:val="auto"/>
                <w:w w:val="95"/>
              </w:rPr>
              <w:t>-------</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6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Net income.....................................</w:t>
            </w:r>
          </w:p>
        </w:tc>
        <w:tc>
          <w:tcPr>
            <w:tcW w:w="620" w:type="dxa"/>
            <w:vAlign w:val="bottom"/>
          </w:tcPr>
          <w:p>
            <w:pPr>
              <w:ind w:left="520"/>
              <w:spacing w:after="0"/>
              <w:rPr>
                <w:sz w:val="20"/>
                <w:szCs w:val="20"/>
                <w:color w:val="auto"/>
              </w:rPr>
            </w:pPr>
            <w:r>
              <w:rPr>
                <w:rFonts w:ascii="Courier New" w:cs="Courier New" w:eastAsia="Courier New" w:hAnsi="Courier New"/>
                <w:sz w:val="16"/>
                <w:szCs w:val="16"/>
                <w:color w:val="auto"/>
                <w:w w:val="82"/>
              </w:rPr>
              <w:t>$</w:t>
            </w:r>
          </w:p>
        </w:tc>
        <w:tc>
          <w:tcPr>
            <w:tcW w:w="12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3,637</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(1,595)</w:t>
            </w:r>
          </w:p>
        </w:tc>
        <w:tc>
          <w:tcPr>
            <w:tcW w:w="13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  2,042</w:t>
            </w:r>
          </w:p>
        </w:tc>
      </w:tr>
      <w:tr>
        <w:trPr>
          <w:trHeight w:val="183"/>
        </w:trPr>
        <w:tc>
          <w:tcPr>
            <w:tcW w:w="4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tcPr>
          <w:p>
            <w:pPr>
              <w:jc w:val="right"/>
              <w:ind w:right="361"/>
              <w:spacing w:after="0"/>
              <w:rPr>
                <w:sz w:val="20"/>
                <w:szCs w:val="20"/>
                <w:color w:val="auto"/>
              </w:rPr>
            </w:pPr>
            <w:r>
              <w:rPr>
                <w:rFonts w:ascii="Courier New" w:cs="Courier New" w:eastAsia="Courier New" w:hAnsi="Courier New"/>
                <w:sz w:val="16"/>
                <w:szCs w:val="16"/>
                <w:color w:val="auto"/>
                <w:w w:val="96"/>
              </w:rPr>
              <w:t>--------</w:t>
            </w:r>
          </w:p>
        </w:tc>
        <w:tc>
          <w:tcPr>
            <w:tcW w:w="720" w:type="dxa"/>
            <w:vAlign w:val="bottom"/>
          </w:tcPr>
          <w:p>
            <w:pPr>
              <w:spacing w:after="0"/>
              <w:rPr>
                <w:sz w:val="15"/>
                <w:szCs w:val="15"/>
                <w:color w:val="auto"/>
              </w:rPr>
            </w:pPr>
          </w:p>
        </w:tc>
        <w:tc>
          <w:tcPr>
            <w:tcW w:w="1180" w:type="dxa"/>
            <w:vAlign w:val="bottom"/>
          </w:tcPr>
          <w:p>
            <w:pPr>
              <w:jc w:val="right"/>
              <w:ind w:right="441"/>
              <w:spacing w:after="0"/>
              <w:rPr>
                <w:sz w:val="20"/>
                <w:szCs w:val="20"/>
                <w:color w:val="auto"/>
              </w:rPr>
            </w:pPr>
            <w:r>
              <w:rPr>
                <w:rFonts w:ascii="Courier New" w:cs="Courier New" w:eastAsia="Courier New" w:hAnsi="Courier New"/>
                <w:sz w:val="16"/>
                <w:szCs w:val="16"/>
                <w:color w:val="auto"/>
                <w:w w:val="95"/>
              </w:rPr>
              <w:t>-------</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tcPr>
          <w:p>
            <w:pPr>
              <w:jc w:val="right"/>
              <w:ind w:right="361"/>
              <w:spacing w:after="0"/>
              <w:rPr>
                <w:sz w:val="20"/>
                <w:szCs w:val="20"/>
                <w:color w:val="auto"/>
              </w:rPr>
            </w:pPr>
            <w:r>
              <w:rPr>
                <w:rFonts w:ascii="Courier New" w:cs="Courier New" w:eastAsia="Courier New" w:hAnsi="Courier New"/>
                <w:sz w:val="16"/>
                <w:szCs w:val="16"/>
                <w:color w:val="auto"/>
                <w:w w:val="96"/>
              </w:rPr>
              <w:t>--------</w:t>
            </w:r>
          </w:p>
        </w:tc>
        <w:tc>
          <w:tcPr>
            <w:tcW w:w="720" w:type="dxa"/>
            <w:vAlign w:val="bottom"/>
          </w:tcPr>
          <w:p>
            <w:pPr>
              <w:spacing w:after="0"/>
              <w:rPr>
                <w:sz w:val="15"/>
                <w:szCs w:val="15"/>
                <w:color w:val="auto"/>
              </w:rPr>
            </w:pPr>
          </w:p>
        </w:tc>
        <w:tc>
          <w:tcPr>
            <w:tcW w:w="1180" w:type="dxa"/>
            <w:vAlign w:val="bottom"/>
          </w:tcPr>
          <w:p>
            <w:pPr>
              <w:jc w:val="right"/>
              <w:ind w:right="441"/>
              <w:spacing w:after="0"/>
              <w:rPr>
                <w:sz w:val="20"/>
                <w:szCs w:val="20"/>
                <w:color w:val="auto"/>
              </w:rPr>
            </w:pPr>
            <w:r>
              <w:rPr>
                <w:rFonts w:ascii="Courier New" w:cs="Courier New" w:eastAsia="Courier New" w:hAnsi="Courier New"/>
                <w:sz w:val="16"/>
                <w:szCs w:val="16"/>
                <w:color w:val="auto"/>
                <w:w w:val="95"/>
              </w:rPr>
              <w:t>-------</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6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94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734"/>
        </w:trPr>
        <w:tc>
          <w:tcPr>
            <w:tcW w:w="5680" w:type="dxa"/>
            <w:vAlign w:val="bottom"/>
          </w:tcPr>
          <w:p>
            <w:pPr>
              <w:spacing w:after="0"/>
              <w:rPr>
                <w:sz w:val="24"/>
                <w:szCs w:val="24"/>
                <w:color w:val="auto"/>
              </w:rPr>
            </w:pPr>
          </w:p>
        </w:tc>
        <w:tc>
          <w:tcPr>
            <w:tcW w:w="19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YEAR ENDED</w:t>
            </w:r>
          </w:p>
        </w:tc>
        <w:tc>
          <w:tcPr>
            <w:tcW w:w="1920" w:type="dxa"/>
            <w:vAlign w:val="bottom"/>
          </w:tcPr>
          <w:p>
            <w:pPr>
              <w:jc w:val="center"/>
              <w:ind w:left="121"/>
              <w:spacing w:after="0"/>
              <w:rPr>
                <w:sz w:val="20"/>
                <w:szCs w:val="20"/>
                <w:color w:val="auto"/>
              </w:rPr>
            </w:pPr>
            <w:r>
              <w:rPr>
                <w:rFonts w:ascii="Courier New" w:cs="Courier New" w:eastAsia="Courier New" w:hAnsi="Courier New"/>
                <w:sz w:val="16"/>
                <w:szCs w:val="16"/>
                <w:color w:val="auto"/>
                <w:w w:val="99"/>
              </w:rPr>
              <w:t>THREE MONTHS ENDED</w:t>
            </w:r>
          </w:p>
        </w:tc>
      </w:tr>
      <w:tr>
        <w:trPr>
          <w:trHeight w:val="183"/>
        </w:trPr>
        <w:tc>
          <w:tcPr>
            <w:tcW w:w="5680" w:type="dxa"/>
            <w:vAlign w:val="bottom"/>
          </w:tcPr>
          <w:p>
            <w:pPr>
              <w:spacing w:after="0"/>
              <w:rPr>
                <w:sz w:val="15"/>
                <w:szCs w:val="15"/>
                <w:color w:val="auto"/>
              </w:rPr>
            </w:pPr>
          </w:p>
        </w:tc>
        <w:tc>
          <w:tcPr>
            <w:tcW w:w="1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DECEMBER 31, 1995</w:t>
            </w:r>
          </w:p>
        </w:tc>
        <w:tc>
          <w:tcPr>
            <w:tcW w:w="1920" w:type="dxa"/>
            <w:vAlign w:val="bottom"/>
          </w:tcPr>
          <w:p>
            <w:pPr>
              <w:jc w:val="center"/>
              <w:ind w:left="101"/>
              <w:spacing w:after="0"/>
              <w:rPr>
                <w:sz w:val="20"/>
                <w:szCs w:val="20"/>
                <w:color w:val="auto"/>
              </w:rPr>
            </w:pPr>
            <w:r>
              <w:rPr>
                <w:rFonts w:ascii="Courier New" w:cs="Courier New" w:eastAsia="Courier New" w:hAnsi="Courier New"/>
                <w:sz w:val="16"/>
                <w:szCs w:val="16"/>
                <w:color w:val="auto"/>
                <w:w w:val="99"/>
              </w:rPr>
              <w:t>MARCH 31, 1996</w:t>
            </w:r>
          </w:p>
        </w:tc>
      </w:tr>
      <w:tr>
        <w:trPr>
          <w:trHeight w:val="183"/>
        </w:trPr>
        <w:tc>
          <w:tcPr>
            <w:tcW w:w="5680" w:type="dxa"/>
            <w:vAlign w:val="bottom"/>
          </w:tcPr>
          <w:p>
            <w:pPr>
              <w:spacing w:after="0"/>
              <w:rPr>
                <w:sz w:val="15"/>
                <w:szCs w:val="15"/>
                <w:color w:val="auto"/>
              </w:rPr>
            </w:pPr>
          </w:p>
        </w:tc>
        <w:tc>
          <w:tcPr>
            <w:tcW w:w="1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920" w:type="dxa"/>
            <w:vAlign w:val="bottom"/>
          </w:tcPr>
          <w:p>
            <w:pPr>
              <w:jc w:val="center"/>
              <w:ind w:left="121"/>
              <w:spacing w:after="0"/>
              <w:rPr>
                <w:sz w:val="20"/>
                <w:szCs w:val="20"/>
                <w:color w:val="auto"/>
              </w:rPr>
            </w:pPr>
            <w:r>
              <w:rPr>
                <w:rFonts w:ascii="Courier New" w:cs="Courier New" w:eastAsia="Courier New" w:hAnsi="Courier New"/>
                <w:sz w:val="16"/>
                <w:szCs w:val="16"/>
                <w:color w:val="auto"/>
                <w:w w:val="99"/>
              </w:rPr>
              <w:t>------------------</w:t>
            </w:r>
          </w:p>
        </w:tc>
      </w:tr>
      <w:tr>
        <w:trPr>
          <w:trHeight w:val="367"/>
        </w:trPr>
        <w:tc>
          <w:tcPr>
            <w:tcW w:w="5680" w:type="dxa"/>
            <w:vAlign w:val="bottom"/>
          </w:tcPr>
          <w:p>
            <w:pPr>
              <w:spacing w:after="0"/>
              <w:rPr>
                <w:sz w:val="20"/>
                <w:szCs w:val="20"/>
                <w:color w:val="auto"/>
              </w:rPr>
            </w:pPr>
            <w:r>
              <w:rPr>
                <w:rFonts w:ascii="Courier New" w:cs="Courier New" w:eastAsia="Courier New" w:hAnsi="Courier New"/>
                <w:sz w:val="16"/>
                <w:szCs w:val="16"/>
                <w:color w:val="auto"/>
              </w:rPr>
              <w:t>(1)   Adjustments to Net Revenues--</w:t>
            </w:r>
          </w:p>
        </w:tc>
        <w:tc>
          <w:tcPr>
            <w:tcW w:w="19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83"/>
        </w:trPr>
        <w:tc>
          <w:tcPr>
            <w:tcW w:w="5680" w:type="dxa"/>
            <w:vAlign w:val="bottom"/>
          </w:tcPr>
          <w:p>
            <w:pPr>
              <w:ind w:left="580"/>
              <w:spacing w:after="0"/>
              <w:rPr>
                <w:sz w:val="20"/>
                <w:szCs w:val="20"/>
                <w:color w:val="auto"/>
              </w:rPr>
            </w:pPr>
            <w:r>
              <w:rPr>
                <w:rFonts w:ascii="Courier New" w:cs="Courier New" w:eastAsia="Courier New" w:hAnsi="Courier New"/>
                <w:sz w:val="16"/>
                <w:szCs w:val="16"/>
                <w:color w:val="auto"/>
              </w:rPr>
              <w:t>. To eliminate nonoperating income of net assets</w:t>
            </w:r>
          </w:p>
        </w:tc>
        <w:tc>
          <w:tcPr>
            <w:tcW w:w="194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183"/>
        </w:trPr>
        <w:tc>
          <w:tcPr>
            <w:tcW w:w="5680" w:type="dxa"/>
            <w:vAlign w:val="bottom"/>
          </w:tcPr>
          <w:p>
            <w:pPr>
              <w:ind w:left="580"/>
              <w:spacing w:after="0"/>
              <w:rPr>
                <w:sz w:val="20"/>
                <w:szCs w:val="20"/>
                <w:color w:val="auto"/>
              </w:rPr>
            </w:pPr>
            <w:r>
              <w:rPr>
                <w:rFonts w:ascii="Courier New" w:cs="Courier New" w:eastAsia="Courier New" w:hAnsi="Courier New"/>
                <w:sz w:val="16"/>
                <w:szCs w:val="16"/>
                <w:color w:val="auto"/>
              </w:rPr>
              <w:t>not acquired........................................</w:t>
            </w:r>
          </w:p>
        </w:tc>
        <w:tc>
          <w:tcPr>
            <w:tcW w:w="19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$(3,689)</w:t>
            </w:r>
          </w:p>
        </w:tc>
        <w:tc>
          <w:tcPr>
            <w:tcW w:w="19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 (1,066)</w:t>
            </w:r>
          </w:p>
        </w:tc>
      </w:tr>
      <w:tr>
        <w:trPr>
          <w:trHeight w:val="183"/>
        </w:trPr>
        <w:tc>
          <w:tcPr>
            <w:tcW w:w="5680" w:type="dxa"/>
            <w:vAlign w:val="bottom"/>
          </w:tcPr>
          <w:p>
            <w:pPr>
              <w:ind w:left="580"/>
              <w:spacing w:after="0"/>
              <w:rPr>
                <w:sz w:val="20"/>
                <w:szCs w:val="20"/>
                <w:color w:val="auto"/>
              </w:rPr>
            </w:pPr>
            <w:r>
              <w:rPr>
                <w:rFonts w:ascii="Courier New" w:cs="Courier New" w:eastAsia="Courier New" w:hAnsi="Courier New"/>
                <w:sz w:val="16"/>
                <w:szCs w:val="16"/>
                <w:color w:val="auto"/>
              </w:rPr>
              <w:t>. To eliminate ad valorem tax revenue at Northwest</w:t>
            </w:r>
          </w:p>
        </w:tc>
        <w:tc>
          <w:tcPr>
            <w:tcW w:w="194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183"/>
        </w:trPr>
        <w:tc>
          <w:tcPr>
            <w:tcW w:w="5680" w:type="dxa"/>
            <w:vAlign w:val="bottom"/>
          </w:tcPr>
          <w:p>
            <w:pPr>
              <w:ind w:left="580"/>
              <w:spacing w:after="0"/>
              <w:rPr>
                <w:sz w:val="20"/>
                <w:szCs w:val="20"/>
                <w:color w:val="auto"/>
              </w:rPr>
            </w:pPr>
            <w:r>
              <w:rPr>
                <w:rFonts w:ascii="Courier New" w:cs="Courier New" w:eastAsia="Courier New" w:hAnsi="Courier New"/>
                <w:sz w:val="16"/>
                <w:szCs w:val="16"/>
                <w:color w:val="auto"/>
              </w:rPr>
              <w:t>Texas Health........................................</w:t>
            </w:r>
          </w:p>
        </w:tc>
        <w:tc>
          <w:tcPr>
            <w:tcW w:w="19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(8,224)</w:t>
            </w:r>
          </w:p>
        </w:tc>
        <w:tc>
          <w:tcPr>
            <w:tcW w:w="19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(2,084)</w:t>
            </w:r>
          </w:p>
        </w:tc>
      </w:tr>
      <w:tr>
        <w:trPr>
          <w:trHeight w:val="183"/>
        </w:trPr>
        <w:tc>
          <w:tcPr>
            <w:tcW w:w="5680" w:type="dxa"/>
            <w:vAlign w:val="bottom"/>
          </w:tcPr>
          <w:p>
            <w:pPr>
              <w:ind w:left="580"/>
              <w:spacing w:after="0"/>
              <w:rPr>
                <w:sz w:val="20"/>
                <w:szCs w:val="20"/>
                <w:color w:val="auto"/>
              </w:rPr>
            </w:pPr>
            <w:r>
              <w:rPr>
                <w:rFonts w:ascii="Courier New" w:cs="Courier New" w:eastAsia="Courier New" w:hAnsi="Courier New"/>
                <w:sz w:val="16"/>
                <w:szCs w:val="16"/>
                <w:color w:val="auto"/>
              </w:rPr>
              <w:t>. To record indigent care receipts at Northwest</w:t>
            </w:r>
          </w:p>
        </w:tc>
        <w:tc>
          <w:tcPr>
            <w:tcW w:w="194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183"/>
        </w:trPr>
        <w:tc>
          <w:tcPr>
            <w:tcW w:w="5680" w:type="dxa"/>
            <w:vAlign w:val="bottom"/>
          </w:tcPr>
          <w:p>
            <w:pPr>
              <w:ind w:left="580"/>
              <w:spacing w:after="0"/>
              <w:rPr>
                <w:sz w:val="20"/>
                <w:szCs w:val="20"/>
                <w:color w:val="auto"/>
              </w:rPr>
            </w:pPr>
            <w:r>
              <w:rPr>
                <w:rFonts w:ascii="Courier New" w:cs="Courier New" w:eastAsia="Courier New" w:hAnsi="Courier New"/>
                <w:sz w:val="16"/>
                <w:szCs w:val="16"/>
                <w:color w:val="auto"/>
              </w:rPr>
              <w:t>Texas Health........................................</w:t>
            </w:r>
          </w:p>
        </w:tc>
        <w:tc>
          <w:tcPr>
            <w:tcW w:w="194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8,000</w:t>
            </w:r>
          </w:p>
        </w:tc>
        <w:tc>
          <w:tcPr>
            <w:tcW w:w="19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2,000</w:t>
            </w:r>
          </w:p>
        </w:tc>
      </w:tr>
      <w:tr>
        <w:trPr>
          <w:trHeight w:val="183"/>
        </w:trPr>
        <w:tc>
          <w:tcPr>
            <w:tcW w:w="5680" w:type="dxa"/>
            <w:vAlign w:val="bottom"/>
          </w:tcPr>
          <w:p>
            <w:pPr>
              <w:spacing w:after="0"/>
              <w:rPr>
                <w:sz w:val="15"/>
                <w:szCs w:val="15"/>
                <w:color w:val="auto"/>
              </w:rPr>
            </w:pPr>
          </w:p>
        </w:tc>
        <w:tc>
          <w:tcPr>
            <w:tcW w:w="194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9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r>
      <w:tr>
        <w:trPr>
          <w:trHeight w:val="183"/>
        </w:trPr>
        <w:tc>
          <w:tcPr>
            <w:tcW w:w="5680" w:type="dxa"/>
            <w:vAlign w:val="bottom"/>
          </w:tcPr>
          <w:p>
            <w:pPr>
              <w:ind w:left="580"/>
              <w:spacing w:after="0"/>
              <w:rPr>
                <w:sz w:val="20"/>
                <w:szCs w:val="20"/>
                <w:color w:val="auto"/>
              </w:rPr>
            </w:pPr>
            <w:r>
              <w:rPr>
                <w:rFonts w:ascii="Courier New" w:cs="Courier New" w:eastAsia="Courier New" w:hAnsi="Courier New"/>
                <w:sz w:val="16"/>
                <w:szCs w:val="16"/>
                <w:color w:val="auto"/>
              </w:rPr>
              <w:t>Total adjustments to Net Revenues...................</w:t>
            </w:r>
          </w:p>
        </w:tc>
        <w:tc>
          <w:tcPr>
            <w:tcW w:w="19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(3,913)</w:t>
            </w:r>
          </w:p>
        </w:tc>
        <w:tc>
          <w:tcPr>
            <w:tcW w:w="19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(1,150)</w:t>
            </w:r>
          </w:p>
        </w:tc>
      </w:tr>
      <w:tr>
        <w:trPr>
          <w:trHeight w:val="183"/>
        </w:trPr>
        <w:tc>
          <w:tcPr>
            <w:tcW w:w="5680" w:type="dxa"/>
            <w:vAlign w:val="bottom"/>
          </w:tcPr>
          <w:p>
            <w:pPr>
              <w:spacing w:after="0"/>
              <w:rPr>
                <w:sz w:val="15"/>
                <w:szCs w:val="15"/>
                <w:color w:val="auto"/>
              </w:rPr>
            </w:pPr>
          </w:p>
        </w:tc>
        <w:tc>
          <w:tcPr>
            <w:tcW w:w="194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9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r>
      <w:tr>
        <w:trPr>
          <w:trHeight w:val="183"/>
        </w:trPr>
        <w:tc>
          <w:tcPr>
            <w:tcW w:w="5680" w:type="dxa"/>
            <w:vAlign w:val="bottom"/>
          </w:tcPr>
          <w:p>
            <w:pPr>
              <w:spacing w:after="0"/>
              <w:rPr>
                <w:sz w:val="15"/>
                <w:szCs w:val="15"/>
                <w:color w:val="auto"/>
              </w:rPr>
            </w:pPr>
          </w:p>
        </w:tc>
        <w:tc>
          <w:tcPr>
            <w:tcW w:w="194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9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r>
      <w:tr>
        <w:trPr>
          <w:trHeight w:val="183"/>
        </w:trPr>
        <w:tc>
          <w:tcPr>
            <w:tcW w:w="5680" w:type="dxa"/>
            <w:vAlign w:val="bottom"/>
          </w:tcPr>
          <w:p>
            <w:pPr>
              <w:spacing w:after="0"/>
              <w:rPr>
                <w:sz w:val="20"/>
                <w:szCs w:val="20"/>
                <w:color w:val="auto"/>
              </w:rPr>
            </w:pPr>
            <w:r>
              <w:rPr>
                <w:rFonts w:ascii="Courier New" w:cs="Courier New" w:eastAsia="Courier New" w:hAnsi="Courier New"/>
                <w:sz w:val="16"/>
                <w:szCs w:val="16"/>
                <w:color w:val="auto"/>
              </w:rPr>
              <w:t>(2)   To increase operating expenses at Northwest Texas</w:t>
            </w:r>
          </w:p>
        </w:tc>
        <w:tc>
          <w:tcPr>
            <w:tcW w:w="194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183"/>
        </w:trPr>
        <w:tc>
          <w:tcPr>
            <w:tcW w:w="5680" w:type="dxa"/>
            <w:vAlign w:val="bottom"/>
          </w:tcPr>
          <w:p>
            <w:pPr>
              <w:ind w:left="580"/>
              <w:spacing w:after="0"/>
              <w:rPr>
                <w:sz w:val="20"/>
                <w:szCs w:val="20"/>
                <w:color w:val="auto"/>
              </w:rPr>
            </w:pPr>
            <w:r>
              <w:rPr>
                <w:rFonts w:ascii="Courier New" w:cs="Courier New" w:eastAsia="Courier New" w:hAnsi="Courier New"/>
                <w:sz w:val="16"/>
                <w:szCs w:val="16"/>
                <w:color w:val="auto"/>
              </w:rPr>
              <w:t>Health for state and local taxes and other operating</w:t>
            </w:r>
          </w:p>
        </w:tc>
        <w:tc>
          <w:tcPr>
            <w:tcW w:w="194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183"/>
        </w:trPr>
        <w:tc>
          <w:tcPr>
            <w:tcW w:w="5680" w:type="dxa"/>
            <w:vAlign w:val="bottom"/>
          </w:tcPr>
          <w:p>
            <w:pPr>
              <w:ind w:left="580"/>
              <w:spacing w:after="0"/>
              <w:rPr>
                <w:sz w:val="20"/>
                <w:szCs w:val="20"/>
                <w:color w:val="auto"/>
              </w:rPr>
            </w:pPr>
            <w:r>
              <w:rPr>
                <w:rFonts w:ascii="Courier New" w:cs="Courier New" w:eastAsia="Courier New" w:hAnsi="Courier New"/>
                <w:sz w:val="16"/>
                <w:szCs w:val="16"/>
                <w:color w:val="auto"/>
              </w:rPr>
              <w:t>expenses, net of assumed contractual cost savings of</w:t>
            </w:r>
          </w:p>
        </w:tc>
        <w:tc>
          <w:tcPr>
            <w:tcW w:w="194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183"/>
        </w:trPr>
        <w:tc>
          <w:tcPr>
            <w:tcW w:w="5680" w:type="dxa"/>
            <w:vAlign w:val="bottom"/>
          </w:tcPr>
          <w:p>
            <w:pPr>
              <w:ind w:left="580"/>
              <w:spacing w:after="0"/>
              <w:rPr>
                <w:sz w:val="20"/>
                <w:szCs w:val="20"/>
                <w:color w:val="auto"/>
              </w:rPr>
            </w:pPr>
            <w:r>
              <w:rPr>
                <w:rFonts w:ascii="Courier New" w:cs="Courier New" w:eastAsia="Courier New" w:hAnsi="Courier New"/>
                <w:sz w:val="16"/>
                <w:szCs w:val="16"/>
                <w:color w:val="auto"/>
              </w:rPr>
              <w:t>$1 million annually.................................</w:t>
            </w:r>
          </w:p>
        </w:tc>
        <w:tc>
          <w:tcPr>
            <w:tcW w:w="194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4,350</w:t>
            </w:r>
          </w:p>
        </w:tc>
        <w:tc>
          <w:tcPr>
            <w:tcW w:w="19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701</w:t>
            </w:r>
          </w:p>
        </w:tc>
      </w:tr>
      <w:tr>
        <w:trPr>
          <w:trHeight w:val="183"/>
        </w:trPr>
        <w:tc>
          <w:tcPr>
            <w:tcW w:w="5680" w:type="dxa"/>
            <w:vAlign w:val="bottom"/>
          </w:tcPr>
          <w:p>
            <w:pPr>
              <w:spacing w:after="0"/>
              <w:rPr>
                <w:sz w:val="15"/>
                <w:szCs w:val="15"/>
                <w:color w:val="auto"/>
              </w:rPr>
            </w:pPr>
          </w:p>
        </w:tc>
        <w:tc>
          <w:tcPr>
            <w:tcW w:w="194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9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r>
      <w:tr>
        <w:trPr>
          <w:trHeight w:val="183"/>
        </w:trPr>
        <w:tc>
          <w:tcPr>
            <w:tcW w:w="5680" w:type="dxa"/>
            <w:vAlign w:val="bottom"/>
          </w:tcPr>
          <w:p>
            <w:pPr>
              <w:spacing w:after="0"/>
              <w:rPr>
                <w:sz w:val="15"/>
                <w:szCs w:val="15"/>
                <w:color w:val="auto"/>
              </w:rPr>
            </w:pPr>
          </w:p>
        </w:tc>
        <w:tc>
          <w:tcPr>
            <w:tcW w:w="194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9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0219"/>
          </w:cols>
          <w:pgMar w:left="240" w:top="484" w:right="1440" w:bottom="0" w:gutter="0" w:footer="0" w:header="0"/>
        </w:sectPr>
      </w:pPr>
    </w:p>
    <w:bookmarkStart w:id="24" w:name="page25"/>
    <w:bookmarkEnd w:id="24"/>
    <w:p>
      <w:pPr>
        <w:ind w:left="582" w:right="5459" w:hanging="582"/>
        <w:spacing w:after="0" w:line="239" w:lineRule="auto"/>
        <w:tabs>
          <w:tab w:leader="none" w:pos="582"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Adjustments to Depreciation and amortization expense--</w:t>
      </w:r>
    </w:p>
    <w:p>
      <w:pPr>
        <w:spacing w:after="0" w:line="2" w:lineRule="exact"/>
        <w:rPr>
          <w:rFonts w:ascii="Courier New" w:cs="Courier New" w:eastAsia="Courier New" w:hAnsi="Courier New"/>
          <w:sz w:val="16"/>
          <w:szCs w:val="16"/>
          <w:color w:val="auto"/>
        </w:rPr>
      </w:pPr>
    </w:p>
    <w:p>
      <w:pPr>
        <w:ind w:left="58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To eliminate historical depreciation expense at</w:t>
      </w:r>
    </w:p>
    <w:p>
      <w:pPr>
        <w:spacing w:after="0" w:line="2" w:lineRule="exact"/>
        <w:rPr>
          <w:sz w:val="20"/>
          <w:szCs w:val="20"/>
          <w:color w:val="auto"/>
        </w:rPr>
      </w:pPr>
    </w:p>
    <w:tbl>
      <w:tblPr>
        <w:tblLayout w:type="fixed"/>
        <w:tblInd w:w="762" w:type="dxa"/>
        <w:tblCellMar>
          <w:top w:w="0" w:type="dxa"/>
          <w:left w:w="0" w:type="dxa"/>
          <w:bottom w:w="0" w:type="dxa"/>
          <w:right w:w="0" w:type="dxa"/>
        </w:tblCellMar>
      </w:tblPr>
      <w:tr>
        <w:trPr>
          <w:trHeight w:val="181"/>
        </w:trPr>
        <w:tc>
          <w:tcPr>
            <w:tcW w:w="5160" w:type="dxa"/>
            <w:vAlign w:val="bottom"/>
          </w:tcPr>
          <w:p>
            <w:pPr>
              <w:spacing w:after="0"/>
              <w:rPr>
                <w:sz w:val="20"/>
                <w:szCs w:val="20"/>
                <w:color w:val="auto"/>
              </w:rPr>
            </w:pPr>
            <w:r>
              <w:rPr>
                <w:rFonts w:ascii="Courier New" w:cs="Courier New" w:eastAsia="Courier New" w:hAnsi="Courier New"/>
                <w:sz w:val="16"/>
                <w:szCs w:val="16"/>
                <w:color w:val="auto"/>
              </w:rPr>
              <w:t>Northwest Texas Health............................</w:t>
            </w:r>
          </w:p>
        </w:tc>
        <w:tc>
          <w:tcPr>
            <w:tcW w:w="17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$(8,724)</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 (2,091)</w:t>
            </w:r>
          </w:p>
        </w:tc>
      </w:tr>
    </w:tbl>
    <w:p>
      <w:pPr>
        <w:spacing w:after="0" w:line="369"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21"/>
          </w:cols>
          <w:pgMar w:left="238" w:top="142" w:right="1440" w:bottom="1440" w:gutter="0" w:footer="0" w:header="0"/>
        </w:sectPr>
      </w:pPr>
    </w:p>
    <w:bookmarkStart w:id="25" w:name="page26"/>
    <w:bookmarkEnd w:id="25"/>
    <w:p>
      <w:pPr>
        <w:jc w:val="center"/>
        <w:ind w:left="1042" w:right="2879"/>
        <w:spacing w:after="0"/>
        <w:rPr>
          <w:sz w:val="20"/>
          <w:szCs w:val="20"/>
          <w:color w:val="auto"/>
        </w:rPr>
      </w:pPr>
      <w:r>
        <w:rPr>
          <w:rFonts w:ascii="Courier New" w:cs="Courier New" w:eastAsia="Courier New" w:hAnsi="Courier New"/>
          <w:sz w:val="16"/>
          <w:szCs w:val="16"/>
          <w:color w:val="auto"/>
        </w:rPr>
        <w:t>UNIVERSAL HEALTH SERVICES, INC. AND SUBSIDIARIES NOTES TO MANAGEMENT'S ASSUMPTIONS TO UNAUDITED PRO FORMA CONDENSED CONSOLIDATED FINANCIAL STATEMENTS--(CONTINUED)</w:t>
      </w:r>
    </w:p>
    <w:p>
      <w:pPr>
        <w:sectPr>
          <w:pgSz w:w="11900" w:h="16838" w:orient="portrait"/>
          <w:cols w:equalWidth="0" w:num="1">
            <w:col w:w="10221"/>
          </w:cols>
          <w:pgMar w:left="238" w:top="484" w:right="1440" w:bottom="0" w:gutter="0" w:footer="0" w:header="0"/>
        </w:sectPr>
      </w:pPr>
    </w:p>
    <w:p>
      <w:pPr>
        <w:spacing w:after="0" w:line="200" w:lineRule="exact"/>
        <w:rPr>
          <w:sz w:val="20"/>
          <w:szCs w:val="20"/>
          <w:color w:val="auto"/>
        </w:rPr>
      </w:pPr>
    </w:p>
    <w:p>
      <w:pPr>
        <w:spacing w:after="0" w:line="354" w:lineRule="exact"/>
        <w:rPr>
          <w:sz w:val="20"/>
          <w:szCs w:val="20"/>
          <w:color w:val="auto"/>
        </w:rPr>
      </w:pPr>
    </w:p>
    <w:p>
      <w:pPr>
        <w:ind w:left="6102"/>
        <w:spacing w:after="0"/>
        <w:rPr>
          <w:sz w:val="20"/>
          <w:szCs w:val="20"/>
          <w:color w:val="auto"/>
        </w:rPr>
      </w:pPr>
      <w:r>
        <w:rPr>
          <w:rFonts w:ascii="Courier New" w:cs="Courier New" w:eastAsia="Courier New" w:hAnsi="Courier New"/>
          <w:sz w:val="16"/>
          <w:szCs w:val="16"/>
          <w:color w:val="auto"/>
        </w:rPr>
        <w:t>YEAR ENDED</w:t>
      </w:r>
    </w:p>
    <w:p>
      <w:pPr>
        <w:spacing w:after="0" w:line="5" w:lineRule="exact"/>
        <w:rPr>
          <w:sz w:val="20"/>
          <w:szCs w:val="20"/>
          <w:color w:val="auto"/>
        </w:rPr>
      </w:pPr>
    </w:p>
    <w:p>
      <w:pPr>
        <w:ind w:left="5822"/>
        <w:spacing w:after="0"/>
        <w:rPr>
          <w:sz w:val="20"/>
          <w:szCs w:val="20"/>
          <w:color w:val="auto"/>
        </w:rPr>
      </w:pPr>
      <w:r>
        <w:rPr>
          <w:rFonts w:ascii="Courier New" w:cs="Courier New" w:eastAsia="Courier New" w:hAnsi="Courier New"/>
          <w:sz w:val="15"/>
          <w:szCs w:val="15"/>
          <w:color w:val="auto"/>
        </w:rPr>
        <w:t>DECEMBER 31, 1995</w:t>
      </w:r>
    </w:p>
    <w:p>
      <w:pPr>
        <w:spacing w:after="0" w:line="13" w:lineRule="exact"/>
        <w:rPr>
          <w:sz w:val="20"/>
          <w:szCs w:val="20"/>
          <w:color w:val="auto"/>
        </w:rPr>
      </w:pPr>
    </w:p>
    <w:p>
      <w:pPr>
        <w:ind w:left="5822"/>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jc w:val="center"/>
        <w:ind w:right="679"/>
        <w:spacing w:after="0" w:line="265" w:lineRule="auto"/>
        <w:rPr>
          <w:sz w:val="20"/>
          <w:szCs w:val="20"/>
          <w:color w:val="auto"/>
        </w:rPr>
      </w:pPr>
      <w:r>
        <w:rPr>
          <w:rFonts w:ascii="Courier New" w:cs="Courier New" w:eastAsia="Courier New" w:hAnsi="Courier New"/>
          <w:sz w:val="15"/>
          <w:szCs w:val="15"/>
          <w:color w:val="auto"/>
        </w:rPr>
        <w:t>THREE MONTHS ENDED MARCH 31, 1996 ------------------</w:t>
      </w:r>
    </w:p>
    <w:p>
      <w:pPr>
        <w:spacing w:after="0" w:line="171" w:lineRule="exact"/>
        <w:rPr>
          <w:sz w:val="20"/>
          <w:szCs w:val="20"/>
          <w:color w:val="auto"/>
        </w:rPr>
      </w:pPr>
    </w:p>
    <w:p>
      <w:pPr>
        <w:sectPr>
          <w:pgSz w:w="11900" w:h="16838" w:orient="portrait"/>
          <w:cols w:equalWidth="0" w:num="2">
            <w:col w:w="7442" w:space="380"/>
            <w:col w:w="2399"/>
          </w:cols>
          <w:pgMar w:left="238" w:top="484" w:right="1440" w:bottom="0" w:gutter="0" w:footer="0" w:header="0"/>
          <w:type w:val="continuous"/>
        </w:sectPr>
      </w:pPr>
    </w:p>
    <w:p>
      <w:pPr>
        <w:ind w:left="762" w:right="4699" w:hanging="190"/>
        <w:spacing w:after="0" w:line="259" w:lineRule="auto"/>
        <w:tabs>
          <w:tab w:leader="none" w:pos="762"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historical depreciation and amortization expense based on average depreciable lives of 25 years for buildings and improvements, 7 years for equipment and 15 years for the amortization of</w:t>
      </w:r>
    </w:p>
    <w:tbl>
      <w:tblPr>
        <w:tblLayout w:type="fixed"/>
        <w:tblInd w:w="2" w:type="dxa"/>
        <w:tblCellMar>
          <w:top w:w="0" w:type="dxa"/>
          <w:left w:w="0" w:type="dxa"/>
          <w:bottom w:w="0" w:type="dxa"/>
          <w:right w:w="0" w:type="dxa"/>
        </w:tblCellMar>
      </w:tblPr>
      <w:tr>
        <w:trPr>
          <w:trHeight w:val="179"/>
        </w:trPr>
        <w:tc>
          <w:tcPr>
            <w:tcW w:w="5920" w:type="dxa"/>
            <w:vAlign w:val="bottom"/>
          </w:tcPr>
          <w:p>
            <w:pPr>
              <w:jc w:val="right"/>
              <w:ind w:right="321"/>
              <w:spacing w:after="0" w:line="179" w:lineRule="exact"/>
              <w:rPr>
                <w:sz w:val="20"/>
                <w:szCs w:val="20"/>
                <w:color w:val="auto"/>
              </w:rPr>
            </w:pPr>
            <w:r>
              <w:rPr>
                <w:rFonts w:ascii="Courier New" w:cs="Courier New" w:eastAsia="Courier New" w:hAnsi="Courier New"/>
                <w:sz w:val="16"/>
                <w:szCs w:val="16"/>
                <w:color w:val="auto"/>
              </w:rPr>
              <w:t>goodwill at Northwest Texas Health................</w:t>
            </w:r>
          </w:p>
        </w:tc>
        <w:tc>
          <w:tcPr>
            <w:tcW w:w="1800" w:type="dxa"/>
            <w:vAlign w:val="bottom"/>
          </w:tcPr>
          <w:p>
            <w:pPr>
              <w:jc w:val="right"/>
              <w:ind w:right="681"/>
              <w:spacing w:after="0" w:line="179" w:lineRule="exact"/>
              <w:rPr>
                <w:sz w:val="20"/>
                <w:szCs w:val="20"/>
                <w:color w:val="auto"/>
              </w:rPr>
            </w:pPr>
            <w:r>
              <w:rPr>
                <w:rFonts w:ascii="Courier New" w:cs="Courier New" w:eastAsia="Courier New" w:hAnsi="Courier New"/>
                <w:sz w:val="16"/>
                <w:szCs w:val="16"/>
                <w:color w:val="auto"/>
              </w:rPr>
              <w:t>7,789</w:t>
            </w:r>
          </w:p>
        </w:tc>
        <w:tc>
          <w:tcPr>
            <w:tcW w:w="1440" w:type="dxa"/>
            <w:vAlign w:val="bottom"/>
          </w:tcPr>
          <w:p>
            <w:pPr>
              <w:jc w:val="right"/>
              <w:ind w:right="21"/>
              <w:spacing w:after="0" w:line="179" w:lineRule="exact"/>
              <w:rPr>
                <w:sz w:val="20"/>
                <w:szCs w:val="20"/>
                <w:color w:val="auto"/>
              </w:rPr>
            </w:pPr>
            <w:r>
              <w:rPr>
                <w:rFonts w:ascii="Courier New" w:cs="Courier New" w:eastAsia="Courier New" w:hAnsi="Courier New"/>
                <w:sz w:val="16"/>
                <w:szCs w:val="16"/>
                <w:color w:val="auto"/>
              </w:rPr>
              <w:t>1,947</w:t>
            </w:r>
          </w:p>
        </w:tc>
      </w:tr>
      <w:tr>
        <w:trPr>
          <w:trHeight w:val="183"/>
        </w:trPr>
        <w:tc>
          <w:tcPr>
            <w:tcW w:w="5920" w:type="dxa"/>
            <w:vAlign w:val="bottom"/>
          </w:tcPr>
          <w:p>
            <w:pPr>
              <w:spacing w:after="0"/>
              <w:rPr>
                <w:sz w:val="15"/>
                <w:szCs w:val="15"/>
                <w:color w:val="auto"/>
              </w:rPr>
            </w:pPr>
          </w:p>
        </w:tc>
        <w:tc>
          <w:tcPr>
            <w:tcW w:w="180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5920" w:type="dxa"/>
            <w:vAlign w:val="bottom"/>
          </w:tcPr>
          <w:p>
            <w:pPr>
              <w:jc w:val="right"/>
              <w:ind w:right="1741"/>
              <w:spacing w:after="0"/>
              <w:rPr>
                <w:sz w:val="20"/>
                <w:szCs w:val="20"/>
                <w:color w:val="auto"/>
              </w:rPr>
            </w:pPr>
            <w:r>
              <w:rPr>
                <w:rFonts w:ascii="Courier New" w:cs="Courier New" w:eastAsia="Courier New" w:hAnsi="Courier New"/>
                <w:sz w:val="16"/>
                <w:szCs w:val="16"/>
                <w:color w:val="auto"/>
              </w:rPr>
              <w:t>Total adjustments to Depreciation and</w:t>
            </w:r>
          </w:p>
        </w:tc>
        <w:tc>
          <w:tcPr>
            <w:tcW w:w="180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3"/>
        </w:trPr>
        <w:tc>
          <w:tcPr>
            <w:tcW w:w="5920" w:type="dxa"/>
            <w:vAlign w:val="bottom"/>
          </w:tcPr>
          <w:p>
            <w:pPr>
              <w:jc w:val="right"/>
              <w:ind w:right="321"/>
              <w:spacing w:after="0"/>
              <w:rPr>
                <w:sz w:val="20"/>
                <w:szCs w:val="20"/>
                <w:color w:val="auto"/>
              </w:rPr>
            </w:pPr>
            <w:r>
              <w:rPr>
                <w:rFonts w:ascii="Courier New" w:cs="Courier New" w:eastAsia="Courier New" w:hAnsi="Courier New"/>
                <w:sz w:val="16"/>
                <w:szCs w:val="16"/>
                <w:color w:val="auto"/>
              </w:rPr>
              <w:t>amortization......................................</w:t>
            </w:r>
          </w:p>
        </w:tc>
        <w:tc>
          <w:tcPr>
            <w:tcW w:w="180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(935)</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(144)</w:t>
            </w:r>
          </w:p>
        </w:tc>
      </w:tr>
      <w:tr>
        <w:trPr>
          <w:trHeight w:val="183"/>
        </w:trPr>
        <w:tc>
          <w:tcPr>
            <w:tcW w:w="5920" w:type="dxa"/>
            <w:vAlign w:val="bottom"/>
          </w:tcPr>
          <w:p>
            <w:pPr>
              <w:spacing w:after="0"/>
              <w:rPr>
                <w:sz w:val="15"/>
                <w:szCs w:val="15"/>
                <w:color w:val="auto"/>
              </w:rPr>
            </w:pPr>
          </w:p>
        </w:tc>
        <w:tc>
          <w:tcPr>
            <w:tcW w:w="180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5920" w:type="dxa"/>
            <w:vAlign w:val="bottom"/>
          </w:tcPr>
          <w:p>
            <w:pPr>
              <w:spacing w:after="0"/>
              <w:rPr>
                <w:sz w:val="15"/>
                <w:szCs w:val="15"/>
                <w:color w:val="auto"/>
              </w:rPr>
            </w:pPr>
          </w:p>
        </w:tc>
        <w:tc>
          <w:tcPr>
            <w:tcW w:w="180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5920" w:type="dxa"/>
            <w:vAlign w:val="bottom"/>
          </w:tcPr>
          <w:p>
            <w:pPr>
              <w:jc w:val="right"/>
              <w:ind w:right="321"/>
              <w:spacing w:after="0"/>
              <w:rPr>
                <w:sz w:val="20"/>
                <w:szCs w:val="20"/>
                <w:color w:val="auto"/>
              </w:rPr>
            </w:pPr>
            <w:r>
              <w:rPr>
                <w:rFonts w:ascii="Courier New" w:cs="Courier New" w:eastAsia="Courier New" w:hAnsi="Courier New"/>
                <w:sz w:val="16"/>
                <w:szCs w:val="16"/>
                <w:color w:val="auto"/>
                <w:w w:val="98"/>
              </w:rPr>
              <w:t>(4)   To eliminate historical interest expense............</w:t>
            </w:r>
          </w:p>
        </w:tc>
        <w:tc>
          <w:tcPr>
            <w:tcW w:w="180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(636)</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(112)</w:t>
            </w:r>
          </w:p>
        </w:tc>
      </w:tr>
      <w:tr>
        <w:trPr>
          <w:trHeight w:val="183"/>
        </w:trPr>
        <w:tc>
          <w:tcPr>
            <w:tcW w:w="5920" w:type="dxa"/>
            <w:vAlign w:val="bottom"/>
          </w:tcPr>
          <w:p>
            <w:pPr>
              <w:spacing w:after="0"/>
              <w:rPr>
                <w:sz w:val="15"/>
                <w:szCs w:val="15"/>
                <w:color w:val="auto"/>
              </w:rPr>
            </w:pPr>
          </w:p>
        </w:tc>
        <w:tc>
          <w:tcPr>
            <w:tcW w:w="180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5920" w:type="dxa"/>
            <w:vAlign w:val="bottom"/>
          </w:tcPr>
          <w:p>
            <w:pPr>
              <w:spacing w:after="0"/>
              <w:rPr>
                <w:sz w:val="15"/>
                <w:szCs w:val="15"/>
                <w:color w:val="auto"/>
              </w:rPr>
            </w:pPr>
          </w:p>
        </w:tc>
        <w:tc>
          <w:tcPr>
            <w:tcW w:w="180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5" w:lineRule="exact"/>
        <w:rPr>
          <w:sz w:val="20"/>
          <w:szCs w:val="20"/>
          <w:color w:val="auto"/>
        </w:rPr>
      </w:pPr>
    </w:p>
    <w:p>
      <w:pPr>
        <w:ind w:left="582" w:right="5359" w:hanging="582"/>
        <w:spacing w:after="0" w:line="239" w:lineRule="auto"/>
        <w:tabs>
          <w:tab w:leader="none" w:pos="582"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allocation of the purchase price excludes contingent consideration.</w:t>
      </w:r>
    </w:p>
    <w:p>
      <w:pPr>
        <w:spacing w:after="0" w:line="370"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(H) FIRST HOSPITAL PROPERTIES ACQUISITION</w:t>
      </w:r>
    </w:p>
    <w:p>
      <w:pPr>
        <w:spacing w:after="0" w:line="369"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3140" w:type="dxa"/>
            <w:vAlign w:val="bottom"/>
          </w:tcPr>
          <w:p>
            <w:pPr>
              <w:spacing w:after="0"/>
              <w:rPr>
                <w:sz w:val="15"/>
                <w:szCs w:val="15"/>
                <w:color w:val="auto"/>
              </w:rPr>
            </w:pPr>
          </w:p>
        </w:tc>
        <w:tc>
          <w:tcPr>
            <w:tcW w:w="3820" w:type="dxa"/>
            <w:vAlign w:val="bottom"/>
          </w:tcPr>
          <w:p>
            <w:pPr>
              <w:jc w:val="right"/>
              <w:ind w:right="884"/>
              <w:spacing w:after="0"/>
              <w:rPr>
                <w:sz w:val="20"/>
                <w:szCs w:val="20"/>
                <w:color w:val="auto"/>
              </w:rPr>
            </w:pPr>
            <w:r>
              <w:rPr>
                <w:rFonts w:ascii="Courier New" w:cs="Courier New" w:eastAsia="Courier New" w:hAnsi="Courier New"/>
                <w:sz w:val="16"/>
                <w:szCs w:val="16"/>
                <w:color w:val="auto"/>
              </w:rPr>
              <w:t>YEAR ENDED DECEMBER 31, 1995</w:t>
            </w:r>
          </w:p>
        </w:tc>
        <w:tc>
          <w:tcPr>
            <w:tcW w:w="15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3"/>
        </w:trPr>
        <w:tc>
          <w:tcPr>
            <w:tcW w:w="3140" w:type="dxa"/>
            <w:vAlign w:val="bottom"/>
          </w:tcPr>
          <w:p>
            <w:pPr>
              <w:spacing w:after="0"/>
              <w:rPr>
                <w:sz w:val="15"/>
                <w:szCs w:val="15"/>
                <w:color w:val="auto"/>
              </w:rPr>
            </w:pPr>
          </w:p>
        </w:tc>
        <w:tc>
          <w:tcPr>
            <w:tcW w:w="3820" w:type="dxa"/>
            <w:vAlign w:val="bottom"/>
          </w:tcPr>
          <w:p>
            <w:pPr>
              <w:jc w:val="right"/>
              <w:ind w:right="884"/>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3"/>
        </w:trPr>
        <w:tc>
          <w:tcPr>
            <w:tcW w:w="3140" w:type="dxa"/>
            <w:vAlign w:val="bottom"/>
          </w:tcPr>
          <w:p>
            <w:pPr>
              <w:spacing w:after="0"/>
              <w:rPr>
                <w:sz w:val="15"/>
                <w:szCs w:val="15"/>
                <w:color w:val="auto"/>
              </w:rPr>
            </w:pPr>
          </w:p>
        </w:tc>
        <w:tc>
          <w:tcPr>
            <w:tcW w:w="3820" w:type="dxa"/>
            <w:vAlign w:val="bottom"/>
          </w:tcPr>
          <w:p>
            <w:pPr>
              <w:jc w:val="center"/>
              <w:ind w:left="1744"/>
              <w:spacing w:after="0"/>
              <w:rPr>
                <w:sz w:val="20"/>
                <w:szCs w:val="20"/>
                <w:color w:val="auto"/>
              </w:rPr>
            </w:pPr>
            <w:r>
              <w:rPr>
                <w:rFonts w:ascii="Courier New" w:cs="Courier New" w:eastAsia="Courier New" w:hAnsi="Courier New"/>
                <w:sz w:val="16"/>
                <w:szCs w:val="16"/>
                <w:color w:val="auto"/>
                <w:w w:val="99"/>
              </w:rPr>
              <w:t>FIRST</w:t>
            </w:r>
          </w:p>
        </w:tc>
        <w:tc>
          <w:tcPr>
            <w:tcW w:w="1520" w:type="dxa"/>
            <w:vAlign w:val="bottom"/>
          </w:tcPr>
          <w:p>
            <w:pPr>
              <w:spacing w:after="0"/>
              <w:rPr>
                <w:sz w:val="15"/>
                <w:szCs w:val="15"/>
                <w:color w:val="auto"/>
              </w:rPr>
            </w:pPr>
          </w:p>
        </w:tc>
        <w:tc>
          <w:tcPr>
            <w:tcW w:w="10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FIRST</w:t>
            </w:r>
          </w:p>
        </w:tc>
      </w:tr>
      <w:tr>
        <w:trPr>
          <w:trHeight w:val="183"/>
        </w:trPr>
        <w:tc>
          <w:tcPr>
            <w:tcW w:w="3140" w:type="dxa"/>
            <w:vAlign w:val="bottom"/>
          </w:tcPr>
          <w:p>
            <w:pPr>
              <w:spacing w:after="0"/>
              <w:rPr>
                <w:sz w:val="15"/>
                <w:szCs w:val="15"/>
                <w:color w:val="auto"/>
              </w:rPr>
            </w:pPr>
          </w:p>
        </w:tc>
        <w:tc>
          <w:tcPr>
            <w:tcW w:w="3820" w:type="dxa"/>
            <w:vAlign w:val="bottom"/>
          </w:tcPr>
          <w:p>
            <w:pPr>
              <w:jc w:val="center"/>
              <w:ind w:left="1644"/>
              <w:spacing w:after="0"/>
              <w:rPr>
                <w:sz w:val="20"/>
                <w:szCs w:val="20"/>
                <w:color w:val="auto"/>
              </w:rPr>
            </w:pPr>
            <w:r>
              <w:rPr>
                <w:rFonts w:ascii="Courier New" w:cs="Courier New" w:eastAsia="Courier New" w:hAnsi="Courier New"/>
                <w:sz w:val="16"/>
                <w:szCs w:val="16"/>
                <w:color w:val="auto"/>
              </w:rPr>
              <w:t>HOSPITAL</w:t>
            </w:r>
          </w:p>
        </w:tc>
        <w:tc>
          <w:tcPr>
            <w:tcW w:w="1520" w:type="dxa"/>
            <w:vAlign w:val="bottom"/>
          </w:tcPr>
          <w:p>
            <w:pPr>
              <w:spacing w:after="0"/>
              <w:rPr>
                <w:sz w:val="15"/>
                <w:szCs w:val="15"/>
                <w:color w:val="auto"/>
              </w:rPr>
            </w:pPr>
          </w:p>
        </w:tc>
        <w:tc>
          <w:tcPr>
            <w:tcW w:w="1060" w:type="dxa"/>
            <w:vAlign w:val="bottom"/>
          </w:tcPr>
          <w:p>
            <w:pPr>
              <w:ind w:left="100"/>
              <w:spacing w:after="0"/>
              <w:rPr>
                <w:sz w:val="20"/>
                <w:szCs w:val="20"/>
                <w:color w:val="auto"/>
              </w:rPr>
            </w:pPr>
            <w:r>
              <w:rPr>
                <w:rFonts w:ascii="Courier New" w:cs="Courier New" w:eastAsia="Courier New" w:hAnsi="Courier New"/>
                <w:sz w:val="16"/>
                <w:szCs w:val="16"/>
                <w:color w:val="auto"/>
              </w:rPr>
              <w:t>HOSPITAL</w:t>
            </w:r>
          </w:p>
        </w:tc>
      </w:tr>
      <w:tr>
        <w:trPr>
          <w:trHeight w:val="183"/>
        </w:trPr>
        <w:tc>
          <w:tcPr>
            <w:tcW w:w="3140" w:type="dxa"/>
            <w:vAlign w:val="bottom"/>
          </w:tcPr>
          <w:p>
            <w:pPr>
              <w:spacing w:after="0"/>
              <w:rPr>
                <w:sz w:val="15"/>
                <w:szCs w:val="15"/>
                <w:color w:val="auto"/>
              </w:rPr>
            </w:pPr>
          </w:p>
        </w:tc>
        <w:tc>
          <w:tcPr>
            <w:tcW w:w="3820" w:type="dxa"/>
            <w:vAlign w:val="bottom"/>
          </w:tcPr>
          <w:p>
            <w:pPr>
              <w:jc w:val="center"/>
              <w:ind w:left="1644"/>
              <w:spacing w:after="0"/>
              <w:rPr>
                <w:sz w:val="20"/>
                <w:szCs w:val="20"/>
                <w:color w:val="auto"/>
              </w:rPr>
            </w:pPr>
            <w:r>
              <w:rPr>
                <w:rFonts w:ascii="Courier New" w:cs="Courier New" w:eastAsia="Courier New" w:hAnsi="Courier New"/>
                <w:sz w:val="16"/>
                <w:szCs w:val="16"/>
                <w:color w:val="auto"/>
                <w:w w:val="97"/>
              </w:rPr>
              <w:t>PROPERTIES</w:t>
            </w:r>
          </w:p>
        </w:tc>
        <w:tc>
          <w:tcPr>
            <w:tcW w:w="1520" w:type="dxa"/>
            <w:vAlign w:val="bottom"/>
          </w:tcPr>
          <w:p>
            <w:pPr>
              <w:jc w:val="center"/>
              <w:ind w:right="21"/>
              <w:spacing w:after="0"/>
              <w:rPr>
                <w:sz w:val="20"/>
                <w:szCs w:val="20"/>
                <w:color w:val="auto"/>
              </w:rPr>
            </w:pPr>
            <w:r>
              <w:rPr>
                <w:rFonts w:ascii="Courier New" w:cs="Courier New" w:eastAsia="Courier New" w:hAnsi="Courier New"/>
                <w:sz w:val="16"/>
                <w:szCs w:val="16"/>
                <w:color w:val="auto"/>
                <w:w w:val="99"/>
              </w:rPr>
              <w:t>PRO FORMA</w:t>
            </w:r>
          </w:p>
        </w:tc>
        <w:tc>
          <w:tcPr>
            <w:tcW w:w="1060" w:type="dxa"/>
            <w:vAlign w:val="bottom"/>
          </w:tcPr>
          <w:p>
            <w:pPr>
              <w:ind w:left="100"/>
              <w:spacing w:after="0"/>
              <w:rPr>
                <w:sz w:val="20"/>
                <w:szCs w:val="20"/>
                <w:color w:val="auto"/>
              </w:rPr>
            </w:pPr>
            <w:r>
              <w:rPr>
                <w:rFonts w:ascii="Courier New" w:cs="Courier New" w:eastAsia="Courier New" w:hAnsi="Courier New"/>
                <w:sz w:val="16"/>
                <w:szCs w:val="16"/>
                <w:color w:val="auto"/>
                <w:w w:val="97"/>
              </w:rPr>
              <w:t>PROPERTIES</w:t>
            </w:r>
          </w:p>
        </w:tc>
      </w:tr>
      <w:tr>
        <w:trPr>
          <w:trHeight w:val="183"/>
        </w:trPr>
        <w:tc>
          <w:tcPr>
            <w:tcW w:w="3140" w:type="dxa"/>
            <w:vAlign w:val="bottom"/>
          </w:tcPr>
          <w:p>
            <w:pPr>
              <w:spacing w:after="0"/>
              <w:rPr>
                <w:sz w:val="15"/>
                <w:szCs w:val="15"/>
                <w:color w:val="auto"/>
              </w:rPr>
            </w:pPr>
          </w:p>
        </w:tc>
        <w:tc>
          <w:tcPr>
            <w:tcW w:w="3820" w:type="dxa"/>
            <w:vAlign w:val="bottom"/>
          </w:tcPr>
          <w:p>
            <w:pPr>
              <w:jc w:val="center"/>
              <w:ind w:left="1644"/>
              <w:spacing w:after="0"/>
              <w:rPr>
                <w:sz w:val="20"/>
                <w:szCs w:val="20"/>
                <w:color w:val="auto"/>
              </w:rPr>
            </w:pPr>
            <w:r>
              <w:rPr>
                <w:rFonts w:ascii="Courier New" w:cs="Courier New" w:eastAsia="Courier New" w:hAnsi="Courier New"/>
                <w:sz w:val="16"/>
                <w:szCs w:val="16"/>
                <w:color w:val="auto"/>
                <w:w w:val="97"/>
              </w:rPr>
              <w:t>HISTORICAL</w:t>
            </w:r>
          </w:p>
        </w:tc>
        <w:tc>
          <w:tcPr>
            <w:tcW w:w="1520" w:type="dxa"/>
            <w:vAlign w:val="bottom"/>
          </w:tcPr>
          <w:p>
            <w:pPr>
              <w:jc w:val="center"/>
              <w:ind w:right="1"/>
              <w:spacing w:after="0"/>
              <w:rPr>
                <w:sz w:val="20"/>
                <w:szCs w:val="20"/>
                <w:color w:val="auto"/>
              </w:rPr>
            </w:pPr>
            <w:r>
              <w:rPr>
                <w:rFonts w:ascii="Courier New" w:cs="Courier New" w:eastAsia="Courier New" w:hAnsi="Courier New"/>
                <w:sz w:val="16"/>
                <w:szCs w:val="16"/>
                <w:color w:val="auto"/>
                <w:w w:val="98"/>
              </w:rPr>
              <w:t>ADJUSTMENTS</w:t>
            </w:r>
          </w:p>
        </w:tc>
        <w:tc>
          <w:tcPr>
            <w:tcW w:w="1060" w:type="dxa"/>
            <w:vAlign w:val="bottom"/>
          </w:tcPr>
          <w:p>
            <w:pPr>
              <w:ind w:left="100"/>
              <w:spacing w:after="0"/>
              <w:rPr>
                <w:sz w:val="20"/>
                <w:szCs w:val="20"/>
                <w:color w:val="auto"/>
              </w:rPr>
            </w:pPr>
            <w:r>
              <w:rPr>
                <w:rFonts w:ascii="Courier New" w:cs="Courier New" w:eastAsia="Courier New" w:hAnsi="Courier New"/>
                <w:sz w:val="16"/>
                <w:szCs w:val="16"/>
                <w:color w:val="auto"/>
              </w:rPr>
              <w:t>PRO FORMA</w:t>
            </w:r>
          </w:p>
        </w:tc>
      </w:tr>
      <w:tr>
        <w:trPr>
          <w:trHeight w:val="183"/>
        </w:trPr>
        <w:tc>
          <w:tcPr>
            <w:tcW w:w="3140" w:type="dxa"/>
            <w:vAlign w:val="bottom"/>
          </w:tcPr>
          <w:p>
            <w:pPr>
              <w:spacing w:after="0"/>
              <w:rPr>
                <w:sz w:val="15"/>
                <w:szCs w:val="15"/>
                <w:color w:val="auto"/>
              </w:rPr>
            </w:pPr>
          </w:p>
        </w:tc>
        <w:tc>
          <w:tcPr>
            <w:tcW w:w="3820" w:type="dxa"/>
            <w:vAlign w:val="bottom"/>
          </w:tcPr>
          <w:p>
            <w:pPr>
              <w:jc w:val="center"/>
              <w:ind w:left="1724"/>
              <w:spacing w:after="0"/>
              <w:rPr>
                <w:sz w:val="20"/>
                <w:szCs w:val="20"/>
                <w:color w:val="auto"/>
              </w:rPr>
            </w:pPr>
            <w:r>
              <w:rPr>
                <w:rFonts w:ascii="Courier New" w:cs="Courier New" w:eastAsia="Courier New" w:hAnsi="Courier New"/>
                <w:sz w:val="16"/>
                <w:szCs w:val="16"/>
                <w:color w:val="auto"/>
                <w:w w:val="99"/>
              </w:rPr>
              <w:t>-----------------</w:t>
            </w:r>
          </w:p>
        </w:tc>
        <w:tc>
          <w:tcPr>
            <w:tcW w:w="1520" w:type="dxa"/>
            <w:vAlign w:val="bottom"/>
          </w:tcPr>
          <w:p>
            <w:pPr>
              <w:jc w:val="center"/>
              <w:ind w:right="1"/>
              <w:spacing w:after="0"/>
              <w:rPr>
                <w:sz w:val="20"/>
                <w:szCs w:val="20"/>
                <w:color w:val="auto"/>
              </w:rPr>
            </w:pPr>
            <w:r>
              <w:rPr>
                <w:rFonts w:ascii="Courier New" w:cs="Courier New" w:eastAsia="Courier New" w:hAnsi="Courier New"/>
                <w:sz w:val="16"/>
                <w:szCs w:val="16"/>
                <w:color w:val="auto"/>
                <w:w w:val="98"/>
              </w:rPr>
              <w:t>-----------</w:t>
            </w:r>
          </w:p>
        </w:tc>
        <w:tc>
          <w:tcPr>
            <w:tcW w:w="106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r>
      <w:tr>
        <w:trPr>
          <w:trHeight w:val="367"/>
        </w:trPr>
        <w:tc>
          <w:tcPr>
            <w:tcW w:w="3140" w:type="dxa"/>
            <w:vAlign w:val="bottom"/>
          </w:tcPr>
          <w:p>
            <w:pPr>
              <w:jc w:val="right"/>
              <w:spacing w:after="0"/>
              <w:rPr>
                <w:sz w:val="20"/>
                <w:szCs w:val="20"/>
                <w:color w:val="auto"/>
              </w:rPr>
            </w:pPr>
            <w:r>
              <w:rPr>
                <w:rFonts w:ascii="Courier New" w:cs="Courier New" w:eastAsia="Courier New" w:hAnsi="Courier New"/>
                <w:sz w:val="14"/>
                <w:szCs w:val="14"/>
                <w:color w:val="auto"/>
                <w:w w:val="72"/>
              </w:rPr>
              <w:t>Net Revenues.......................................</w:t>
            </w:r>
          </w:p>
        </w:tc>
        <w:tc>
          <w:tcPr>
            <w:tcW w:w="3820" w:type="dxa"/>
            <w:vAlign w:val="bottom"/>
          </w:tcPr>
          <w:p>
            <w:pPr>
              <w:jc w:val="right"/>
              <w:ind w:right="584"/>
              <w:spacing w:after="0"/>
              <w:rPr>
                <w:sz w:val="20"/>
                <w:szCs w:val="20"/>
                <w:color w:val="auto"/>
              </w:rPr>
            </w:pPr>
            <w:r>
              <w:rPr>
                <w:rFonts w:ascii="Courier New" w:cs="Courier New" w:eastAsia="Courier New" w:hAnsi="Courier New"/>
                <w:sz w:val="16"/>
                <w:szCs w:val="16"/>
                <w:color w:val="auto"/>
              </w:rPr>
              <w:t>$44,993</w:t>
            </w:r>
          </w:p>
        </w:tc>
        <w:tc>
          <w:tcPr>
            <w:tcW w:w="152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$44,993</w:t>
            </w:r>
          </w:p>
        </w:tc>
      </w:tr>
      <w:tr>
        <w:trPr>
          <w:trHeight w:val="183"/>
        </w:trPr>
        <w:tc>
          <w:tcPr>
            <w:tcW w:w="3140" w:type="dxa"/>
            <w:vAlign w:val="bottom"/>
          </w:tcPr>
          <w:p>
            <w:pPr>
              <w:jc w:val="right"/>
              <w:ind w:right="1347"/>
              <w:spacing w:after="0"/>
              <w:rPr>
                <w:sz w:val="20"/>
                <w:szCs w:val="20"/>
                <w:color w:val="auto"/>
              </w:rPr>
            </w:pPr>
            <w:r>
              <w:rPr>
                <w:rFonts w:ascii="Courier New" w:cs="Courier New" w:eastAsia="Courier New" w:hAnsi="Courier New"/>
                <w:sz w:val="16"/>
                <w:szCs w:val="16"/>
                <w:color w:val="auto"/>
                <w:w w:val="98"/>
              </w:rPr>
              <w:t>Operating charges:</w:t>
            </w:r>
          </w:p>
        </w:tc>
        <w:tc>
          <w:tcPr>
            <w:tcW w:w="38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3"/>
        </w:trPr>
        <w:tc>
          <w:tcPr>
            <w:tcW w:w="3140" w:type="dxa"/>
            <w:vAlign w:val="bottom"/>
          </w:tcPr>
          <w:p>
            <w:pPr>
              <w:jc w:val="right"/>
              <w:spacing w:after="0"/>
              <w:rPr>
                <w:sz w:val="20"/>
                <w:szCs w:val="20"/>
                <w:color w:val="auto"/>
              </w:rPr>
            </w:pPr>
            <w:r>
              <w:rPr>
                <w:rFonts w:ascii="Courier New" w:cs="Courier New" w:eastAsia="Courier New" w:hAnsi="Courier New"/>
                <w:sz w:val="15"/>
                <w:szCs w:val="15"/>
                <w:color w:val="auto"/>
                <w:w w:val="70"/>
              </w:rPr>
              <w:t>Operating expenses...............................</w:t>
            </w:r>
          </w:p>
        </w:tc>
        <w:tc>
          <w:tcPr>
            <w:tcW w:w="3820" w:type="dxa"/>
            <w:vAlign w:val="bottom"/>
          </w:tcPr>
          <w:p>
            <w:pPr>
              <w:jc w:val="right"/>
              <w:ind w:right="584"/>
              <w:spacing w:after="0"/>
              <w:rPr>
                <w:sz w:val="20"/>
                <w:szCs w:val="20"/>
                <w:color w:val="auto"/>
              </w:rPr>
            </w:pPr>
            <w:r>
              <w:rPr>
                <w:rFonts w:ascii="Courier New" w:cs="Courier New" w:eastAsia="Courier New" w:hAnsi="Courier New"/>
                <w:sz w:val="16"/>
                <w:szCs w:val="16"/>
                <w:color w:val="auto"/>
              </w:rPr>
              <w:t>12,729</w:t>
            </w:r>
          </w:p>
        </w:tc>
        <w:tc>
          <w:tcPr>
            <w:tcW w:w="15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250(1)</w:t>
            </w: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12,979</w:t>
            </w:r>
          </w:p>
        </w:tc>
      </w:tr>
      <w:tr>
        <w:trPr>
          <w:trHeight w:val="183"/>
        </w:trPr>
        <w:tc>
          <w:tcPr>
            <w:tcW w:w="3140" w:type="dxa"/>
            <w:vAlign w:val="bottom"/>
          </w:tcPr>
          <w:p>
            <w:pPr>
              <w:jc w:val="right"/>
              <w:spacing w:after="0"/>
              <w:rPr>
                <w:sz w:val="20"/>
                <w:szCs w:val="20"/>
                <w:color w:val="auto"/>
              </w:rPr>
            </w:pPr>
            <w:r>
              <w:rPr>
                <w:rFonts w:ascii="Courier New" w:cs="Courier New" w:eastAsia="Courier New" w:hAnsi="Courier New"/>
                <w:sz w:val="15"/>
                <w:szCs w:val="15"/>
                <w:color w:val="auto"/>
                <w:w w:val="70"/>
              </w:rPr>
              <w:t>Salaries and wages...............................</w:t>
            </w:r>
          </w:p>
        </w:tc>
        <w:tc>
          <w:tcPr>
            <w:tcW w:w="3820" w:type="dxa"/>
            <w:vAlign w:val="bottom"/>
          </w:tcPr>
          <w:p>
            <w:pPr>
              <w:jc w:val="right"/>
              <w:ind w:right="584"/>
              <w:spacing w:after="0"/>
              <w:rPr>
                <w:sz w:val="20"/>
                <w:szCs w:val="20"/>
                <w:color w:val="auto"/>
              </w:rPr>
            </w:pPr>
            <w:r>
              <w:rPr>
                <w:rFonts w:ascii="Courier New" w:cs="Courier New" w:eastAsia="Courier New" w:hAnsi="Courier New"/>
                <w:sz w:val="16"/>
                <w:szCs w:val="16"/>
                <w:color w:val="auto"/>
              </w:rPr>
              <w:t>20,747</w:t>
            </w:r>
          </w:p>
        </w:tc>
        <w:tc>
          <w:tcPr>
            <w:tcW w:w="152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20,747</w:t>
            </w:r>
          </w:p>
        </w:tc>
      </w:tr>
      <w:tr>
        <w:trPr>
          <w:trHeight w:val="183"/>
        </w:trPr>
        <w:tc>
          <w:tcPr>
            <w:tcW w:w="3140" w:type="dxa"/>
            <w:vAlign w:val="bottom"/>
          </w:tcPr>
          <w:p>
            <w:pPr>
              <w:jc w:val="right"/>
              <w:spacing w:after="0"/>
              <w:rPr>
                <w:sz w:val="20"/>
                <w:szCs w:val="20"/>
                <w:color w:val="auto"/>
              </w:rPr>
            </w:pPr>
            <w:r>
              <w:rPr>
                <w:rFonts w:ascii="Courier New" w:cs="Courier New" w:eastAsia="Courier New" w:hAnsi="Courier New"/>
                <w:sz w:val="16"/>
                <w:szCs w:val="16"/>
                <w:color w:val="auto"/>
              </w:rPr>
              <w:t>Provision for doubtful accounts</w:t>
            </w:r>
          </w:p>
        </w:tc>
        <w:tc>
          <w:tcPr>
            <w:tcW w:w="3820" w:type="dxa"/>
            <w:vAlign w:val="bottom"/>
          </w:tcPr>
          <w:p>
            <w:pPr>
              <w:jc w:val="right"/>
              <w:ind w:right="584"/>
              <w:spacing w:after="0"/>
              <w:rPr>
                <w:sz w:val="20"/>
                <w:szCs w:val="20"/>
                <w:color w:val="auto"/>
              </w:rPr>
            </w:pPr>
            <w:r>
              <w:rPr>
                <w:rFonts w:ascii="Courier New" w:cs="Courier New" w:eastAsia="Courier New" w:hAnsi="Courier New"/>
                <w:sz w:val="16"/>
                <w:szCs w:val="16"/>
                <w:color w:val="auto"/>
                <w:w w:val="99"/>
              </w:rPr>
              <w:t>..................1,707</w:t>
            </w:r>
          </w:p>
        </w:tc>
        <w:tc>
          <w:tcPr>
            <w:tcW w:w="152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1,707</w:t>
            </w:r>
          </w:p>
        </w:tc>
      </w:tr>
      <w:tr>
        <w:trPr>
          <w:trHeight w:val="183"/>
        </w:trPr>
        <w:tc>
          <w:tcPr>
            <w:tcW w:w="3140" w:type="dxa"/>
            <w:vAlign w:val="bottom"/>
          </w:tcPr>
          <w:p>
            <w:pPr>
              <w:jc w:val="right"/>
              <w:spacing w:after="0"/>
              <w:rPr>
                <w:sz w:val="20"/>
                <w:szCs w:val="20"/>
                <w:color w:val="auto"/>
              </w:rPr>
            </w:pPr>
            <w:r>
              <w:rPr>
                <w:rFonts w:ascii="Courier New" w:cs="Courier New" w:eastAsia="Courier New" w:hAnsi="Courier New"/>
                <w:sz w:val="15"/>
                <w:szCs w:val="15"/>
                <w:color w:val="auto"/>
                <w:w w:val="70"/>
              </w:rPr>
              <w:t>Depreciation and amortization....................</w:t>
            </w:r>
          </w:p>
        </w:tc>
        <w:tc>
          <w:tcPr>
            <w:tcW w:w="3820" w:type="dxa"/>
            <w:vAlign w:val="bottom"/>
          </w:tcPr>
          <w:p>
            <w:pPr>
              <w:jc w:val="right"/>
              <w:ind w:right="584"/>
              <w:spacing w:after="0"/>
              <w:rPr>
                <w:sz w:val="20"/>
                <w:szCs w:val="20"/>
                <w:color w:val="auto"/>
              </w:rPr>
            </w:pPr>
            <w:r>
              <w:rPr>
                <w:rFonts w:ascii="Courier New" w:cs="Courier New" w:eastAsia="Courier New" w:hAnsi="Courier New"/>
                <w:sz w:val="16"/>
                <w:szCs w:val="16"/>
                <w:color w:val="auto"/>
              </w:rPr>
              <w:t>1,830</w:t>
            </w:r>
          </w:p>
        </w:tc>
        <w:tc>
          <w:tcPr>
            <w:tcW w:w="15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302(2)</w:t>
            </w: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2,132</w:t>
            </w:r>
          </w:p>
        </w:tc>
      </w:tr>
      <w:tr>
        <w:trPr>
          <w:trHeight w:val="183"/>
        </w:trPr>
        <w:tc>
          <w:tcPr>
            <w:tcW w:w="3140" w:type="dxa"/>
            <w:vAlign w:val="bottom"/>
          </w:tcPr>
          <w:p>
            <w:pPr>
              <w:jc w:val="right"/>
              <w:spacing w:after="0"/>
              <w:rPr>
                <w:sz w:val="20"/>
                <w:szCs w:val="20"/>
                <w:color w:val="auto"/>
              </w:rPr>
            </w:pPr>
            <w:r>
              <w:rPr>
                <w:rFonts w:ascii="Courier New" w:cs="Courier New" w:eastAsia="Courier New" w:hAnsi="Courier New"/>
                <w:sz w:val="15"/>
                <w:szCs w:val="15"/>
                <w:color w:val="auto"/>
                <w:w w:val="70"/>
              </w:rPr>
              <w:t>Lease and rental expense.........................</w:t>
            </w:r>
          </w:p>
        </w:tc>
        <w:tc>
          <w:tcPr>
            <w:tcW w:w="3820" w:type="dxa"/>
            <w:vAlign w:val="bottom"/>
          </w:tcPr>
          <w:p>
            <w:pPr>
              <w:jc w:val="right"/>
              <w:ind w:right="584"/>
              <w:spacing w:after="0"/>
              <w:rPr>
                <w:sz w:val="20"/>
                <w:szCs w:val="20"/>
                <w:color w:val="auto"/>
              </w:rPr>
            </w:pPr>
            <w:r>
              <w:rPr>
                <w:rFonts w:ascii="Courier New" w:cs="Courier New" w:eastAsia="Courier New" w:hAnsi="Courier New"/>
                <w:sz w:val="16"/>
                <w:szCs w:val="16"/>
                <w:color w:val="auto"/>
              </w:rPr>
              <w:t>205</w:t>
            </w:r>
          </w:p>
        </w:tc>
        <w:tc>
          <w:tcPr>
            <w:tcW w:w="152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205</w:t>
            </w:r>
          </w:p>
        </w:tc>
      </w:tr>
      <w:tr>
        <w:trPr>
          <w:trHeight w:val="183"/>
        </w:trPr>
        <w:tc>
          <w:tcPr>
            <w:tcW w:w="3140" w:type="dxa"/>
            <w:vAlign w:val="bottom"/>
          </w:tcPr>
          <w:p>
            <w:pPr>
              <w:jc w:val="right"/>
              <w:spacing w:after="0"/>
              <w:rPr>
                <w:sz w:val="20"/>
                <w:szCs w:val="20"/>
                <w:color w:val="auto"/>
              </w:rPr>
            </w:pPr>
            <w:r>
              <w:rPr>
                <w:rFonts w:ascii="Courier New" w:cs="Courier New" w:eastAsia="Courier New" w:hAnsi="Courier New"/>
                <w:sz w:val="15"/>
                <w:szCs w:val="15"/>
                <w:color w:val="auto"/>
                <w:w w:val="70"/>
              </w:rPr>
              <w:t>Interest expense, net............................</w:t>
            </w:r>
          </w:p>
        </w:tc>
        <w:tc>
          <w:tcPr>
            <w:tcW w:w="3820" w:type="dxa"/>
            <w:vAlign w:val="bottom"/>
          </w:tcPr>
          <w:p>
            <w:pPr>
              <w:jc w:val="right"/>
              <w:ind w:right="584"/>
              <w:spacing w:after="0"/>
              <w:rPr>
                <w:sz w:val="20"/>
                <w:szCs w:val="20"/>
                <w:color w:val="auto"/>
              </w:rPr>
            </w:pPr>
            <w:r>
              <w:rPr>
                <w:rFonts w:ascii="Courier New" w:cs="Courier New" w:eastAsia="Courier New" w:hAnsi="Courier New"/>
                <w:sz w:val="16"/>
                <w:szCs w:val="16"/>
                <w:color w:val="auto"/>
              </w:rPr>
              <w:t>1,883</w:t>
            </w:r>
          </w:p>
        </w:tc>
        <w:tc>
          <w:tcPr>
            <w:tcW w:w="15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(1,883)(3)</w:t>
            </w:r>
          </w:p>
        </w:tc>
        <w:tc>
          <w:tcPr>
            <w:tcW w:w="10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r>
      <w:tr>
        <w:trPr>
          <w:trHeight w:val="183"/>
        </w:trPr>
        <w:tc>
          <w:tcPr>
            <w:tcW w:w="3140" w:type="dxa"/>
            <w:vAlign w:val="bottom"/>
          </w:tcPr>
          <w:p>
            <w:pPr>
              <w:jc w:val="right"/>
              <w:spacing w:after="0"/>
              <w:rPr>
                <w:sz w:val="20"/>
                <w:szCs w:val="20"/>
                <w:color w:val="auto"/>
              </w:rPr>
            </w:pPr>
            <w:r>
              <w:rPr>
                <w:rFonts w:ascii="Courier New" w:cs="Courier New" w:eastAsia="Courier New" w:hAnsi="Courier New"/>
                <w:sz w:val="15"/>
                <w:szCs w:val="15"/>
                <w:color w:val="auto"/>
                <w:w w:val="70"/>
              </w:rPr>
              <w:t>Management fees..................................</w:t>
            </w:r>
          </w:p>
        </w:tc>
        <w:tc>
          <w:tcPr>
            <w:tcW w:w="3820" w:type="dxa"/>
            <w:vAlign w:val="bottom"/>
          </w:tcPr>
          <w:p>
            <w:pPr>
              <w:jc w:val="right"/>
              <w:ind w:right="584"/>
              <w:spacing w:after="0"/>
              <w:rPr>
                <w:sz w:val="20"/>
                <w:szCs w:val="20"/>
                <w:color w:val="auto"/>
              </w:rPr>
            </w:pPr>
            <w:r>
              <w:rPr>
                <w:rFonts w:ascii="Courier New" w:cs="Courier New" w:eastAsia="Courier New" w:hAnsi="Courier New"/>
                <w:sz w:val="16"/>
                <w:szCs w:val="16"/>
                <w:color w:val="auto"/>
              </w:rPr>
              <w:t>2,752</w:t>
            </w:r>
          </w:p>
        </w:tc>
        <w:tc>
          <w:tcPr>
            <w:tcW w:w="1520" w:type="dxa"/>
            <w:vAlign w:val="bottom"/>
          </w:tcPr>
          <w:p>
            <w:pPr>
              <w:jc w:val="right"/>
              <w:ind w:right="1"/>
              <w:spacing w:after="0"/>
              <w:rPr>
                <w:sz w:val="20"/>
                <w:szCs w:val="20"/>
                <w:color w:val="auto"/>
              </w:rPr>
            </w:pPr>
            <w:r>
              <w:rPr>
                <w:rFonts w:ascii="Courier New" w:cs="Courier New" w:eastAsia="Courier New" w:hAnsi="Courier New"/>
                <w:sz w:val="16"/>
                <w:szCs w:val="16"/>
                <w:color w:val="auto"/>
              </w:rPr>
              <w:t>(2,752)(4)</w:t>
            </w:r>
          </w:p>
        </w:tc>
        <w:tc>
          <w:tcPr>
            <w:tcW w:w="10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r>
      <w:tr>
        <w:trPr>
          <w:trHeight w:val="183"/>
        </w:trPr>
        <w:tc>
          <w:tcPr>
            <w:tcW w:w="3140" w:type="dxa"/>
            <w:vAlign w:val="bottom"/>
          </w:tcPr>
          <w:p>
            <w:pPr>
              <w:spacing w:after="0"/>
              <w:rPr>
                <w:sz w:val="15"/>
                <w:szCs w:val="15"/>
                <w:color w:val="auto"/>
              </w:rPr>
            </w:pPr>
          </w:p>
        </w:tc>
        <w:tc>
          <w:tcPr>
            <w:tcW w:w="3820" w:type="dxa"/>
            <w:vAlign w:val="bottom"/>
          </w:tcPr>
          <w:p>
            <w:pPr>
              <w:jc w:val="right"/>
              <w:ind w:right="584"/>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center"/>
              <w:ind w:right="1"/>
              <w:spacing w:after="0"/>
              <w:rPr>
                <w:sz w:val="20"/>
                <w:szCs w:val="20"/>
                <w:color w:val="auto"/>
              </w:rPr>
            </w:pPr>
            <w:r>
              <w:rPr>
                <w:rFonts w:ascii="Courier New" w:cs="Courier New" w:eastAsia="Courier New" w:hAnsi="Courier New"/>
                <w:sz w:val="16"/>
                <w:szCs w:val="16"/>
                <w:color w:val="auto"/>
                <w:w w:val="98"/>
              </w:rPr>
              <w:t>-----------</w:t>
            </w:r>
          </w:p>
        </w:tc>
        <w:tc>
          <w:tcPr>
            <w:tcW w:w="106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r>
      <w:tr>
        <w:trPr>
          <w:trHeight w:val="183"/>
        </w:trPr>
        <w:tc>
          <w:tcPr>
            <w:tcW w:w="3140" w:type="dxa"/>
            <w:vAlign w:val="bottom"/>
          </w:tcPr>
          <w:p>
            <w:pPr>
              <w:jc w:val="right"/>
              <w:spacing w:after="0"/>
              <w:rPr>
                <w:sz w:val="20"/>
                <w:szCs w:val="20"/>
                <w:color w:val="auto"/>
              </w:rPr>
            </w:pPr>
            <w:r>
              <w:rPr>
                <w:rFonts w:ascii="Courier New" w:cs="Courier New" w:eastAsia="Courier New" w:hAnsi="Courier New"/>
                <w:sz w:val="16"/>
                <w:szCs w:val="16"/>
                <w:color w:val="auto"/>
                <w:w w:val="72"/>
              </w:rPr>
              <w:t>Total expenses...............................</w:t>
            </w:r>
          </w:p>
        </w:tc>
        <w:tc>
          <w:tcPr>
            <w:tcW w:w="3820" w:type="dxa"/>
            <w:vAlign w:val="bottom"/>
          </w:tcPr>
          <w:p>
            <w:pPr>
              <w:jc w:val="right"/>
              <w:ind w:right="584"/>
              <w:spacing w:after="0"/>
              <w:rPr>
                <w:sz w:val="20"/>
                <w:szCs w:val="20"/>
                <w:color w:val="auto"/>
              </w:rPr>
            </w:pPr>
            <w:r>
              <w:rPr>
                <w:rFonts w:ascii="Courier New" w:cs="Courier New" w:eastAsia="Courier New" w:hAnsi="Courier New"/>
                <w:sz w:val="16"/>
                <w:szCs w:val="16"/>
                <w:color w:val="auto"/>
              </w:rPr>
              <w:t>41,853</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(4,083)</w:t>
            </w: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37,770</w:t>
            </w:r>
          </w:p>
        </w:tc>
      </w:tr>
      <w:tr>
        <w:trPr>
          <w:trHeight w:val="183"/>
        </w:trPr>
        <w:tc>
          <w:tcPr>
            <w:tcW w:w="3140" w:type="dxa"/>
            <w:vAlign w:val="bottom"/>
          </w:tcPr>
          <w:p>
            <w:pPr>
              <w:spacing w:after="0"/>
              <w:rPr>
                <w:sz w:val="15"/>
                <w:szCs w:val="15"/>
                <w:color w:val="auto"/>
              </w:rPr>
            </w:pPr>
          </w:p>
        </w:tc>
        <w:tc>
          <w:tcPr>
            <w:tcW w:w="3820" w:type="dxa"/>
            <w:vAlign w:val="bottom"/>
          </w:tcPr>
          <w:p>
            <w:pPr>
              <w:jc w:val="right"/>
              <w:ind w:right="584"/>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center"/>
              <w:ind w:right="1"/>
              <w:spacing w:after="0"/>
              <w:rPr>
                <w:sz w:val="20"/>
                <w:szCs w:val="20"/>
                <w:color w:val="auto"/>
              </w:rPr>
            </w:pPr>
            <w:r>
              <w:rPr>
                <w:rFonts w:ascii="Courier New" w:cs="Courier New" w:eastAsia="Courier New" w:hAnsi="Courier New"/>
                <w:sz w:val="16"/>
                <w:szCs w:val="16"/>
                <w:color w:val="auto"/>
                <w:w w:val="98"/>
              </w:rPr>
              <w:t>-----------</w:t>
            </w:r>
          </w:p>
        </w:tc>
        <w:tc>
          <w:tcPr>
            <w:tcW w:w="106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r>
      <w:tr>
        <w:trPr>
          <w:trHeight w:val="183"/>
        </w:trPr>
        <w:tc>
          <w:tcPr>
            <w:tcW w:w="3140" w:type="dxa"/>
            <w:vAlign w:val="bottom"/>
          </w:tcPr>
          <w:p>
            <w:pPr>
              <w:jc w:val="right"/>
              <w:spacing w:after="0"/>
              <w:rPr>
                <w:sz w:val="20"/>
                <w:szCs w:val="20"/>
                <w:color w:val="auto"/>
              </w:rPr>
            </w:pPr>
            <w:r>
              <w:rPr>
                <w:rFonts w:ascii="Courier New" w:cs="Courier New" w:eastAsia="Courier New" w:hAnsi="Courier New"/>
                <w:sz w:val="14"/>
                <w:szCs w:val="14"/>
                <w:color w:val="auto"/>
                <w:w w:val="72"/>
              </w:rPr>
              <w:t>Income before income taxes.........................</w:t>
            </w:r>
          </w:p>
        </w:tc>
        <w:tc>
          <w:tcPr>
            <w:tcW w:w="3820" w:type="dxa"/>
            <w:vAlign w:val="bottom"/>
          </w:tcPr>
          <w:p>
            <w:pPr>
              <w:jc w:val="right"/>
              <w:ind w:right="584"/>
              <w:spacing w:after="0"/>
              <w:rPr>
                <w:sz w:val="20"/>
                <w:szCs w:val="20"/>
                <w:color w:val="auto"/>
              </w:rPr>
            </w:pPr>
            <w:r>
              <w:rPr>
                <w:rFonts w:ascii="Courier New" w:cs="Courier New" w:eastAsia="Courier New" w:hAnsi="Courier New"/>
                <w:sz w:val="16"/>
                <w:szCs w:val="16"/>
                <w:color w:val="auto"/>
              </w:rPr>
              <w:t>3,140</w:t>
            </w: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4,083</w:t>
            </w: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7,223</w:t>
            </w:r>
          </w:p>
        </w:tc>
      </w:tr>
      <w:tr>
        <w:trPr>
          <w:trHeight w:val="183"/>
        </w:trPr>
        <w:tc>
          <w:tcPr>
            <w:tcW w:w="3140" w:type="dxa"/>
            <w:vAlign w:val="bottom"/>
          </w:tcPr>
          <w:p>
            <w:pPr>
              <w:jc w:val="right"/>
              <w:spacing w:after="0"/>
              <w:rPr>
                <w:sz w:val="20"/>
                <w:szCs w:val="20"/>
                <w:color w:val="auto"/>
              </w:rPr>
            </w:pPr>
            <w:r>
              <w:rPr>
                <w:rFonts w:ascii="Courier New" w:cs="Courier New" w:eastAsia="Courier New" w:hAnsi="Courier New"/>
                <w:sz w:val="14"/>
                <w:szCs w:val="14"/>
                <w:color w:val="auto"/>
                <w:w w:val="72"/>
              </w:rPr>
              <w:t>Provision for income taxes.........................</w:t>
            </w:r>
          </w:p>
        </w:tc>
        <w:tc>
          <w:tcPr>
            <w:tcW w:w="3820" w:type="dxa"/>
            <w:vAlign w:val="bottom"/>
          </w:tcPr>
          <w:p>
            <w:pPr>
              <w:jc w:val="right"/>
              <w:ind w:right="584"/>
              <w:spacing w:after="0"/>
              <w:rPr>
                <w:sz w:val="20"/>
                <w:szCs w:val="20"/>
                <w:color w:val="auto"/>
              </w:rPr>
            </w:pPr>
            <w:r>
              <w:rPr>
                <w:rFonts w:ascii="Courier New" w:cs="Courier New" w:eastAsia="Courier New" w:hAnsi="Courier New"/>
                <w:sz w:val="16"/>
                <w:szCs w:val="16"/>
                <w:color w:val="auto"/>
              </w:rPr>
              <w:t>1,574</w:t>
            </w:r>
          </w:p>
        </w:tc>
        <w:tc>
          <w:tcPr>
            <w:tcW w:w="152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1,574</w:t>
            </w:r>
          </w:p>
        </w:tc>
      </w:tr>
      <w:tr>
        <w:trPr>
          <w:trHeight w:val="183"/>
        </w:trPr>
        <w:tc>
          <w:tcPr>
            <w:tcW w:w="3140" w:type="dxa"/>
            <w:vAlign w:val="bottom"/>
          </w:tcPr>
          <w:p>
            <w:pPr>
              <w:spacing w:after="0"/>
              <w:rPr>
                <w:sz w:val="15"/>
                <w:szCs w:val="15"/>
                <w:color w:val="auto"/>
              </w:rPr>
            </w:pPr>
          </w:p>
        </w:tc>
        <w:tc>
          <w:tcPr>
            <w:tcW w:w="3820" w:type="dxa"/>
            <w:vAlign w:val="bottom"/>
          </w:tcPr>
          <w:p>
            <w:pPr>
              <w:jc w:val="right"/>
              <w:ind w:right="584"/>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center"/>
              <w:ind w:right="1"/>
              <w:spacing w:after="0"/>
              <w:rPr>
                <w:sz w:val="20"/>
                <w:szCs w:val="20"/>
                <w:color w:val="auto"/>
              </w:rPr>
            </w:pPr>
            <w:r>
              <w:rPr>
                <w:rFonts w:ascii="Courier New" w:cs="Courier New" w:eastAsia="Courier New" w:hAnsi="Courier New"/>
                <w:sz w:val="16"/>
                <w:szCs w:val="16"/>
                <w:color w:val="auto"/>
                <w:w w:val="98"/>
              </w:rPr>
              <w:t>-----------</w:t>
            </w:r>
          </w:p>
        </w:tc>
        <w:tc>
          <w:tcPr>
            <w:tcW w:w="106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r>
      <w:tr>
        <w:trPr>
          <w:trHeight w:val="183"/>
        </w:trPr>
        <w:tc>
          <w:tcPr>
            <w:tcW w:w="3140" w:type="dxa"/>
            <w:vAlign w:val="bottom"/>
          </w:tcPr>
          <w:p>
            <w:pPr>
              <w:jc w:val="right"/>
              <w:spacing w:after="0"/>
              <w:rPr>
                <w:sz w:val="20"/>
                <w:szCs w:val="20"/>
                <w:color w:val="auto"/>
              </w:rPr>
            </w:pPr>
            <w:r>
              <w:rPr>
                <w:rFonts w:ascii="Courier New" w:cs="Courier New" w:eastAsia="Courier New" w:hAnsi="Courier New"/>
                <w:sz w:val="14"/>
                <w:szCs w:val="14"/>
                <w:color w:val="auto"/>
                <w:w w:val="72"/>
              </w:rPr>
              <w:t>Net income.........................................</w:t>
            </w:r>
          </w:p>
        </w:tc>
        <w:tc>
          <w:tcPr>
            <w:tcW w:w="3820" w:type="dxa"/>
            <w:vAlign w:val="bottom"/>
          </w:tcPr>
          <w:p>
            <w:pPr>
              <w:jc w:val="right"/>
              <w:ind w:right="584"/>
              <w:spacing w:after="0"/>
              <w:rPr>
                <w:sz w:val="20"/>
                <w:szCs w:val="20"/>
                <w:color w:val="auto"/>
              </w:rPr>
            </w:pPr>
            <w:r>
              <w:rPr>
                <w:rFonts w:ascii="Courier New" w:cs="Courier New" w:eastAsia="Courier New" w:hAnsi="Courier New"/>
                <w:sz w:val="16"/>
                <w:szCs w:val="16"/>
                <w:color w:val="auto"/>
              </w:rPr>
              <w:t>$ 1,566</w:t>
            </w: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$ 4,083</w:t>
            </w: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$ 5,649</w:t>
            </w:r>
          </w:p>
        </w:tc>
      </w:tr>
      <w:tr>
        <w:trPr>
          <w:trHeight w:val="183"/>
        </w:trPr>
        <w:tc>
          <w:tcPr>
            <w:tcW w:w="3140" w:type="dxa"/>
            <w:vAlign w:val="bottom"/>
          </w:tcPr>
          <w:p>
            <w:pPr>
              <w:spacing w:after="0"/>
              <w:rPr>
                <w:sz w:val="15"/>
                <w:szCs w:val="15"/>
                <w:color w:val="auto"/>
              </w:rPr>
            </w:pPr>
          </w:p>
        </w:tc>
        <w:tc>
          <w:tcPr>
            <w:tcW w:w="3820" w:type="dxa"/>
            <w:vAlign w:val="bottom"/>
          </w:tcPr>
          <w:p>
            <w:pPr>
              <w:jc w:val="right"/>
              <w:ind w:right="584"/>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center"/>
              <w:ind w:right="1"/>
              <w:spacing w:after="0"/>
              <w:rPr>
                <w:sz w:val="20"/>
                <w:szCs w:val="20"/>
                <w:color w:val="auto"/>
              </w:rPr>
            </w:pPr>
            <w:r>
              <w:rPr>
                <w:rFonts w:ascii="Courier New" w:cs="Courier New" w:eastAsia="Courier New" w:hAnsi="Courier New"/>
                <w:sz w:val="16"/>
                <w:szCs w:val="16"/>
                <w:color w:val="auto"/>
                <w:w w:val="98"/>
              </w:rPr>
              <w:t>-----------</w:t>
            </w:r>
          </w:p>
        </w:tc>
        <w:tc>
          <w:tcPr>
            <w:tcW w:w="106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r>
      <w:tr>
        <w:trPr>
          <w:trHeight w:val="183"/>
        </w:trPr>
        <w:tc>
          <w:tcPr>
            <w:tcW w:w="3140" w:type="dxa"/>
            <w:vAlign w:val="bottom"/>
          </w:tcPr>
          <w:p>
            <w:pPr>
              <w:spacing w:after="0"/>
              <w:rPr>
                <w:sz w:val="15"/>
                <w:szCs w:val="15"/>
                <w:color w:val="auto"/>
              </w:rPr>
            </w:pPr>
          </w:p>
        </w:tc>
        <w:tc>
          <w:tcPr>
            <w:tcW w:w="3820" w:type="dxa"/>
            <w:vAlign w:val="bottom"/>
          </w:tcPr>
          <w:p>
            <w:pPr>
              <w:jc w:val="right"/>
              <w:ind w:right="584"/>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center"/>
              <w:ind w:right="1"/>
              <w:spacing w:after="0"/>
              <w:rPr>
                <w:sz w:val="20"/>
                <w:szCs w:val="20"/>
                <w:color w:val="auto"/>
              </w:rPr>
            </w:pPr>
            <w:r>
              <w:rPr>
                <w:rFonts w:ascii="Courier New" w:cs="Courier New" w:eastAsia="Courier New" w:hAnsi="Courier New"/>
                <w:sz w:val="16"/>
                <w:szCs w:val="16"/>
                <w:color w:val="auto"/>
                <w:w w:val="98"/>
              </w:rPr>
              <w:t>-----------</w:t>
            </w:r>
          </w:p>
        </w:tc>
        <w:tc>
          <w:tcPr>
            <w:tcW w:w="106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r>
      <w:tr>
        <w:trPr>
          <w:trHeight w:val="734"/>
        </w:trPr>
        <w:tc>
          <w:tcPr>
            <w:tcW w:w="3140" w:type="dxa"/>
            <w:vAlign w:val="bottom"/>
          </w:tcPr>
          <w:p>
            <w:pPr>
              <w:spacing w:after="0"/>
              <w:rPr>
                <w:sz w:val="24"/>
                <w:szCs w:val="24"/>
                <w:color w:val="auto"/>
              </w:rPr>
            </w:pPr>
          </w:p>
        </w:tc>
        <w:tc>
          <w:tcPr>
            <w:tcW w:w="3820" w:type="dxa"/>
            <w:vAlign w:val="bottom"/>
          </w:tcPr>
          <w:p>
            <w:pPr>
              <w:jc w:val="right"/>
              <w:ind w:right="584"/>
              <w:spacing w:after="0"/>
              <w:rPr>
                <w:sz w:val="20"/>
                <w:szCs w:val="20"/>
                <w:color w:val="auto"/>
              </w:rPr>
            </w:pPr>
            <w:r>
              <w:rPr>
                <w:rFonts w:ascii="Courier New" w:cs="Courier New" w:eastAsia="Courier New" w:hAnsi="Courier New"/>
                <w:sz w:val="16"/>
                <w:szCs w:val="16"/>
                <w:color w:val="auto"/>
                <w:w w:val="99"/>
              </w:rPr>
              <w:t>THREE MONTHS ENDED MARCH 31, 1996</w:t>
            </w:r>
          </w:p>
        </w:tc>
        <w:tc>
          <w:tcPr>
            <w:tcW w:w="15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3"/>
        </w:trPr>
        <w:tc>
          <w:tcPr>
            <w:tcW w:w="3140" w:type="dxa"/>
            <w:vAlign w:val="bottom"/>
          </w:tcPr>
          <w:p>
            <w:pPr>
              <w:spacing w:after="0"/>
              <w:rPr>
                <w:sz w:val="15"/>
                <w:szCs w:val="15"/>
                <w:color w:val="auto"/>
              </w:rPr>
            </w:pPr>
          </w:p>
        </w:tc>
        <w:tc>
          <w:tcPr>
            <w:tcW w:w="3820" w:type="dxa"/>
            <w:vAlign w:val="bottom"/>
          </w:tcPr>
          <w:p>
            <w:pPr>
              <w:jc w:val="right"/>
              <w:ind w:right="584"/>
              <w:spacing w:after="0"/>
              <w:rPr>
                <w:sz w:val="20"/>
                <w:szCs w:val="20"/>
                <w:color w:val="auto"/>
              </w:rPr>
            </w:pPr>
            <w:r>
              <w:rPr>
                <w:rFonts w:ascii="Courier New" w:cs="Courier New" w:eastAsia="Courier New" w:hAnsi="Courier New"/>
                <w:sz w:val="16"/>
                <w:szCs w:val="16"/>
                <w:color w:val="auto"/>
                <w:w w:val="99"/>
              </w:rPr>
              <w:t>---------------------------------</w:t>
            </w:r>
          </w:p>
        </w:tc>
        <w:tc>
          <w:tcPr>
            <w:tcW w:w="15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3"/>
        </w:trPr>
        <w:tc>
          <w:tcPr>
            <w:tcW w:w="3140" w:type="dxa"/>
            <w:vAlign w:val="bottom"/>
          </w:tcPr>
          <w:p>
            <w:pPr>
              <w:spacing w:after="0"/>
              <w:rPr>
                <w:sz w:val="15"/>
                <w:szCs w:val="15"/>
                <w:color w:val="auto"/>
              </w:rPr>
            </w:pPr>
          </w:p>
        </w:tc>
        <w:tc>
          <w:tcPr>
            <w:tcW w:w="3820" w:type="dxa"/>
            <w:vAlign w:val="bottom"/>
          </w:tcPr>
          <w:p>
            <w:pPr>
              <w:jc w:val="center"/>
              <w:ind w:left="1744"/>
              <w:spacing w:after="0"/>
              <w:rPr>
                <w:sz w:val="20"/>
                <w:szCs w:val="20"/>
                <w:color w:val="auto"/>
              </w:rPr>
            </w:pPr>
            <w:r>
              <w:rPr>
                <w:rFonts w:ascii="Courier New" w:cs="Courier New" w:eastAsia="Courier New" w:hAnsi="Courier New"/>
                <w:sz w:val="16"/>
                <w:szCs w:val="16"/>
                <w:color w:val="auto"/>
                <w:w w:val="99"/>
              </w:rPr>
              <w:t>FIRST</w:t>
            </w:r>
          </w:p>
        </w:tc>
        <w:tc>
          <w:tcPr>
            <w:tcW w:w="1520" w:type="dxa"/>
            <w:vAlign w:val="bottom"/>
          </w:tcPr>
          <w:p>
            <w:pPr>
              <w:spacing w:after="0"/>
              <w:rPr>
                <w:sz w:val="15"/>
                <w:szCs w:val="15"/>
                <w:color w:val="auto"/>
              </w:rPr>
            </w:pPr>
          </w:p>
        </w:tc>
        <w:tc>
          <w:tcPr>
            <w:tcW w:w="10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FIRST</w:t>
            </w:r>
          </w:p>
        </w:tc>
      </w:tr>
      <w:tr>
        <w:trPr>
          <w:trHeight w:val="183"/>
        </w:trPr>
        <w:tc>
          <w:tcPr>
            <w:tcW w:w="3140" w:type="dxa"/>
            <w:vAlign w:val="bottom"/>
          </w:tcPr>
          <w:p>
            <w:pPr>
              <w:spacing w:after="0"/>
              <w:rPr>
                <w:sz w:val="15"/>
                <w:szCs w:val="15"/>
                <w:color w:val="auto"/>
              </w:rPr>
            </w:pPr>
          </w:p>
        </w:tc>
        <w:tc>
          <w:tcPr>
            <w:tcW w:w="3820" w:type="dxa"/>
            <w:vAlign w:val="bottom"/>
          </w:tcPr>
          <w:p>
            <w:pPr>
              <w:jc w:val="center"/>
              <w:ind w:left="1644"/>
              <w:spacing w:after="0"/>
              <w:rPr>
                <w:sz w:val="20"/>
                <w:szCs w:val="20"/>
                <w:color w:val="auto"/>
              </w:rPr>
            </w:pPr>
            <w:r>
              <w:rPr>
                <w:rFonts w:ascii="Courier New" w:cs="Courier New" w:eastAsia="Courier New" w:hAnsi="Courier New"/>
                <w:sz w:val="16"/>
                <w:szCs w:val="16"/>
                <w:color w:val="auto"/>
              </w:rPr>
              <w:t>HOSPITAL</w:t>
            </w:r>
          </w:p>
        </w:tc>
        <w:tc>
          <w:tcPr>
            <w:tcW w:w="1520" w:type="dxa"/>
            <w:vAlign w:val="bottom"/>
          </w:tcPr>
          <w:p>
            <w:pPr>
              <w:spacing w:after="0"/>
              <w:rPr>
                <w:sz w:val="15"/>
                <w:szCs w:val="15"/>
                <w:color w:val="auto"/>
              </w:rPr>
            </w:pPr>
          </w:p>
        </w:tc>
        <w:tc>
          <w:tcPr>
            <w:tcW w:w="1060" w:type="dxa"/>
            <w:vAlign w:val="bottom"/>
          </w:tcPr>
          <w:p>
            <w:pPr>
              <w:ind w:left="100"/>
              <w:spacing w:after="0"/>
              <w:rPr>
                <w:sz w:val="20"/>
                <w:szCs w:val="20"/>
                <w:color w:val="auto"/>
              </w:rPr>
            </w:pPr>
            <w:r>
              <w:rPr>
                <w:rFonts w:ascii="Courier New" w:cs="Courier New" w:eastAsia="Courier New" w:hAnsi="Courier New"/>
                <w:sz w:val="16"/>
                <w:szCs w:val="16"/>
                <w:color w:val="auto"/>
              </w:rPr>
              <w:t>HOSPITAL</w:t>
            </w:r>
          </w:p>
        </w:tc>
      </w:tr>
      <w:tr>
        <w:trPr>
          <w:trHeight w:val="183"/>
        </w:trPr>
        <w:tc>
          <w:tcPr>
            <w:tcW w:w="3140" w:type="dxa"/>
            <w:vAlign w:val="bottom"/>
          </w:tcPr>
          <w:p>
            <w:pPr>
              <w:spacing w:after="0"/>
              <w:rPr>
                <w:sz w:val="15"/>
                <w:szCs w:val="15"/>
                <w:color w:val="auto"/>
              </w:rPr>
            </w:pPr>
          </w:p>
        </w:tc>
        <w:tc>
          <w:tcPr>
            <w:tcW w:w="3820" w:type="dxa"/>
            <w:vAlign w:val="bottom"/>
          </w:tcPr>
          <w:p>
            <w:pPr>
              <w:jc w:val="center"/>
              <w:ind w:left="1644"/>
              <w:spacing w:after="0"/>
              <w:rPr>
                <w:sz w:val="20"/>
                <w:szCs w:val="20"/>
                <w:color w:val="auto"/>
              </w:rPr>
            </w:pPr>
            <w:r>
              <w:rPr>
                <w:rFonts w:ascii="Courier New" w:cs="Courier New" w:eastAsia="Courier New" w:hAnsi="Courier New"/>
                <w:sz w:val="16"/>
                <w:szCs w:val="16"/>
                <w:color w:val="auto"/>
                <w:w w:val="97"/>
              </w:rPr>
              <w:t>PROPERTIES</w:t>
            </w:r>
          </w:p>
        </w:tc>
        <w:tc>
          <w:tcPr>
            <w:tcW w:w="1520" w:type="dxa"/>
            <w:vAlign w:val="bottom"/>
          </w:tcPr>
          <w:p>
            <w:pPr>
              <w:jc w:val="center"/>
              <w:ind w:right="21"/>
              <w:spacing w:after="0"/>
              <w:rPr>
                <w:sz w:val="20"/>
                <w:szCs w:val="20"/>
                <w:color w:val="auto"/>
              </w:rPr>
            </w:pPr>
            <w:r>
              <w:rPr>
                <w:rFonts w:ascii="Courier New" w:cs="Courier New" w:eastAsia="Courier New" w:hAnsi="Courier New"/>
                <w:sz w:val="16"/>
                <w:szCs w:val="16"/>
                <w:color w:val="auto"/>
                <w:w w:val="99"/>
              </w:rPr>
              <w:t>PRO FORMA</w:t>
            </w:r>
          </w:p>
        </w:tc>
        <w:tc>
          <w:tcPr>
            <w:tcW w:w="1060" w:type="dxa"/>
            <w:vAlign w:val="bottom"/>
          </w:tcPr>
          <w:p>
            <w:pPr>
              <w:ind w:left="100"/>
              <w:spacing w:after="0"/>
              <w:rPr>
                <w:sz w:val="20"/>
                <w:szCs w:val="20"/>
                <w:color w:val="auto"/>
              </w:rPr>
            </w:pPr>
            <w:r>
              <w:rPr>
                <w:rFonts w:ascii="Courier New" w:cs="Courier New" w:eastAsia="Courier New" w:hAnsi="Courier New"/>
                <w:sz w:val="16"/>
                <w:szCs w:val="16"/>
                <w:color w:val="auto"/>
                <w:w w:val="97"/>
              </w:rPr>
              <w:t>PROPERTIES</w:t>
            </w:r>
          </w:p>
        </w:tc>
      </w:tr>
      <w:tr>
        <w:trPr>
          <w:trHeight w:val="183"/>
        </w:trPr>
        <w:tc>
          <w:tcPr>
            <w:tcW w:w="3140" w:type="dxa"/>
            <w:vAlign w:val="bottom"/>
          </w:tcPr>
          <w:p>
            <w:pPr>
              <w:spacing w:after="0"/>
              <w:rPr>
                <w:sz w:val="15"/>
                <w:szCs w:val="15"/>
                <w:color w:val="auto"/>
              </w:rPr>
            </w:pPr>
          </w:p>
        </w:tc>
        <w:tc>
          <w:tcPr>
            <w:tcW w:w="3820" w:type="dxa"/>
            <w:vAlign w:val="bottom"/>
          </w:tcPr>
          <w:p>
            <w:pPr>
              <w:jc w:val="center"/>
              <w:ind w:left="1644"/>
              <w:spacing w:after="0"/>
              <w:rPr>
                <w:sz w:val="20"/>
                <w:szCs w:val="20"/>
                <w:color w:val="auto"/>
              </w:rPr>
            </w:pPr>
            <w:r>
              <w:rPr>
                <w:rFonts w:ascii="Courier New" w:cs="Courier New" w:eastAsia="Courier New" w:hAnsi="Courier New"/>
                <w:sz w:val="16"/>
                <w:szCs w:val="16"/>
                <w:color w:val="auto"/>
                <w:w w:val="97"/>
              </w:rPr>
              <w:t>HISTORICAL</w:t>
            </w:r>
          </w:p>
        </w:tc>
        <w:tc>
          <w:tcPr>
            <w:tcW w:w="1520" w:type="dxa"/>
            <w:vAlign w:val="bottom"/>
          </w:tcPr>
          <w:p>
            <w:pPr>
              <w:jc w:val="center"/>
              <w:ind w:right="1"/>
              <w:spacing w:after="0"/>
              <w:rPr>
                <w:sz w:val="20"/>
                <w:szCs w:val="20"/>
                <w:color w:val="auto"/>
              </w:rPr>
            </w:pPr>
            <w:r>
              <w:rPr>
                <w:rFonts w:ascii="Courier New" w:cs="Courier New" w:eastAsia="Courier New" w:hAnsi="Courier New"/>
                <w:sz w:val="16"/>
                <w:szCs w:val="16"/>
                <w:color w:val="auto"/>
                <w:w w:val="98"/>
              </w:rPr>
              <w:t>ADJUSTMENTS</w:t>
            </w:r>
          </w:p>
        </w:tc>
        <w:tc>
          <w:tcPr>
            <w:tcW w:w="1060" w:type="dxa"/>
            <w:vAlign w:val="bottom"/>
          </w:tcPr>
          <w:p>
            <w:pPr>
              <w:ind w:left="100"/>
              <w:spacing w:after="0"/>
              <w:rPr>
                <w:sz w:val="20"/>
                <w:szCs w:val="20"/>
                <w:color w:val="auto"/>
              </w:rPr>
            </w:pPr>
            <w:r>
              <w:rPr>
                <w:rFonts w:ascii="Courier New" w:cs="Courier New" w:eastAsia="Courier New" w:hAnsi="Courier New"/>
                <w:sz w:val="16"/>
                <w:szCs w:val="16"/>
                <w:color w:val="auto"/>
              </w:rPr>
              <w:t>PRO FORMA</w:t>
            </w:r>
          </w:p>
        </w:tc>
      </w:tr>
      <w:tr>
        <w:trPr>
          <w:trHeight w:val="183"/>
        </w:trPr>
        <w:tc>
          <w:tcPr>
            <w:tcW w:w="3140" w:type="dxa"/>
            <w:vAlign w:val="bottom"/>
          </w:tcPr>
          <w:p>
            <w:pPr>
              <w:spacing w:after="0"/>
              <w:rPr>
                <w:sz w:val="15"/>
                <w:szCs w:val="15"/>
                <w:color w:val="auto"/>
              </w:rPr>
            </w:pPr>
          </w:p>
        </w:tc>
        <w:tc>
          <w:tcPr>
            <w:tcW w:w="3820" w:type="dxa"/>
            <w:vAlign w:val="bottom"/>
          </w:tcPr>
          <w:p>
            <w:pPr>
              <w:jc w:val="center"/>
              <w:ind w:left="1724"/>
              <w:spacing w:after="0"/>
              <w:rPr>
                <w:sz w:val="20"/>
                <w:szCs w:val="20"/>
                <w:color w:val="auto"/>
              </w:rPr>
            </w:pPr>
            <w:r>
              <w:rPr>
                <w:rFonts w:ascii="Courier New" w:cs="Courier New" w:eastAsia="Courier New" w:hAnsi="Courier New"/>
                <w:sz w:val="16"/>
                <w:szCs w:val="16"/>
                <w:color w:val="auto"/>
                <w:w w:val="99"/>
              </w:rPr>
              <w:t>-----------------</w:t>
            </w:r>
          </w:p>
        </w:tc>
        <w:tc>
          <w:tcPr>
            <w:tcW w:w="1520" w:type="dxa"/>
            <w:vAlign w:val="bottom"/>
          </w:tcPr>
          <w:p>
            <w:pPr>
              <w:jc w:val="center"/>
              <w:ind w:right="1"/>
              <w:spacing w:after="0"/>
              <w:rPr>
                <w:sz w:val="20"/>
                <w:szCs w:val="20"/>
                <w:color w:val="auto"/>
              </w:rPr>
            </w:pPr>
            <w:r>
              <w:rPr>
                <w:rFonts w:ascii="Courier New" w:cs="Courier New" w:eastAsia="Courier New" w:hAnsi="Courier New"/>
                <w:sz w:val="16"/>
                <w:szCs w:val="16"/>
                <w:color w:val="auto"/>
                <w:w w:val="98"/>
              </w:rPr>
              <w:t>-----------</w:t>
            </w:r>
          </w:p>
        </w:tc>
        <w:tc>
          <w:tcPr>
            <w:tcW w:w="106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r>
      <w:tr>
        <w:trPr>
          <w:trHeight w:val="367"/>
        </w:trPr>
        <w:tc>
          <w:tcPr>
            <w:tcW w:w="3140" w:type="dxa"/>
            <w:vAlign w:val="bottom"/>
          </w:tcPr>
          <w:p>
            <w:pPr>
              <w:jc w:val="right"/>
              <w:spacing w:after="0"/>
              <w:rPr>
                <w:sz w:val="20"/>
                <w:szCs w:val="20"/>
                <w:color w:val="auto"/>
              </w:rPr>
            </w:pPr>
            <w:r>
              <w:rPr>
                <w:rFonts w:ascii="Courier New" w:cs="Courier New" w:eastAsia="Courier New" w:hAnsi="Courier New"/>
                <w:sz w:val="14"/>
                <w:szCs w:val="14"/>
                <w:color w:val="auto"/>
                <w:w w:val="72"/>
              </w:rPr>
              <w:t>Net Revenues.......................................</w:t>
            </w:r>
          </w:p>
        </w:tc>
        <w:tc>
          <w:tcPr>
            <w:tcW w:w="3820" w:type="dxa"/>
            <w:vAlign w:val="bottom"/>
          </w:tcPr>
          <w:p>
            <w:pPr>
              <w:jc w:val="right"/>
              <w:ind w:right="584"/>
              <w:spacing w:after="0"/>
              <w:rPr>
                <w:sz w:val="20"/>
                <w:szCs w:val="20"/>
                <w:color w:val="auto"/>
              </w:rPr>
            </w:pPr>
            <w:r>
              <w:rPr>
                <w:rFonts w:ascii="Courier New" w:cs="Courier New" w:eastAsia="Courier New" w:hAnsi="Courier New"/>
                <w:sz w:val="16"/>
                <w:szCs w:val="16"/>
                <w:color w:val="auto"/>
              </w:rPr>
              <w:t>$12,215</w:t>
            </w:r>
          </w:p>
        </w:tc>
        <w:tc>
          <w:tcPr>
            <w:tcW w:w="152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$12,215</w:t>
            </w:r>
          </w:p>
        </w:tc>
      </w:tr>
      <w:tr>
        <w:trPr>
          <w:trHeight w:val="183"/>
        </w:trPr>
        <w:tc>
          <w:tcPr>
            <w:tcW w:w="3140" w:type="dxa"/>
            <w:vAlign w:val="bottom"/>
          </w:tcPr>
          <w:p>
            <w:pPr>
              <w:jc w:val="right"/>
              <w:ind w:right="1347"/>
              <w:spacing w:after="0"/>
              <w:rPr>
                <w:sz w:val="20"/>
                <w:szCs w:val="20"/>
                <w:color w:val="auto"/>
              </w:rPr>
            </w:pPr>
            <w:r>
              <w:rPr>
                <w:rFonts w:ascii="Courier New" w:cs="Courier New" w:eastAsia="Courier New" w:hAnsi="Courier New"/>
                <w:sz w:val="16"/>
                <w:szCs w:val="16"/>
                <w:color w:val="auto"/>
                <w:w w:val="98"/>
              </w:rPr>
              <w:t>Operating charges:</w:t>
            </w:r>
          </w:p>
        </w:tc>
        <w:tc>
          <w:tcPr>
            <w:tcW w:w="38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3"/>
        </w:trPr>
        <w:tc>
          <w:tcPr>
            <w:tcW w:w="3140" w:type="dxa"/>
            <w:vAlign w:val="bottom"/>
          </w:tcPr>
          <w:p>
            <w:pPr>
              <w:jc w:val="right"/>
              <w:spacing w:after="0"/>
              <w:rPr>
                <w:sz w:val="20"/>
                <w:szCs w:val="20"/>
                <w:color w:val="auto"/>
              </w:rPr>
            </w:pPr>
            <w:r>
              <w:rPr>
                <w:rFonts w:ascii="Courier New" w:cs="Courier New" w:eastAsia="Courier New" w:hAnsi="Courier New"/>
                <w:sz w:val="15"/>
                <w:szCs w:val="15"/>
                <w:color w:val="auto"/>
                <w:w w:val="70"/>
              </w:rPr>
              <w:t>Operating expenses...............................</w:t>
            </w:r>
          </w:p>
        </w:tc>
        <w:tc>
          <w:tcPr>
            <w:tcW w:w="3820" w:type="dxa"/>
            <w:vAlign w:val="bottom"/>
          </w:tcPr>
          <w:p>
            <w:pPr>
              <w:jc w:val="right"/>
              <w:ind w:right="584"/>
              <w:spacing w:after="0"/>
              <w:rPr>
                <w:sz w:val="20"/>
                <w:szCs w:val="20"/>
                <w:color w:val="auto"/>
              </w:rPr>
            </w:pPr>
            <w:r>
              <w:rPr>
                <w:rFonts w:ascii="Courier New" w:cs="Courier New" w:eastAsia="Courier New" w:hAnsi="Courier New"/>
                <w:sz w:val="16"/>
                <w:szCs w:val="16"/>
                <w:color w:val="auto"/>
              </w:rPr>
              <w:t>3,542</w:t>
            </w:r>
          </w:p>
        </w:tc>
        <w:tc>
          <w:tcPr>
            <w:tcW w:w="15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63(1)</w:t>
            </w: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3,605</w:t>
            </w:r>
          </w:p>
        </w:tc>
      </w:tr>
      <w:tr>
        <w:trPr>
          <w:trHeight w:val="183"/>
        </w:trPr>
        <w:tc>
          <w:tcPr>
            <w:tcW w:w="3140" w:type="dxa"/>
            <w:vAlign w:val="bottom"/>
          </w:tcPr>
          <w:p>
            <w:pPr>
              <w:jc w:val="right"/>
              <w:spacing w:after="0"/>
              <w:rPr>
                <w:sz w:val="20"/>
                <w:szCs w:val="20"/>
                <w:color w:val="auto"/>
              </w:rPr>
            </w:pPr>
            <w:r>
              <w:rPr>
                <w:rFonts w:ascii="Courier New" w:cs="Courier New" w:eastAsia="Courier New" w:hAnsi="Courier New"/>
                <w:sz w:val="15"/>
                <w:szCs w:val="15"/>
                <w:color w:val="auto"/>
                <w:w w:val="70"/>
              </w:rPr>
              <w:t>Salaries and wages...............................</w:t>
            </w:r>
          </w:p>
        </w:tc>
        <w:tc>
          <w:tcPr>
            <w:tcW w:w="3820" w:type="dxa"/>
            <w:vAlign w:val="bottom"/>
          </w:tcPr>
          <w:p>
            <w:pPr>
              <w:jc w:val="right"/>
              <w:ind w:right="584"/>
              <w:spacing w:after="0"/>
              <w:rPr>
                <w:sz w:val="20"/>
                <w:szCs w:val="20"/>
                <w:color w:val="auto"/>
              </w:rPr>
            </w:pPr>
            <w:r>
              <w:rPr>
                <w:rFonts w:ascii="Courier New" w:cs="Courier New" w:eastAsia="Courier New" w:hAnsi="Courier New"/>
                <w:sz w:val="16"/>
                <w:szCs w:val="16"/>
                <w:color w:val="auto"/>
              </w:rPr>
              <w:t>5,353</w:t>
            </w:r>
          </w:p>
        </w:tc>
        <w:tc>
          <w:tcPr>
            <w:tcW w:w="152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5,353</w:t>
            </w:r>
          </w:p>
        </w:tc>
      </w:tr>
      <w:tr>
        <w:trPr>
          <w:trHeight w:val="183"/>
        </w:trPr>
        <w:tc>
          <w:tcPr>
            <w:tcW w:w="3140" w:type="dxa"/>
            <w:vAlign w:val="bottom"/>
          </w:tcPr>
          <w:p>
            <w:pPr>
              <w:jc w:val="right"/>
              <w:spacing w:after="0"/>
              <w:rPr>
                <w:sz w:val="20"/>
                <w:szCs w:val="20"/>
                <w:color w:val="auto"/>
              </w:rPr>
            </w:pPr>
            <w:r>
              <w:rPr>
                <w:rFonts w:ascii="Courier New" w:cs="Courier New" w:eastAsia="Courier New" w:hAnsi="Courier New"/>
                <w:sz w:val="16"/>
                <w:szCs w:val="16"/>
                <w:color w:val="auto"/>
              </w:rPr>
              <w:t>Provision for doubtful accounts</w:t>
            </w:r>
          </w:p>
        </w:tc>
        <w:tc>
          <w:tcPr>
            <w:tcW w:w="3820" w:type="dxa"/>
            <w:vAlign w:val="bottom"/>
          </w:tcPr>
          <w:p>
            <w:pPr>
              <w:jc w:val="right"/>
              <w:ind w:right="584"/>
              <w:spacing w:after="0"/>
              <w:rPr>
                <w:sz w:val="20"/>
                <w:szCs w:val="20"/>
                <w:color w:val="auto"/>
              </w:rPr>
            </w:pPr>
            <w:r>
              <w:rPr>
                <w:rFonts w:ascii="Courier New" w:cs="Courier New" w:eastAsia="Courier New" w:hAnsi="Courier New"/>
                <w:sz w:val="16"/>
                <w:szCs w:val="16"/>
                <w:color w:val="auto"/>
              </w:rPr>
              <w:t>..................367</w:t>
            </w:r>
          </w:p>
        </w:tc>
        <w:tc>
          <w:tcPr>
            <w:tcW w:w="152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367</w:t>
            </w:r>
          </w:p>
        </w:tc>
      </w:tr>
      <w:tr>
        <w:trPr>
          <w:trHeight w:val="183"/>
        </w:trPr>
        <w:tc>
          <w:tcPr>
            <w:tcW w:w="3140" w:type="dxa"/>
            <w:vAlign w:val="bottom"/>
          </w:tcPr>
          <w:p>
            <w:pPr>
              <w:jc w:val="right"/>
              <w:spacing w:after="0"/>
              <w:rPr>
                <w:sz w:val="20"/>
                <w:szCs w:val="20"/>
                <w:color w:val="auto"/>
              </w:rPr>
            </w:pPr>
            <w:r>
              <w:rPr>
                <w:rFonts w:ascii="Courier New" w:cs="Courier New" w:eastAsia="Courier New" w:hAnsi="Courier New"/>
                <w:sz w:val="15"/>
                <w:szCs w:val="15"/>
                <w:color w:val="auto"/>
                <w:w w:val="70"/>
              </w:rPr>
              <w:t>Depreciation and amortization....................</w:t>
            </w:r>
          </w:p>
        </w:tc>
        <w:tc>
          <w:tcPr>
            <w:tcW w:w="3820" w:type="dxa"/>
            <w:vAlign w:val="bottom"/>
          </w:tcPr>
          <w:p>
            <w:pPr>
              <w:jc w:val="right"/>
              <w:ind w:right="584"/>
              <w:spacing w:after="0"/>
              <w:rPr>
                <w:sz w:val="20"/>
                <w:szCs w:val="20"/>
                <w:color w:val="auto"/>
              </w:rPr>
            </w:pPr>
            <w:r>
              <w:rPr>
                <w:rFonts w:ascii="Courier New" w:cs="Courier New" w:eastAsia="Courier New" w:hAnsi="Courier New"/>
                <w:sz w:val="16"/>
                <w:szCs w:val="16"/>
                <w:color w:val="auto"/>
              </w:rPr>
              <w:t>451</w:t>
            </w:r>
          </w:p>
        </w:tc>
        <w:tc>
          <w:tcPr>
            <w:tcW w:w="15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82(2)</w:t>
            </w: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533</w:t>
            </w:r>
          </w:p>
        </w:tc>
      </w:tr>
      <w:tr>
        <w:trPr>
          <w:trHeight w:val="183"/>
        </w:trPr>
        <w:tc>
          <w:tcPr>
            <w:tcW w:w="3140" w:type="dxa"/>
            <w:vAlign w:val="bottom"/>
          </w:tcPr>
          <w:p>
            <w:pPr>
              <w:jc w:val="right"/>
              <w:spacing w:after="0"/>
              <w:rPr>
                <w:sz w:val="20"/>
                <w:szCs w:val="20"/>
                <w:color w:val="auto"/>
              </w:rPr>
            </w:pPr>
            <w:r>
              <w:rPr>
                <w:rFonts w:ascii="Courier New" w:cs="Courier New" w:eastAsia="Courier New" w:hAnsi="Courier New"/>
                <w:sz w:val="15"/>
                <w:szCs w:val="15"/>
                <w:color w:val="auto"/>
                <w:w w:val="70"/>
              </w:rPr>
              <w:t>Lease and rental expense.........................</w:t>
            </w:r>
          </w:p>
        </w:tc>
        <w:tc>
          <w:tcPr>
            <w:tcW w:w="3820" w:type="dxa"/>
            <w:vAlign w:val="bottom"/>
          </w:tcPr>
          <w:p>
            <w:pPr>
              <w:jc w:val="right"/>
              <w:ind w:right="584"/>
              <w:spacing w:after="0"/>
              <w:rPr>
                <w:sz w:val="20"/>
                <w:szCs w:val="20"/>
                <w:color w:val="auto"/>
              </w:rPr>
            </w:pPr>
            <w:r>
              <w:rPr>
                <w:rFonts w:ascii="Courier New" w:cs="Courier New" w:eastAsia="Courier New" w:hAnsi="Courier New"/>
                <w:sz w:val="16"/>
                <w:szCs w:val="16"/>
                <w:color w:val="auto"/>
              </w:rPr>
              <w:t>73</w:t>
            </w:r>
          </w:p>
        </w:tc>
        <w:tc>
          <w:tcPr>
            <w:tcW w:w="152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73</w:t>
            </w:r>
          </w:p>
        </w:tc>
      </w:tr>
      <w:tr>
        <w:trPr>
          <w:trHeight w:val="183"/>
        </w:trPr>
        <w:tc>
          <w:tcPr>
            <w:tcW w:w="3140" w:type="dxa"/>
            <w:vAlign w:val="bottom"/>
          </w:tcPr>
          <w:p>
            <w:pPr>
              <w:jc w:val="right"/>
              <w:spacing w:after="0"/>
              <w:rPr>
                <w:sz w:val="20"/>
                <w:szCs w:val="20"/>
                <w:color w:val="auto"/>
              </w:rPr>
            </w:pPr>
            <w:r>
              <w:rPr>
                <w:rFonts w:ascii="Courier New" w:cs="Courier New" w:eastAsia="Courier New" w:hAnsi="Courier New"/>
                <w:sz w:val="15"/>
                <w:szCs w:val="15"/>
                <w:color w:val="auto"/>
                <w:w w:val="70"/>
              </w:rPr>
              <w:t>Interest expense, net............................</w:t>
            </w:r>
          </w:p>
        </w:tc>
        <w:tc>
          <w:tcPr>
            <w:tcW w:w="3820" w:type="dxa"/>
            <w:vAlign w:val="bottom"/>
          </w:tcPr>
          <w:p>
            <w:pPr>
              <w:jc w:val="right"/>
              <w:ind w:right="584"/>
              <w:spacing w:after="0"/>
              <w:rPr>
                <w:sz w:val="20"/>
                <w:szCs w:val="20"/>
                <w:color w:val="auto"/>
              </w:rPr>
            </w:pPr>
            <w:r>
              <w:rPr>
                <w:rFonts w:ascii="Courier New" w:cs="Courier New" w:eastAsia="Courier New" w:hAnsi="Courier New"/>
                <w:sz w:val="16"/>
                <w:szCs w:val="16"/>
                <w:color w:val="auto"/>
              </w:rPr>
              <w:t>449</w:t>
            </w:r>
          </w:p>
        </w:tc>
        <w:tc>
          <w:tcPr>
            <w:tcW w:w="1520" w:type="dxa"/>
            <w:vAlign w:val="bottom"/>
          </w:tcPr>
          <w:p>
            <w:pPr>
              <w:jc w:val="right"/>
              <w:ind w:right="1"/>
              <w:spacing w:after="0"/>
              <w:rPr>
                <w:sz w:val="20"/>
                <w:szCs w:val="20"/>
                <w:color w:val="auto"/>
              </w:rPr>
            </w:pPr>
            <w:r>
              <w:rPr>
                <w:rFonts w:ascii="Courier New" w:cs="Courier New" w:eastAsia="Courier New" w:hAnsi="Courier New"/>
                <w:sz w:val="16"/>
                <w:szCs w:val="16"/>
                <w:color w:val="auto"/>
              </w:rPr>
              <w:t>(449)(3)</w:t>
            </w:r>
          </w:p>
        </w:tc>
        <w:tc>
          <w:tcPr>
            <w:tcW w:w="10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r>
      <w:tr>
        <w:trPr>
          <w:trHeight w:val="183"/>
        </w:trPr>
        <w:tc>
          <w:tcPr>
            <w:tcW w:w="3140" w:type="dxa"/>
            <w:vAlign w:val="bottom"/>
          </w:tcPr>
          <w:p>
            <w:pPr>
              <w:jc w:val="right"/>
              <w:spacing w:after="0"/>
              <w:rPr>
                <w:sz w:val="20"/>
                <w:szCs w:val="20"/>
                <w:color w:val="auto"/>
              </w:rPr>
            </w:pPr>
            <w:r>
              <w:rPr>
                <w:rFonts w:ascii="Courier New" w:cs="Courier New" w:eastAsia="Courier New" w:hAnsi="Courier New"/>
                <w:sz w:val="15"/>
                <w:szCs w:val="15"/>
                <w:color w:val="auto"/>
                <w:w w:val="70"/>
              </w:rPr>
              <w:t>Management fees..................................</w:t>
            </w:r>
          </w:p>
        </w:tc>
        <w:tc>
          <w:tcPr>
            <w:tcW w:w="3820" w:type="dxa"/>
            <w:vAlign w:val="bottom"/>
          </w:tcPr>
          <w:p>
            <w:pPr>
              <w:jc w:val="right"/>
              <w:ind w:right="584"/>
              <w:spacing w:after="0"/>
              <w:rPr>
                <w:sz w:val="20"/>
                <w:szCs w:val="20"/>
                <w:color w:val="auto"/>
              </w:rPr>
            </w:pPr>
            <w:r>
              <w:rPr>
                <w:rFonts w:ascii="Courier New" w:cs="Courier New" w:eastAsia="Courier New" w:hAnsi="Courier New"/>
                <w:sz w:val="16"/>
                <w:szCs w:val="16"/>
                <w:color w:val="auto"/>
              </w:rPr>
              <w:t>562</w:t>
            </w:r>
          </w:p>
        </w:tc>
        <w:tc>
          <w:tcPr>
            <w:tcW w:w="1520" w:type="dxa"/>
            <w:vAlign w:val="bottom"/>
          </w:tcPr>
          <w:p>
            <w:pPr>
              <w:jc w:val="right"/>
              <w:ind w:right="1"/>
              <w:spacing w:after="0"/>
              <w:rPr>
                <w:sz w:val="20"/>
                <w:szCs w:val="20"/>
                <w:color w:val="auto"/>
              </w:rPr>
            </w:pPr>
            <w:r>
              <w:rPr>
                <w:rFonts w:ascii="Courier New" w:cs="Courier New" w:eastAsia="Courier New" w:hAnsi="Courier New"/>
                <w:sz w:val="16"/>
                <w:szCs w:val="16"/>
                <w:color w:val="auto"/>
              </w:rPr>
              <w:t>(562)(4)</w:t>
            </w:r>
          </w:p>
        </w:tc>
        <w:tc>
          <w:tcPr>
            <w:tcW w:w="10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r>
      <w:tr>
        <w:trPr>
          <w:trHeight w:val="183"/>
        </w:trPr>
        <w:tc>
          <w:tcPr>
            <w:tcW w:w="3140" w:type="dxa"/>
            <w:vAlign w:val="bottom"/>
          </w:tcPr>
          <w:p>
            <w:pPr>
              <w:spacing w:after="0"/>
              <w:rPr>
                <w:sz w:val="15"/>
                <w:szCs w:val="15"/>
                <w:color w:val="auto"/>
              </w:rPr>
            </w:pPr>
          </w:p>
        </w:tc>
        <w:tc>
          <w:tcPr>
            <w:tcW w:w="3820" w:type="dxa"/>
            <w:vAlign w:val="bottom"/>
          </w:tcPr>
          <w:p>
            <w:pPr>
              <w:jc w:val="right"/>
              <w:ind w:right="584"/>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center"/>
              <w:ind w:right="1"/>
              <w:spacing w:after="0"/>
              <w:rPr>
                <w:sz w:val="20"/>
                <w:szCs w:val="20"/>
                <w:color w:val="auto"/>
              </w:rPr>
            </w:pPr>
            <w:r>
              <w:rPr>
                <w:rFonts w:ascii="Courier New" w:cs="Courier New" w:eastAsia="Courier New" w:hAnsi="Courier New"/>
                <w:sz w:val="16"/>
                <w:szCs w:val="16"/>
                <w:color w:val="auto"/>
                <w:w w:val="98"/>
              </w:rPr>
              <w:t>-----------</w:t>
            </w:r>
          </w:p>
        </w:tc>
        <w:tc>
          <w:tcPr>
            <w:tcW w:w="106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r>
      <w:tr>
        <w:trPr>
          <w:trHeight w:val="183"/>
        </w:trPr>
        <w:tc>
          <w:tcPr>
            <w:tcW w:w="3140" w:type="dxa"/>
            <w:vAlign w:val="bottom"/>
          </w:tcPr>
          <w:p>
            <w:pPr>
              <w:jc w:val="right"/>
              <w:spacing w:after="0"/>
              <w:rPr>
                <w:sz w:val="20"/>
                <w:szCs w:val="20"/>
                <w:color w:val="auto"/>
              </w:rPr>
            </w:pPr>
            <w:r>
              <w:rPr>
                <w:rFonts w:ascii="Courier New" w:cs="Courier New" w:eastAsia="Courier New" w:hAnsi="Courier New"/>
                <w:sz w:val="16"/>
                <w:szCs w:val="16"/>
                <w:color w:val="auto"/>
                <w:w w:val="72"/>
              </w:rPr>
              <w:t>Total expenses...............................</w:t>
            </w:r>
          </w:p>
        </w:tc>
        <w:tc>
          <w:tcPr>
            <w:tcW w:w="3820" w:type="dxa"/>
            <w:vAlign w:val="bottom"/>
          </w:tcPr>
          <w:p>
            <w:pPr>
              <w:jc w:val="right"/>
              <w:ind w:right="584"/>
              <w:spacing w:after="0"/>
              <w:rPr>
                <w:sz w:val="20"/>
                <w:szCs w:val="20"/>
                <w:color w:val="auto"/>
              </w:rPr>
            </w:pPr>
            <w:r>
              <w:rPr>
                <w:rFonts w:ascii="Courier New" w:cs="Courier New" w:eastAsia="Courier New" w:hAnsi="Courier New"/>
                <w:sz w:val="16"/>
                <w:szCs w:val="16"/>
                <w:color w:val="auto"/>
              </w:rPr>
              <w:t>10,797</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(866)</w:t>
            </w: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9.931</w:t>
            </w:r>
          </w:p>
        </w:tc>
      </w:tr>
      <w:tr>
        <w:trPr>
          <w:trHeight w:val="183"/>
        </w:trPr>
        <w:tc>
          <w:tcPr>
            <w:tcW w:w="3140" w:type="dxa"/>
            <w:vAlign w:val="bottom"/>
          </w:tcPr>
          <w:p>
            <w:pPr>
              <w:spacing w:after="0"/>
              <w:rPr>
                <w:sz w:val="15"/>
                <w:szCs w:val="15"/>
                <w:color w:val="auto"/>
              </w:rPr>
            </w:pPr>
          </w:p>
        </w:tc>
        <w:tc>
          <w:tcPr>
            <w:tcW w:w="3820" w:type="dxa"/>
            <w:vAlign w:val="bottom"/>
          </w:tcPr>
          <w:p>
            <w:pPr>
              <w:jc w:val="right"/>
              <w:ind w:right="584"/>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center"/>
              <w:ind w:right="1"/>
              <w:spacing w:after="0"/>
              <w:rPr>
                <w:sz w:val="20"/>
                <w:szCs w:val="20"/>
                <w:color w:val="auto"/>
              </w:rPr>
            </w:pPr>
            <w:r>
              <w:rPr>
                <w:rFonts w:ascii="Courier New" w:cs="Courier New" w:eastAsia="Courier New" w:hAnsi="Courier New"/>
                <w:sz w:val="16"/>
                <w:szCs w:val="16"/>
                <w:color w:val="auto"/>
                <w:w w:val="98"/>
              </w:rPr>
              <w:t>-----------</w:t>
            </w:r>
          </w:p>
        </w:tc>
        <w:tc>
          <w:tcPr>
            <w:tcW w:w="106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r>
      <w:tr>
        <w:trPr>
          <w:trHeight w:val="183"/>
        </w:trPr>
        <w:tc>
          <w:tcPr>
            <w:tcW w:w="3140" w:type="dxa"/>
            <w:vAlign w:val="bottom"/>
          </w:tcPr>
          <w:p>
            <w:pPr>
              <w:jc w:val="right"/>
              <w:spacing w:after="0"/>
              <w:rPr>
                <w:sz w:val="20"/>
                <w:szCs w:val="20"/>
                <w:color w:val="auto"/>
              </w:rPr>
            </w:pPr>
            <w:r>
              <w:rPr>
                <w:rFonts w:ascii="Courier New" w:cs="Courier New" w:eastAsia="Courier New" w:hAnsi="Courier New"/>
                <w:sz w:val="14"/>
                <w:szCs w:val="14"/>
                <w:color w:val="auto"/>
                <w:w w:val="72"/>
              </w:rPr>
              <w:t>Income before income taxes.........................</w:t>
            </w:r>
          </w:p>
        </w:tc>
        <w:tc>
          <w:tcPr>
            <w:tcW w:w="3820" w:type="dxa"/>
            <w:vAlign w:val="bottom"/>
          </w:tcPr>
          <w:p>
            <w:pPr>
              <w:jc w:val="right"/>
              <w:ind w:right="584"/>
              <w:spacing w:after="0"/>
              <w:rPr>
                <w:sz w:val="20"/>
                <w:szCs w:val="20"/>
                <w:color w:val="auto"/>
              </w:rPr>
            </w:pPr>
            <w:r>
              <w:rPr>
                <w:rFonts w:ascii="Courier New" w:cs="Courier New" w:eastAsia="Courier New" w:hAnsi="Courier New"/>
                <w:sz w:val="16"/>
                <w:szCs w:val="16"/>
                <w:color w:val="auto"/>
              </w:rPr>
              <w:t>1,418</w:t>
            </w: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866</w:t>
            </w: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2,284</w:t>
            </w:r>
          </w:p>
        </w:tc>
      </w:tr>
      <w:tr>
        <w:trPr>
          <w:trHeight w:val="183"/>
        </w:trPr>
        <w:tc>
          <w:tcPr>
            <w:tcW w:w="3140" w:type="dxa"/>
            <w:vAlign w:val="bottom"/>
          </w:tcPr>
          <w:p>
            <w:pPr>
              <w:jc w:val="right"/>
              <w:spacing w:after="0"/>
              <w:rPr>
                <w:sz w:val="20"/>
                <w:szCs w:val="20"/>
                <w:color w:val="auto"/>
              </w:rPr>
            </w:pPr>
            <w:r>
              <w:rPr>
                <w:rFonts w:ascii="Courier New" w:cs="Courier New" w:eastAsia="Courier New" w:hAnsi="Courier New"/>
                <w:sz w:val="14"/>
                <w:szCs w:val="14"/>
                <w:color w:val="auto"/>
                <w:w w:val="72"/>
              </w:rPr>
              <w:t>Provision for income taxes.........................</w:t>
            </w:r>
          </w:p>
        </w:tc>
        <w:tc>
          <w:tcPr>
            <w:tcW w:w="3820" w:type="dxa"/>
            <w:vAlign w:val="bottom"/>
          </w:tcPr>
          <w:p>
            <w:pPr>
              <w:jc w:val="right"/>
              <w:ind w:right="584"/>
              <w:spacing w:after="0"/>
              <w:rPr>
                <w:sz w:val="20"/>
                <w:szCs w:val="20"/>
                <w:color w:val="auto"/>
              </w:rPr>
            </w:pPr>
            <w:r>
              <w:rPr>
                <w:rFonts w:ascii="Courier New" w:cs="Courier New" w:eastAsia="Courier New" w:hAnsi="Courier New"/>
                <w:sz w:val="16"/>
                <w:szCs w:val="16"/>
                <w:color w:val="auto"/>
              </w:rPr>
              <w:t>542</w:t>
            </w:r>
          </w:p>
        </w:tc>
        <w:tc>
          <w:tcPr>
            <w:tcW w:w="152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542</w:t>
            </w:r>
          </w:p>
        </w:tc>
      </w:tr>
      <w:tr>
        <w:trPr>
          <w:trHeight w:val="183"/>
        </w:trPr>
        <w:tc>
          <w:tcPr>
            <w:tcW w:w="3140" w:type="dxa"/>
            <w:vAlign w:val="bottom"/>
          </w:tcPr>
          <w:p>
            <w:pPr>
              <w:spacing w:after="0"/>
              <w:rPr>
                <w:sz w:val="15"/>
                <w:szCs w:val="15"/>
                <w:color w:val="auto"/>
              </w:rPr>
            </w:pPr>
          </w:p>
        </w:tc>
        <w:tc>
          <w:tcPr>
            <w:tcW w:w="3820" w:type="dxa"/>
            <w:vAlign w:val="bottom"/>
          </w:tcPr>
          <w:p>
            <w:pPr>
              <w:jc w:val="right"/>
              <w:ind w:right="584"/>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center"/>
              <w:ind w:right="1"/>
              <w:spacing w:after="0"/>
              <w:rPr>
                <w:sz w:val="20"/>
                <w:szCs w:val="20"/>
                <w:color w:val="auto"/>
              </w:rPr>
            </w:pPr>
            <w:r>
              <w:rPr>
                <w:rFonts w:ascii="Courier New" w:cs="Courier New" w:eastAsia="Courier New" w:hAnsi="Courier New"/>
                <w:sz w:val="16"/>
                <w:szCs w:val="16"/>
                <w:color w:val="auto"/>
                <w:w w:val="98"/>
              </w:rPr>
              <w:t>-----------</w:t>
            </w:r>
          </w:p>
        </w:tc>
        <w:tc>
          <w:tcPr>
            <w:tcW w:w="106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r>
      <w:tr>
        <w:trPr>
          <w:trHeight w:val="183"/>
        </w:trPr>
        <w:tc>
          <w:tcPr>
            <w:tcW w:w="3140" w:type="dxa"/>
            <w:vAlign w:val="bottom"/>
          </w:tcPr>
          <w:p>
            <w:pPr>
              <w:jc w:val="right"/>
              <w:spacing w:after="0"/>
              <w:rPr>
                <w:sz w:val="20"/>
                <w:szCs w:val="20"/>
                <w:color w:val="auto"/>
              </w:rPr>
            </w:pPr>
            <w:r>
              <w:rPr>
                <w:rFonts w:ascii="Courier New" w:cs="Courier New" w:eastAsia="Courier New" w:hAnsi="Courier New"/>
                <w:sz w:val="14"/>
                <w:szCs w:val="14"/>
                <w:color w:val="auto"/>
                <w:w w:val="72"/>
              </w:rPr>
              <w:t>Net income (loss)..................................</w:t>
            </w:r>
          </w:p>
        </w:tc>
        <w:tc>
          <w:tcPr>
            <w:tcW w:w="3820" w:type="dxa"/>
            <w:vAlign w:val="bottom"/>
          </w:tcPr>
          <w:p>
            <w:pPr>
              <w:jc w:val="right"/>
              <w:ind w:right="584"/>
              <w:spacing w:after="0"/>
              <w:rPr>
                <w:sz w:val="20"/>
                <w:szCs w:val="20"/>
                <w:color w:val="auto"/>
              </w:rPr>
            </w:pPr>
            <w:r>
              <w:rPr>
                <w:rFonts w:ascii="Courier New" w:cs="Courier New" w:eastAsia="Courier New" w:hAnsi="Courier New"/>
                <w:sz w:val="16"/>
                <w:szCs w:val="16"/>
                <w:color w:val="auto"/>
              </w:rPr>
              <w:t>$   876</w:t>
            </w: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   866</w:t>
            </w: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$ 1,742</w:t>
            </w:r>
          </w:p>
        </w:tc>
      </w:tr>
      <w:tr>
        <w:trPr>
          <w:trHeight w:val="183"/>
        </w:trPr>
        <w:tc>
          <w:tcPr>
            <w:tcW w:w="3140" w:type="dxa"/>
            <w:vAlign w:val="bottom"/>
          </w:tcPr>
          <w:p>
            <w:pPr>
              <w:spacing w:after="0"/>
              <w:rPr>
                <w:sz w:val="15"/>
                <w:szCs w:val="15"/>
                <w:color w:val="auto"/>
              </w:rPr>
            </w:pPr>
          </w:p>
        </w:tc>
        <w:tc>
          <w:tcPr>
            <w:tcW w:w="3820" w:type="dxa"/>
            <w:vAlign w:val="bottom"/>
          </w:tcPr>
          <w:p>
            <w:pPr>
              <w:jc w:val="right"/>
              <w:ind w:right="584"/>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center"/>
              <w:ind w:right="1"/>
              <w:spacing w:after="0"/>
              <w:rPr>
                <w:sz w:val="20"/>
                <w:szCs w:val="20"/>
                <w:color w:val="auto"/>
              </w:rPr>
            </w:pPr>
            <w:r>
              <w:rPr>
                <w:rFonts w:ascii="Courier New" w:cs="Courier New" w:eastAsia="Courier New" w:hAnsi="Courier New"/>
                <w:sz w:val="16"/>
                <w:szCs w:val="16"/>
                <w:color w:val="auto"/>
                <w:w w:val="98"/>
              </w:rPr>
              <w:t>-----------</w:t>
            </w:r>
          </w:p>
        </w:tc>
        <w:tc>
          <w:tcPr>
            <w:tcW w:w="106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r>
      <w:tr>
        <w:trPr>
          <w:trHeight w:val="183"/>
        </w:trPr>
        <w:tc>
          <w:tcPr>
            <w:tcW w:w="3140" w:type="dxa"/>
            <w:vAlign w:val="bottom"/>
          </w:tcPr>
          <w:p>
            <w:pPr>
              <w:spacing w:after="0"/>
              <w:rPr>
                <w:sz w:val="15"/>
                <w:szCs w:val="15"/>
                <w:color w:val="auto"/>
              </w:rPr>
            </w:pPr>
          </w:p>
        </w:tc>
        <w:tc>
          <w:tcPr>
            <w:tcW w:w="3820" w:type="dxa"/>
            <w:vAlign w:val="bottom"/>
          </w:tcPr>
          <w:p>
            <w:pPr>
              <w:jc w:val="right"/>
              <w:ind w:right="584"/>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center"/>
              <w:ind w:right="1"/>
              <w:spacing w:after="0"/>
              <w:rPr>
                <w:sz w:val="20"/>
                <w:szCs w:val="20"/>
                <w:color w:val="auto"/>
              </w:rPr>
            </w:pPr>
            <w:r>
              <w:rPr>
                <w:rFonts w:ascii="Courier New" w:cs="Courier New" w:eastAsia="Courier New" w:hAnsi="Courier New"/>
                <w:sz w:val="16"/>
                <w:szCs w:val="16"/>
                <w:color w:val="auto"/>
                <w:w w:val="98"/>
              </w:rPr>
              <w:t>-----------</w:t>
            </w:r>
          </w:p>
        </w:tc>
        <w:tc>
          <w:tcPr>
            <w:tcW w:w="106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0221"/>
          </w:cols>
          <w:pgMar w:left="238" w:top="484" w:right="1440" w:bottom="0" w:gutter="0" w:footer="0" w:header="0"/>
          <w:type w:val="continuous"/>
        </w:sectPr>
      </w:pPr>
    </w:p>
    <w:bookmarkStart w:id="26" w:name="page27"/>
    <w:bookmarkEnd w:id="26"/>
    <w:p>
      <w:pPr>
        <w:ind w:left="25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9019"/>
          </w:cols>
          <w:pgMar w:left="1440" w:top="325" w:right="1440" w:bottom="1440" w:gutter="0" w:footer="0" w:header="0"/>
        </w:sectPr>
      </w:pPr>
    </w:p>
    <w:bookmarkStart w:id="27" w:name="page28"/>
    <w:bookmarkEnd w:id="27"/>
    <w:tbl>
      <w:tblPr>
        <w:tblLayout w:type="fixed"/>
        <w:tblInd w:w="2" w:type="dxa"/>
        <w:tblCellMar>
          <w:top w:w="0" w:type="dxa"/>
          <w:left w:w="0" w:type="dxa"/>
          <w:bottom w:w="0" w:type="dxa"/>
          <w:right w:w="0" w:type="dxa"/>
        </w:tblCellMar>
      </w:tblPr>
      <w:tr>
        <w:trPr>
          <w:trHeight w:val="181"/>
        </w:trPr>
        <w:tc>
          <w:tcPr>
            <w:tcW w:w="6680" w:type="dxa"/>
            <w:vAlign w:val="bottom"/>
            <w:gridSpan w:val="2"/>
          </w:tcPr>
          <w:p>
            <w:pPr>
              <w:ind w:left="1900"/>
              <w:spacing w:after="0"/>
              <w:rPr>
                <w:sz w:val="20"/>
                <w:szCs w:val="20"/>
                <w:color w:val="auto"/>
              </w:rPr>
            </w:pPr>
            <w:r>
              <w:rPr>
                <w:rFonts w:ascii="Courier New" w:cs="Courier New" w:eastAsia="Courier New" w:hAnsi="Courier New"/>
                <w:sz w:val="16"/>
                <w:szCs w:val="16"/>
                <w:color w:val="auto"/>
              </w:rPr>
              <w:t>UNIVERSAL HEALTH SERVICES, INC. AND SUBSIDIARIES</w:t>
            </w:r>
          </w:p>
        </w:tc>
        <w:tc>
          <w:tcPr>
            <w:tcW w:w="94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183"/>
        </w:trPr>
        <w:tc>
          <w:tcPr>
            <w:tcW w:w="668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NOTES TO MANAGEMENT'S ASSUMPTIONS TO UNAUDITED</w:t>
            </w:r>
          </w:p>
        </w:tc>
        <w:tc>
          <w:tcPr>
            <w:tcW w:w="94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183"/>
        </w:trPr>
        <w:tc>
          <w:tcPr>
            <w:tcW w:w="6100" w:type="dxa"/>
            <w:vAlign w:val="bottom"/>
          </w:tcPr>
          <w:p>
            <w:pPr>
              <w:ind w:left="1040"/>
              <w:spacing w:after="0"/>
              <w:rPr>
                <w:sz w:val="20"/>
                <w:szCs w:val="20"/>
                <w:color w:val="auto"/>
              </w:rPr>
            </w:pPr>
            <w:r>
              <w:rPr>
                <w:rFonts w:ascii="Courier New" w:cs="Courier New" w:eastAsia="Courier New" w:hAnsi="Courier New"/>
                <w:sz w:val="16"/>
                <w:szCs w:val="16"/>
                <w:color w:val="auto"/>
                <w:w w:val="99"/>
              </w:rPr>
              <w:t>PRO FORMA CONDENSED CONSOLIDATED FINANCIAL STATEMENTS</w:t>
            </w:r>
          </w:p>
        </w:tc>
        <w:tc>
          <w:tcPr>
            <w:tcW w:w="1520" w:type="dxa"/>
            <w:vAlign w:val="bottom"/>
            <w:gridSpan w:val="2"/>
          </w:tcPr>
          <w:p>
            <w:pPr>
              <w:spacing w:after="0"/>
              <w:rPr>
                <w:sz w:val="20"/>
                <w:szCs w:val="20"/>
                <w:color w:val="auto"/>
              </w:rPr>
            </w:pPr>
            <w:r>
              <w:rPr>
                <w:rFonts w:ascii="Courier New" w:cs="Courier New" w:eastAsia="Courier New" w:hAnsi="Courier New"/>
                <w:sz w:val="16"/>
                <w:szCs w:val="16"/>
                <w:color w:val="auto"/>
              </w:rPr>
              <w:t>--(CONTINUED)</w:t>
            </w:r>
          </w:p>
        </w:tc>
        <w:tc>
          <w:tcPr>
            <w:tcW w:w="1920" w:type="dxa"/>
            <w:vAlign w:val="bottom"/>
          </w:tcPr>
          <w:p>
            <w:pPr>
              <w:spacing w:after="0"/>
              <w:rPr>
                <w:sz w:val="15"/>
                <w:szCs w:val="15"/>
                <w:color w:val="auto"/>
              </w:rPr>
            </w:pPr>
          </w:p>
        </w:tc>
      </w:tr>
      <w:tr>
        <w:trPr>
          <w:trHeight w:val="367"/>
        </w:trPr>
        <w:tc>
          <w:tcPr>
            <w:tcW w:w="61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734"/>
        </w:trPr>
        <w:tc>
          <w:tcPr>
            <w:tcW w:w="6100" w:type="dxa"/>
            <w:vAlign w:val="bottom"/>
          </w:tcPr>
          <w:p>
            <w:pPr>
              <w:spacing w:after="0"/>
              <w:rPr>
                <w:sz w:val="24"/>
                <w:szCs w:val="24"/>
                <w:color w:val="auto"/>
              </w:rPr>
            </w:pPr>
          </w:p>
        </w:tc>
        <w:tc>
          <w:tcPr>
            <w:tcW w:w="1520" w:type="dxa"/>
            <w:vAlign w:val="bottom"/>
            <w:gridSpan w:val="2"/>
          </w:tcPr>
          <w:p>
            <w:pPr>
              <w:spacing w:after="0"/>
              <w:rPr>
                <w:sz w:val="20"/>
                <w:szCs w:val="20"/>
                <w:color w:val="auto"/>
              </w:rPr>
            </w:pPr>
            <w:r>
              <w:rPr>
                <w:rFonts w:ascii="Courier New" w:cs="Courier New" w:eastAsia="Courier New" w:hAnsi="Courier New"/>
                <w:sz w:val="16"/>
                <w:szCs w:val="16"/>
                <w:color w:val="auto"/>
              </w:rPr>
              <w:t>YEAR ENDED</w:t>
            </w:r>
          </w:p>
        </w:tc>
        <w:tc>
          <w:tcPr>
            <w:tcW w:w="1920" w:type="dxa"/>
            <w:vAlign w:val="bottom"/>
          </w:tcPr>
          <w:p>
            <w:pPr>
              <w:jc w:val="center"/>
              <w:ind w:left="121"/>
              <w:spacing w:after="0"/>
              <w:rPr>
                <w:sz w:val="20"/>
                <w:szCs w:val="20"/>
                <w:color w:val="auto"/>
              </w:rPr>
            </w:pPr>
            <w:r>
              <w:rPr>
                <w:rFonts w:ascii="Courier New" w:cs="Courier New" w:eastAsia="Courier New" w:hAnsi="Courier New"/>
                <w:sz w:val="16"/>
                <w:szCs w:val="16"/>
                <w:color w:val="auto"/>
                <w:w w:val="99"/>
              </w:rPr>
              <w:t>THREE MONTHS ENDED</w:t>
            </w:r>
          </w:p>
        </w:tc>
      </w:tr>
      <w:tr>
        <w:trPr>
          <w:trHeight w:val="183"/>
        </w:trPr>
        <w:tc>
          <w:tcPr>
            <w:tcW w:w="6680" w:type="dxa"/>
            <w:vAlign w:val="bottom"/>
            <w:gridSpan w:val="2"/>
          </w:tcPr>
          <w:p>
            <w:pPr>
              <w:ind w:left="5820"/>
              <w:spacing w:after="0"/>
              <w:rPr>
                <w:sz w:val="20"/>
                <w:szCs w:val="20"/>
                <w:color w:val="auto"/>
              </w:rPr>
            </w:pPr>
            <w:r>
              <w:rPr>
                <w:rFonts w:ascii="Courier New" w:cs="Courier New" w:eastAsia="Courier New" w:hAnsi="Courier New"/>
                <w:sz w:val="16"/>
                <w:szCs w:val="16"/>
                <w:color w:val="auto"/>
              </w:rPr>
              <w:t>DECEMBER</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6"/>
              </w:rPr>
              <w:t>31, 1995</w:t>
            </w:r>
          </w:p>
        </w:tc>
        <w:tc>
          <w:tcPr>
            <w:tcW w:w="1920" w:type="dxa"/>
            <w:vAlign w:val="bottom"/>
          </w:tcPr>
          <w:p>
            <w:pPr>
              <w:jc w:val="center"/>
              <w:ind w:left="101"/>
              <w:spacing w:after="0"/>
              <w:rPr>
                <w:sz w:val="20"/>
                <w:szCs w:val="20"/>
                <w:color w:val="auto"/>
              </w:rPr>
            </w:pPr>
            <w:r>
              <w:rPr>
                <w:rFonts w:ascii="Courier New" w:cs="Courier New" w:eastAsia="Courier New" w:hAnsi="Courier New"/>
                <w:sz w:val="16"/>
                <w:szCs w:val="16"/>
                <w:color w:val="auto"/>
                <w:w w:val="99"/>
              </w:rPr>
              <w:t>MARCH 31, 1996</w:t>
            </w:r>
          </w:p>
        </w:tc>
      </w:tr>
      <w:tr>
        <w:trPr>
          <w:trHeight w:val="183"/>
        </w:trPr>
        <w:tc>
          <w:tcPr>
            <w:tcW w:w="6680" w:type="dxa"/>
            <w:vAlign w:val="bottom"/>
            <w:gridSpan w:val="2"/>
          </w:tcPr>
          <w:p>
            <w:pPr>
              <w:ind w:left="5820"/>
              <w:spacing w:after="0"/>
              <w:rPr>
                <w:sz w:val="20"/>
                <w:szCs w:val="20"/>
                <w:color w:val="auto"/>
              </w:rPr>
            </w:pPr>
            <w:r>
              <w:rPr>
                <w:rFonts w:ascii="Courier New" w:cs="Courier New" w:eastAsia="Courier New" w:hAnsi="Courier New"/>
                <w:sz w:val="11"/>
                <w:szCs w:val="11"/>
                <w:color w:val="auto"/>
                <w:w w:val="74"/>
              </w:rPr>
              <w:t>-----------------</w:t>
            </w:r>
          </w:p>
        </w:tc>
        <w:tc>
          <w:tcPr>
            <w:tcW w:w="940" w:type="dxa"/>
            <w:vAlign w:val="bottom"/>
          </w:tcPr>
          <w:p>
            <w:pPr>
              <w:spacing w:after="0"/>
              <w:rPr>
                <w:sz w:val="15"/>
                <w:szCs w:val="15"/>
                <w:color w:val="auto"/>
              </w:rPr>
            </w:pPr>
          </w:p>
        </w:tc>
        <w:tc>
          <w:tcPr>
            <w:tcW w:w="1920" w:type="dxa"/>
            <w:vAlign w:val="bottom"/>
          </w:tcPr>
          <w:p>
            <w:pPr>
              <w:jc w:val="center"/>
              <w:ind w:left="121"/>
              <w:spacing w:after="0"/>
              <w:rPr>
                <w:sz w:val="20"/>
                <w:szCs w:val="20"/>
                <w:color w:val="auto"/>
              </w:rPr>
            </w:pPr>
            <w:r>
              <w:rPr>
                <w:rFonts w:ascii="Courier New" w:cs="Courier New" w:eastAsia="Courier New" w:hAnsi="Courier New"/>
                <w:sz w:val="16"/>
                <w:szCs w:val="16"/>
                <w:color w:val="auto"/>
                <w:w w:val="99"/>
              </w:rPr>
              <w:t>------------------</w:t>
            </w:r>
          </w:p>
        </w:tc>
      </w:tr>
      <w:tr>
        <w:trPr>
          <w:trHeight w:val="367"/>
        </w:trPr>
        <w:tc>
          <w:tcPr>
            <w:tcW w:w="6100" w:type="dxa"/>
            <w:vAlign w:val="bottom"/>
          </w:tcPr>
          <w:p>
            <w:pPr>
              <w:spacing w:after="0"/>
              <w:rPr>
                <w:sz w:val="20"/>
                <w:szCs w:val="20"/>
                <w:color w:val="auto"/>
              </w:rPr>
            </w:pPr>
            <w:r>
              <w:rPr>
                <w:rFonts w:ascii="Courier New" w:cs="Courier New" w:eastAsia="Courier New" w:hAnsi="Courier New"/>
                <w:sz w:val="16"/>
                <w:szCs w:val="16"/>
                <w:color w:val="auto"/>
              </w:rPr>
              <w:t>(1)   To adjust operating expenses at the First Hospital</w:t>
            </w: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83"/>
        </w:trPr>
        <w:tc>
          <w:tcPr>
            <w:tcW w:w="6100" w:type="dxa"/>
            <w:vAlign w:val="bottom"/>
          </w:tcPr>
          <w:p>
            <w:pPr>
              <w:ind w:left="580"/>
              <w:spacing w:after="0"/>
              <w:rPr>
                <w:sz w:val="20"/>
                <w:szCs w:val="20"/>
                <w:color w:val="auto"/>
              </w:rPr>
            </w:pPr>
            <w:r>
              <w:rPr>
                <w:rFonts w:ascii="Courier New" w:cs="Courier New" w:eastAsia="Courier New" w:hAnsi="Courier New"/>
                <w:sz w:val="16"/>
                <w:szCs w:val="16"/>
                <w:color w:val="auto"/>
              </w:rPr>
              <w:t>Properties for increases in operating expenses......</w:t>
            </w:r>
          </w:p>
        </w:tc>
        <w:tc>
          <w:tcPr>
            <w:tcW w:w="5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581"/>
              <w:spacing w:after="0"/>
              <w:rPr>
                <w:sz w:val="20"/>
                <w:szCs w:val="20"/>
                <w:color w:val="auto"/>
              </w:rPr>
            </w:pPr>
            <w:r>
              <w:rPr>
                <w:rFonts w:ascii="Courier New" w:cs="Courier New" w:eastAsia="Courier New" w:hAnsi="Courier New"/>
                <w:sz w:val="16"/>
                <w:szCs w:val="16"/>
                <w:color w:val="auto"/>
                <w:w w:val="90"/>
              </w:rPr>
              <w:t>250</w:t>
            </w:r>
          </w:p>
        </w:tc>
        <w:tc>
          <w:tcPr>
            <w:tcW w:w="19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   63</w:t>
            </w:r>
          </w:p>
        </w:tc>
      </w:tr>
      <w:tr>
        <w:trPr>
          <w:trHeight w:val="183"/>
        </w:trPr>
        <w:tc>
          <w:tcPr>
            <w:tcW w:w="6100" w:type="dxa"/>
            <w:vAlign w:val="bottom"/>
          </w:tcPr>
          <w:p>
            <w:pPr>
              <w:spacing w:after="0"/>
              <w:rPr>
                <w:sz w:val="15"/>
                <w:szCs w:val="15"/>
                <w:color w:val="auto"/>
              </w:rPr>
            </w:pPr>
          </w:p>
        </w:tc>
        <w:tc>
          <w:tcPr>
            <w:tcW w:w="152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9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r>
      <w:tr>
        <w:trPr>
          <w:trHeight w:val="183"/>
        </w:trPr>
        <w:tc>
          <w:tcPr>
            <w:tcW w:w="6100" w:type="dxa"/>
            <w:vAlign w:val="bottom"/>
          </w:tcPr>
          <w:p>
            <w:pPr>
              <w:spacing w:after="0"/>
              <w:rPr>
                <w:sz w:val="15"/>
                <w:szCs w:val="15"/>
                <w:color w:val="auto"/>
              </w:rPr>
            </w:pPr>
          </w:p>
        </w:tc>
        <w:tc>
          <w:tcPr>
            <w:tcW w:w="152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9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r>
      <w:tr>
        <w:trPr>
          <w:trHeight w:val="183"/>
        </w:trPr>
        <w:tc>
          <w:tcPr>
            <w:tcW w:w="6100" w:type="dxa"/>
            <w:vAlign w:val="bottom"/>
          </w:tcPr>
          <w:p>
            <w:pPr>
              <w:spacing w:after="0"/>
              <w:rPr>
                <w:sz w:val="20"/>
                <w:szCs w:val="20"/>
                <w:color w:val="auto"/>
              </w:rPr>
            </w:pPr>
            <w:r>
              <w:rPr>
                <w:rFonts w:ascii="Courier New" w:cs="Courier New" w:eastAsia="Courier New" w:hAnsi="Courier New"/>
                <w:sz w:val="16"/>
                <w:szCs w:val="16"/>
                <w:color w:val="auto"/>
              </w:rPr>
              <w:t>(2)   Adjustments to depreciation and amortization</w:t>
            </w:r>
          </w:p>
        </w:tc>
        <w:tc>
          <w:tcPr>
            <w:tcW w:w="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183"/>
        </w:trPr>
        <w:tc>
          <w:tcPr>
            <w:tcW w:w="6100" w:type="dxa"/>
            <w:vAlign w:val="bottom"/>
          </w:tcPr>
          <w:p>
            <w:pPr>
              <w:ind w:left="580"/>
              <w:spacing w:after="0"/>
              <w:rPr>
                <w:sz w:val="20"/>
                <w:szCs w:val="20"/>
                <w:color w:val="auto"/>
              </w:rPr>
            </w:pPr>
            <w:r>
              <w:rPr>
                <w:rFonts w:ascii="Courier New" w:cs="Courier New" w:eastAsia="Courier New" w:hAnsi="Courier New"/>
                <w:sz w:val="16"/>
                <w:szCs w:val="16"/>
                <w:color w:val="auto"/>
              </w:rPr>
              <w:t>expense--</w:t>
            </w:r>
          </w:p>
        </w:tc>
        <w:tc>
          <w:tcPr>
            <w:tcW w:w="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183"/>
        </w:trPr>
        <w:tc>
          <w:tcPr>
            <w:tcW w:w="6100" w:type="dxa"/>
            <w:vAlign w:val="bottom"/>
          </w:tcPr>
          <w:p>
            <w:pPr>
              <w:ind w:left="580"/>
              <w:spacing w:after="0"/>
              <w:rPr>
                <w:sz w:val="20"/>
                <w:szCs w:val="20"/>
                <w:color w:val="auto"/>
              </w:rPr>
            </w:pPr>
            <w:r>
              <w:rPr>
                <w:rFonts w:ascii="Courier New" w:cs="Courier New" w:eastAsia="Courier New" w:hAnsi="Courier New"/>
                <w:sz w:val="16"/>
                <w:szCs w:val="16"/>
                <w:color w:val="auto"/>
              </w:rPr>
              <w:t>. To eliminate historical depreciation expense at</w:t>
            </w:r>
          </w:p>
        </w:tc>
        <w:tc>
          <w:tcPr>
            <w:tcW w:w="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183"/>
        </w:trPr>
        <w:tc>
          <w:tcPr>
            <w:tcW w:w="6100" w:type="dxa"/>
            <w:vAlign w:val="bottom"/>
          </w:tcPr>
          <w:p>
            <w:pPr>
              <w:ind w:left="580"/>
              <w:spacing w:after="0"/>
              <w:rPr>
                <w:sz w:val="20"/>
                <w:szCs w:val="20"/>
                <w:color w:val="auto"/>
              </w:rPr>
            </w:pPr>
            <w:r>
              <w:rPr>
                <w:rFonts w:ascii="Courier New" w:cs="Courier New" w:eastAsia="Courier New" w:hAnsi="Courier New"/>
                <w:sz w:val="16"/>
                <w:szCs w:val="16"/>
                <w:color w:val="auto"/>
              </w:rPr>
              <w:t>the</w:t>
            </w:r>
          </w:p>
        </w:tc>
        <w:tc>
          <w:tcPr>
            <w:tcW w:w="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183"/>
        </w:trPr>
        <w:tc>
          <w:tcPr>
            <w:tcW w:w="6100" w:type="dxa"/>
            <w:vAlign w:val="bottom"/>
          </w:tcPr>
          <w:p>
            <w:pPr>
              <w:ind w:left="580"/>
              <w:spacing w:after="0"/>
              <w:rPr>
                <w:sz w:val="20"/>
                <w:szCs w:val="20"/>
                <w:color w:val="auto"/>
              </w:rPr>
            </w:pPr>
            <w:r>
              <w:rPr>
                <w:rFonts w:ascii="Courier New" w:cs="Courier New" w:eastAsia="Courier New" w:hAnsi="Courier New"/>
                <w:sz w:val="16"/>
                <w:szCs w:val="16"/>
                <w:color w:val="auto"/>
              </w:rPr>
              <w:t>First Hospital Properties...........................</w:t>
            </w:r>
          </w:p>
        </w:tc>
        <w:tc>
          <w:tcPr>
            <w:tcW w:w="152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(1,830)</w:t>
            </w:r>
          </w:p>
        </w:tc>
        <w:tc>
          <w:tcPr>
            <w:tcW w:w="19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(451)</w:t>
            </w:r>
          </w:p>
        </w:tc>
      </w:tr>
      <w:tr>
        <w:trPr>
          <w:trHeight w:val="183"/>
        </w:trPr>
        <w:tc>
          <w:tcPr>
            <w:tcW w:w="6100" w:type="dxa"/>
            <w:vAlign w:val="bottom"/>
          </w:tcPr>
          <w:p>
            <w:pPr>
              <w:ind w:left="580"/>
              <w:spacing w:after="0"/>
              <w:rPr>
                <w:sz w:val="20"/>
                <w:szCs w:val="20"/>
                <w:color w:val="auto"/>
              </w:rPr>
            </w:pPr>
            <w:r>
              <w:rPr>
                <w:rFonts w:ascii="Courier New" w:cs="Courier New" w:eastAsia="Courier New" w:hAnsi="Courier New"/>
                <w:sz w:val="16"/>
                <w:szCs w:val="16"/>
                <w:color w:val="auto"/>
              </w:rPr>
              <w:t>. To record historical depreciation and amortization</w:t>
            </w:r>
          </w:p>
        </w:tc>
        <w:tc>
          <w:tcPr>
            <w:tcW w:w="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183"/>
        </w:trPr>
        <w:tc>
          <w:tcPr>
            <w:tcW w:w="6100" w:type="dxa"/>
            <w:vAlign w:val="bottom"/>
          </w:tcPr>
          <w:p>
            <w:pPr>
              <w:ind w:left="760"/>
              <w:spacing w:after="0"/>
              <w:rPr>
                <w:sz w:val="20"/>
                <w:szCs w:val="20"/>
                <w:color w:val="auto"/>
              </w:rPr>
            </w:pPr>
            <w:r>
              <w:rPr>
                <w:rFonts w:ascii="Courier New" w:cs="Courier New" w:eastAsia="Courier New" w:hAnsi="Courier New"/>
                <w:sz w:val="16"/>
                <w:szCs w:val="16"/>
                <w:color w:val="auto"/>
              </w:rPr>
              <w:t>expense based on average depreciable lives of 25</w:t>
            </w:r>
          </w:p>
        </w:tc>
        <w:tc>
          <w:tcPr>
            <w:tcW w:w="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183"/>
        </w:trPr>
        <w:tc>
          <w:tcPr>
            <w:tcW w:w="6100" w:type="dxa"/>
            <w:vAlign w:val="bottom"/>
          </w:tcPr>
          <w:p>
            <w:pPr>
              <w:ind w:left="760"/>
              <w:spacing w:after="0"/>
              <w:rPr>
                <w:sz w:val="20"/>
                <w:szCs w:val="20"/>
                <w:color w:val="auto"/>
              </w:rPr>
            </w:pPr>
            <w:r>
              <w:rPr>
                <w:rFonts w:ascii="Courier New" w:cs="Courier New" w:eastAsia="Courier New" w:hAnsi="Courier New"/>
                <w:sz w:val="16"/>
                <w:szCs w:val="16"/>
                <w:color w:val="auto"/>
              </w:rPr>
              <w:t>years for buildings and improvements, 7 years for</w:t>
            </w:r>
          </w:p>
        </w:tc>
        <w:tc>
          <w:tcPr>
            <w:tcW w:w="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183"/>
        </w:trPr>
        <w:tc>
          <w:tcPr>
            <w:tcW w:w="6100" w:type="dxa"/>
            <w:vAlign w:val="bottom"/>
          </w:tcPr>
          <w:p>
            <w:pPr>
              <w:ind w:left="760"/>
              <w:spacing w:after="0"/>
              <w:rPr>
                <w:sz w:val="20"/>
                <w:szCs w:val="20"/>
                <w:color w:val="auto"/>
              </w:rPr>
            </w:pPr>
            <w:r>
              <w:rPr>
                <w:rFonts w:ascii="Courier New" w:cs="Courier New" w:eastAsia="Courier New" w:hAnsi="Courier New"/>
                <w:sz w:val="16"/>
                <w:szCs w:val="16"/>
                <w:color w:val="auto"/>
              </w:rPr>
              <w:t>equipment and 15 years for the amortization of</w:t>
            </w:r>
          </w:p>
        </w:tc>
        <w:tc>
          <w:tcPr>
            <w:tcW w:w="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183"/>
        </w:trPr>
        <w:tc>
          <w:tcPr>
            <w:tcW w:w="6100" w:type="dxa"/>
            <w:vAlign w:val="bottom"/>
          </w:tcPr>
          <w:p>
            <w:pPr>
              <w:ind w:left="760"/>
              <w:spacing w:after="0"/>
              <w:rPr>
                <w:sz w:val="20"/>
                <w:szCs w:val="20"/>
                <w:color w:val="auto"/>
              </w:rPr>
            </w:pPr>
            <w:r>
              <w:rPr>
                <w:rFonts w:ascii="Courier New" w:cs="Courier New" w:eastAsia="Courier New" w:hAnsi="Courier New"/>
                <w:sz w:val="16"/>
                <w:szCs w:val="16"/>
                <w:color w:val="auto"/>
              </w:rPr>
              <w:t>goodwill at the First Hospital Properties.........</w:t>
            </w:r>
          </w:p>
        </w:tc>
        <w:tc>
          <w:tcPr>
            <w:tcW w:w="152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2,132</w:t>
            </w:r>
          </w:p>
        </w:tc>
        <w:tc>
          <w:tcPr>
            <w:tcW w:w="19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533</w:t>
            </w:r>
          </w:p>
        </w:tc>
      </w:tr>
      <w:tr>
        <w:trPr>
          <w:trHeight w:val="183"/>
        </w:trPr>
        <w:tc>
          <w:tcPr>
            <w:tcW w:w="6100" w:type="dxa"/>
            <w:vAlign w:val="bottom"/>
          </w:tcPr>
          <w:p>
            <w:pPr>
              <w:spacing w:after="0"/>
              <w:rPr>
                <w:sz w:val="15"/>
                <w:szCs w:val="15"/>
                <w:color w:val="auto"/>
              </w:rPr>
            </w:pPr>
          </w:p>
        </w:tc>
        <w:tc>
          <w:tcPr>
            <w:tcW w:w="152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9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r>
      <w:tr>
        <w:trPr>
          <w:trHeight w:val="183"/>
        </w:trPr>
        <w:tc>
          <w:tcPr>
            <w:tcW w:w="6100" w:type="dxa"/>
            <w:vAlign w:val="bottom"/>
          </w:tcPr>
          <w:p>
            <w:pPr>
              <w:ind w:left="580"/>
              <w:spacing w:after="0"/>
              <w:rPr>
                <w:sz w:val="20"/>
                <w:szCs w:val="20"/>
                <w:color w:val="auto"/>
              </w:rPr>
            </w:pPr>
            <w:r>
              <w:rPr>
                <w:rFonts w:ascii="Courier New" w:cs="Courier New" w:eastAsia="Courier New" w:hAnsi="Courier New"/>
                <w:sz w:val="16"/>
                <w:szCs w:val="16"/>
                <w:color w:val="auto"/>
              </w:rPr>
              <w:t>Total adjustments to Depreciation and</w:t>
            </w:r>
          </w:p>
        </w:tc>
        <w:tc>
          <w:tcPr>
            <w:tcW w:w="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183"/>
        </w:trPr>
        <w:tc>
          <w:tcPr>
            <w:tcW w:w="6100" w:type="dxa"/>
            <w:vAlign w:val="bottom"/>
          </w:tcPr>
          <w:p>
            <w:pPr>
              <w:ind w:left="760"/>
              <w:spacing w:after="0"/>
              <w:rPr>
                <w:sz w:val="20"/>
                <w:szCs w:val="20"/>
                <w:color w:val="auto"/>
              </w:rPr>
            </w:pPr>
            <w:r>
              <w:rPr>
                <w:rFonts w:ascii="Courier New" w:cs="Courier New" w:eastAsia="Courier New" w:hAnsi="Courier New"/>
                <w:sz w:val="16"/>
                <w:szCs w:val="16"/>
                <w:color w:val="auto"/>
              </w:rPr>
              <w:t>amortization......................................</w:t>
            </w:r>
          </w:p>
        </w:tc>
        <w:tc>
          <w:tcPr>
            <w:tcW w:w="580" w:type="dxa"/>
            <w:vAlign w:val="bottom"/>
          </w:tcPr>
          <w:p>
            <w:pPr>
              <w:spacing w:after="0"/>
              <w:rPr>
                <w:sz w:val="15"/>
                <w:szCs w:val="15"/>
                <w:color w:val="auto"/>
              </w:rPr>
            </w:pPr>
          </w:p>
        </w:tc>
        <w:tc>
          <w:tcPr>
            <w:tcW w:w="940" w:type="dxa"/>
            <w:vAlign w:val="bottom"/>
          </w:tcPr>
          <w:p>
            <w:pPr>
              <w:jc w:val="right"/>
              <w:ind w:right="581"/>
              <w:spacing w:after="0"/>
              <w:rPr>
                <w:sz w:val="20"/>
                <w:szCs w:val="20"/>
                <w:color w:val="auto"/>
              </w:rPr>
            </w:pPr>
            <w:r>
              <w:rPr>
                <w:rFonts w:ascii="Courier New" w:cs="Courier New" w:eastAsia="Courier New" w:hAnsi="Courier New"/>
                <w:sz w:val="16"/>
                <w:szCs w:val="16"/>
                <w:color w:val="auto"/>
                <w:w w:val="90"/>
              </w:rPr>
              <w:t>302</w:t>
            </w:r>
          </w:p>
        </w:tc>
        <w:tc>
          <w:tcPr>
            <w:tcW w:w="19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82</w:t>
            </w:r>
          </w:p>
        </w:tc>
      </w:tr>
      <w:tr>
        <w:trPr>
          <w:trHeight w:val="183"/>
        </w:trPr>
        <w:tc>
          <w:tcPr>
            <w:tcW w:w="6100" w:type="dxa"/>
            <w:vAlign w:val="bottom"/>
          </w:tcPr>
          <w:p>
            <w:pPr>
              <w:spacing w:after="0"/>
              <w:rPr>
                <w:sz w:val="15"/>
                <w:szCs w:val="15"/>
                <w:color w:val="auto"/>
              </w:rPr>
            </w:pPr>
          </w:p>
        </w:tc>
        <w:tc>
          <w:tcPr>
            <w:tcW w:w="152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9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r>
      <w:tr>
        <w:trPr>
          <w:trHeight w:val="183"/>
        </w:trPr>
        <w:tc>
          <w:tcPr>
            <w:tcW w:w="6100" w:type="dxa"/>
            <w:vAlign w:val="bottom"/>
          </w:tcPr>
          <w:p>
            <w:pPr>
              <w:spacing w:after="0"/>
              <w:rPr>
                <w:sz w:val="15"/>
                <w:szCs w:val="15"/>
                <w:color w:val="auto"/>
              </w:rPr>
            </w:pPr>
          </w:p>
        </w:tc>
        <w:tc>
          <w:tcPr>
            <w:tcW w:w="152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9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r>
      <w:tr>
        <w:trPr>
          <w:trHeight w:val="183"/>
        </w:trPr>
        <w:tc>
          <w:tcPr>
            <w:tcW w:w="6100" w:type="dxa"/>
            <w:vAlign w:val="bottom"/>
          </w:tcPr>
          <w:p>
            <w:pPr>
              <w:spacing w:after="0"/>
              <w:rPr>
                <w:sz w:val="20"/>
                <w:szCs w:val="20"/>
                <w:color w:val="auto"/>
              </w:rPr>
            </w:pPr>
            <w:r>
              <w:rPr>
                <w:rFonts w:ascii="Courier New" w:cs="Courier New" w:eastAsia="Courier New" w:hAnsi="Courier New"/>
                <w:sz w:val="16"/>
                <w:szCs w:val="16"/>
                <w:color w:val="auto"/>
              </w:rPr>
              <w:t>(3)   To eliminate historical interest expense............</w:t>
            </w:r>
          </w:p>
        </w:tc>
        <w:tc>
          <w:tcPr>
            <w:tcW w:w="152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(1,883)</w:t>
            </w:r>
          </w:p>
        </w:tc>
        <w:tc>
          <w:tcPr>
            <w:tcW w:w="19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(449)</w:t>
            </w:r>
          </w:p>
        </w:tc>
      </w:tr>
      <w:tr>
        <w:trPr>
          <w:trHeight w:val="183"/>
        </w:trPr>
        <w:tc>
          <w:tcPr>
            <w:tcW w:w="6100" w:type="dxa"/>
            <w:vAlign w:val="bottom"/>
          </w:tcPr>
          <w:p>
            <w:pPr>
              <w:spacing w:after="0"/>
              <w:rPr>
                <w:sz w:val="15"/>
                <w:szCs w:val="15"/>
                <w:color w:val="auto"/>
              </w:rPr>
            </w:pPr>
          </w:p>
        </w:tc>
        <w:tc>
          <w:tcPr>
            <w:tcW w:w="152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9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r>
      <w:tr>
        <w:trPr>
          <w:trHeight w:val="183"/>
        </w:trPr>
        <w:tc>
          <w:tcPr>
            <w:tcW w:w="6100" w:type="dxa"/>
            <w:vAlign w:val="bottom"/>
          </w:tcPr>
          <w:p>
            <w:pPr>
              <w:spacing w:after="0"/>
              <w:rPr>
                <w:sz w:val="15"/>
                <w:szCs w:val="15"/>
                <w:color w:val="auto"/>
              </w:rPr>
            </w:pPr>
          </w:p>
        </w:tc>
        <w:tc>
          <w:tcPr>
            <w:tcW w:w="152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9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r>
      <w:tr>
        <w:trPr>
          <w:trHeight w:val="183"/>
        </w:trPr>
        <w:tc>
          <w:tcPr>
            <w:tcW w:w="6100" w:type="dxa"/>
            <w:vAlign w:val="bottom"/>
          </w:tcPr>
          <w:p>
            <w:pPr>
              <w:spacing w:after="0"/>
              <w:rPr>
                <w:sz w:val="20"/>
                <w:szCs w:val="20"/>
                <w:color w:val="auto"/>
              </w:rPr>
            </w:pPr>
            <w:r>
              <w:rPr>
                <w:rFonts w:ascii="Courier New" w:cs="Courier New" w:eastAsia="Courier New" w:hAnsi="Courier New"/>
                <w:sz w:val="16"/>
                <w:szCs w:val="16"/>
                <w:color w:val="auto"/>
              </w:rPr>
              <w:t>(4)   To eliminate management fees paid to an affiliate of</w:t>
            </w:r>
          </w:p>
        </w:tc>
        <w:tc>
          <w:tcPr>
            <w:tcW w:w="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183"/>
        </w:trPr>
        <w:tc>
          <w:tcPr>
            <w:tcW w:w="6100" w:type="dxa"/>
            <w:vAlign w:val="bottom"/>
          </w:tcPr>
          <w:p>
            <w:pPr>
              <w:ind w:left="580"/>
              <w:spacing w:after="0"/>
              <w:rPr>
                <w:sz w:val="20"/>
                <w:szCs w:val="20"/>
                <w:color w:val="auto"/>
              </w:rPr>
            </w:pPr>
            <w:r>
              <w:rPr>
                <w:rFonts w:ascii="Courier New" w:cs="Courier New" w:eastAsia="Courier New" w:hAnsi="Courier New"/>
                <w:sz w:val="16"/>
                <w:szCs w:val="16"/>
                <w:color w:val="auto"/>
              </w:rPr>
              <w:t>the First Hospital Properties.......................</w:t>
            </w:r>
          </w:p>
        </w:tc>
        <w:tc>
          <w:tcPr>
            <w:tcW w:w="152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(2,752)</w:t>
            </w:r>
          </w:p>
        </w:tc>
        <w:tc>
          <w:tcPr>
            <w:tcW w:w="19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(562)</w:t>
            </w:r>
          </w:p>
        </w:tc>
      </w:tr>
      <w:tr>
        <w:trPr>
          <w:trHeight w:val="183"/>
        </w:trPr>
        <w:tc>
          <w:tcPr>
            <w:tcW w:w="6100" w:type="dxa"/>
            <w:vAlign w:val="bottom"/>
          </w:tcPr>
          <w:p>
            <w:pPr>
              <w:spacing w:after="0"/>
              <w:rPr>
                <w:sz w:val="15"/>
                <w:szCs w:val="15"/>
                <w:color w:val="auto"/>
              </w:rPr>
            </w:pPr>
          </w:p>
        </w:tc>
        <w:tc>
          <w:tcPr>
            <w:tcW w:w="152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9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r>
      <w:tr>
        <w:trPr>
          <w:trHeight w:val="183"/>
        </w:trPr>
        <w:tc>
          <w:tcPr>
            <w:tcW w:w="6100" w:type="dxa"/>
            <w:vAlign w:val="bottom"/>
          </w:tcPr>
          <w:p>
            <w:pPr>
              <w:spacing w:after="0"/>
              <w:rPr>
                <w:sz w:val="15"/>
                <w:szCs w:val="15"/>
                <w:color w:val="auto"/>
              </w:rPr>
            </w:pPr>
          </w:p>
        </w:tc>
        <w:tc>
          <w:tcPr>
            <w:tcW w:w="152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9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r>
      <w:tr>
        <w:trPr>
          <w:trHeight w:val="183"/>
        </w:trPr>
        <w:tc>
          <w:tcPr>
            <w:tcW w:w="6100" w:type="dxa"/>
            <w:vAlign w:val="bottom"/>
          </w:tcPr>
          <w:p>
            <w:pPr>
              <w:spacing w:after="0"/>
              <w:rPr>
                <w:sz w:val="20"/>
                <w:szCs w:val="20"/>
                <w:color w:val="auto"/>
              </w:rPr>
            </w:pPr>
            <w:r>
              <w:rPr>
                <w:rFonts w:ascii="Courier New" w:cs="Courier New" w:eastAsia="Courier New" w:hAnsi="Courier New"/>
                <w:sz w:val="16"/>
                <w:szCs w:val="16"/>
                <w:color w:val="auto"/>
              </w:rPr>
              <w:t>(5)   The allocation of the purchase price excludes</w:t>
            </w:r>
          </w:p>
        </w:tc>
        <w:tc>
          <w:tcPr>
            <w:tcW w:w="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183"/>
        </w:trPr>
        <w:tc>
          <w:tcPr>
            <w:tcW w:w="6100" w:type="dxa"/>
            <w:vAlign w:val="bottom"/>
          </w:tcPr>
          <w:p>
            <w:pPr>
              <w:ind w:left="580"/>
              <w:spacing w:after="0"/>
              <w:rPr>
                <w:sz w:val="20"/>
                <w:szCs w:val="20"/>
                <w:color w:val="auto"/>
              </w:rPr>
            </w:pPr>
            <w:r>
              <w:rPr>
                <w:rFonts w:ascii="Courier New" w:cs="Courier New" w:eastAsia="Courier New" w:hAnsi="Courier New"/>
                <w:sz w:val="16"/>
                <w:szCs w:val="16"/>
                <w:color w:val="auto"/>
              </w:rPr>
              <w:t>contingent consideration.</w:t>
            </w:r>
          </w:p>
        </w:tc>
        <w:tc>
          <w:tcPr>
            <w:tcW w:w="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920" w:type="dxa"/>
            <w:vAlign w:val="bottom"/>
          </w:tcPr>
          <w:p>
            <w:pPr>
              <w:spacing w:after="0"/>
              <w:rPr>
                <w:sz w:val="15"/>
                <w:szCs w:val="15"/>
                <w:color w:val="auto"/>
              </w:rPr>
            </w:pPr>
          </w:p>
        </w:tc>
      </w:tr>
    </w:tbl>
    <w:p>
      <w:pPr>
        <w:spacing w:after="0" w:line="369"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762" w:right="4979" w:hanging="762"/>
        <w:spacing w:after="0" w:line="259" w:lineRule="auto"/>
        <w:tabs>
          <w:tab w:leader="none" w:pos="571"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eliminate acquisition costs incurred by UHS related to Northwest Texas Health and the First</w:t>
      </w:r>
    </w:p>
    <w:p>
      <w:pPr>
        <w:sectPr>
          <w:pgSz w:w="11900" w:h="16838" w:orient="portrait"/>
          <w:cols w:equalWidth="0" w:num="1">
            <w:col w:w="10221"/>
          </w:cols>
          <w:pgMar w:left="238" w:top="481" w:right="1440" w:bottom="1440" w:gutter="0" w:footer="0" w:header="0"/>
        </w:sectPr>
      </w:pPr>
    </w:p>
    <w:p>
      <w:pPr>
        <w:ind w:left="762"/>
        <w:spacing w:after="0"/>
        <w:rPr>
          <w:sz w:val="20"/>
          <w:szCs w:val="20"/>
          <w:color w:val="auto"/>
        </w:rPr>
      </w:pPr>
      <w:r>
        <w:rPr>
          <w:rFonts w:ascii="Courier New" w:cs="Courier New" w:eastAsia="Courier New" w:hAnsi="Courier New"/>
          <w:sz w:val="15"/>
          <w:szCs w:val="15"/>
          <w:color w:val="auto"/>
        </w:rPr>
        <w:t>Hospital Properties...............................</w:t>
      </w:r>
    </w:p>
    <w:p>
      <w:pPr>
        <w:spacing w:after="0" w:line="20" w:lineRule="exact"/>
        <w:rPr>
          <w:sz w:val="20"/>
          <w:szCs w:val="20"/>
          <w:color w:val="auto"/>
        </w:rPr>
      </w:pPr>
      <w:r>
        <w:rPr>
          <w:sz w:val="20"/>
          <w:szCs w:val="20"/>
          <w:color w:val="auto"/>
        </w:rPr>
        <w:br w:type="column"/>
      </w:r>
    </w:p>
    <w:p>
      <w:pPr>
        <w:spacing w:after="0" w:line="236" w:lineRule="auto"/>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180"/>
        <w:spacing w:after="0" w:line="236" w:lineRule="auto"/>
        <w:rPr>
          <w:sz w:val="20"/>
          <w:szCs w:val="20"/>
          <w:color w:val="auto"/>
        </w:rPr>
      </w:pPr>
      <w:r>
        <w:rPr>
          <w:rFonts w:ascii="Courier New" w:cs="Courier New" w:eastAsia="Courier New" w:hAnsi="Courier New"/>
          <w:sz w:val="16"/>
          <w:szCs w:val="16"/>
          <w:color w:val="auto"/>
        </w:rPr>
        <w:t>(245)</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sectPr>
          <w:pgSz w:w="11900" w:h="16838" w:orient="portrait"/>
          <w:cols w:equalWidth="0" w:num="3">
            <w:col w:w="5582" w:space="720"/>
            <w:col w:w="1380" w:space="720"/>
            <w:col w:w="1819"/>
          </w:cols>
          <w:pgMar w:left="238" w:top="481" w:right="1440" w:bottom="1440" w:gutter="0" w:footer="0" w:header="0"/>
          <w:type w:val="continuous"/>
        </w:sectPr>
      </w:pPr>
    </w:p>
    <w:p>
      <w:pPr>
        <w:ind w:left="582" w:hanging="582"/>
        <w:spacing w:after="0"/>
        <w:tabs>
          <w:tab w:leader="none" w:pos="582"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Adjustments to interest expense, net--</w:t>
      </w:r>
    </w:p>
    <w:p>
      <w:pPr>
        <w:spacing w:after="0" w:line="4" w:lineRule="exact"/>
        <w:rPr>
          <w:rFonts w:ascii="Courier New" w:cs="Courier New" w:eastAsia="Courier New" w:hAnsi="Courier New"/>
          <w:sz w:val="16"/>
          <w:szCs w:val="16"/>
          <w:color w:val="auto"/>
        </w:rPr>
      </w:pPr>
    </w:p>
    <w:p>
      <w:pPr>
        <w:ind w:left="762" w:right="4779" w:hanging="191"/>
        <w:spacing w:after="0" w:line="259"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 To record interest on borrowings to finance the purchase transactions using borrowings under the Company's revolving credit facility at an average</w:t>
      </w:r>
    </w:p>
    <w:tbl>
      <w:tblPr>
        <w:tblLayout w:type="fixed"/>
        <w:tblInd w:w="2" w:type="dxa"/>
        <w:tblCellMar>
          <w:top w:w="0" w:type="dxa"/>
          <w:left w:w="0" w:type="dxa"/>
          <w:bottom w:w="0" w:type="dxa"/>
          <w:right w:w="0" w:type="dxa"/>
        </w:tblCellMar>
      </w:tblPr>
      <w:tr>
        <w:trPr>
          <w:trHeight w:val="179"/>
        </w:trPr>
        <w:tc>
          <w:tcPr>
            <w:tcW w:w="5920" w:type="dxa"/>
            <w:vAlign w:val="bottom"/>
          </w:tcPr>
          <w:p>
            <w:pPr>
              <w:jc w:val="right"/>
              <w:ind w:right="321"/>
              <w:spacing w:after="0" w:line="179" w:lineRule="exact"/>
              <w:rPr>
                <w:sz w:val="20"/>
                <w:szCs w:val="20"/>
                <w:color w:val="auto"/>
              </w:rPr>
            </w:pPr>
            <w:r>
              <w:rPr>
                <w:rFonts w:ascii="Courier New" w:cs="Courier New" w:eastAsia="Courier New" w:hAnsi="Courier New"/>
                <w:sz w:val="16"/>
                <w:szCs w:val="16"/>
                <w:color w:val="auto"/>
              </w:rPr>
              <w:t>rate of 6.77% and 6.13%, respectively.............</w:t>
            </w:r>
          </w:p>
        </w:tc>
        <w:tc>
          <w:tcPr>
            <w:tcW w:w="1800" w:type="dxa"/>
            <w:vAlign w:val="bottom"/>
          </w:tcPr>
          <w:p>
            <w:pPr>
              <w:jc w:val="right"/>
              <w:ind w:right="681"/>
              <w:spacing w:after="0" w:line="179" w:lineRule="exact"/>
              <w:rPr>
                <w:sz w:val="20"/>
                <w:szCs w:val="20"/>
                <w:color w:val="auto"/>
              </w:rPr>
            </w:pPr>
            <w:r>
              <w:rPr>
                <w:rFonts w:ascii="Courier New" w:cs="Courier New" w:eastAsia="Courier New" w:hAnsi="Courier New"/>
                <w:sz w:val="16"/>
                <w:szCs w:val="16"/>
                <w:color w:val="auto"/>
              </w:rPr>
              <w:t>5,162</w:t>
            </w:r>
          </w:p>
        </w:tc>
        <w:tc>
          <w:tcPr>
            <w:tcW w:w="1340" w:type="dxa"/>
            <w:vAlign w:val="bottom"/>
          </w:tcPr>
          <w:p>
            <w:pPr>
              <w:jc w:val="right"/>
              <w:ind w:right="21"/>
              <w:spacing w:after="0" w:line="179" w:lineRule="exact"/>
              <w:rPr>
                <w:sz w:val="20"/>
                <w:szCs w:val="20"/>
                <w:color w:val="auto"/>
              </w:rPr>
            </w:pPr>
            <w:r>
              <w:rPr>
                <w:rFonts w:ascii="Courier New" w:cs="Courier New" w:eastAsia="Courier New" w:hAnsi="Courier New"/>
                <w:sz w:val="16"/>
                <w:szCs w:val="16"/>
                <w:color w:val="auto"/>
              </w:rPr>
              <w:t>1,169</w:t>
            </w:r>
          </w:p>
        </w:tc>
      </w:tr>
      <w:tr>
        <w:trPr>
          <w:trHeight w:val="183"/>
        </w:trPr>
        <w:tc>
          <w:tcPr>
            <w:tcW w:w="59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 To record interest income on the $7,000,000 loan</w:t>
            </w:r>
          </w:p>
        </w:tc>
        <w:tc>
          <w:tcPr>
            <w:tcW w:w="180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3"/>
        </w:trPr>
        <w:tc>
          <w:tcPr>
            <w:tcW w:w="5920" w:type="dxa"/>
            <w:vAlign w:val="bottom"/>
          </w:tcPr>
          <w:p>
            <w:pPr>
              <w:jc w:val="right"/>
              <w:ind w:right="321"/>
              <w:spacing w:after="0"/>
              <w:rPr>
                <w:sz w:val="20"/>
                <w:szCs w:val="20"/>
                <w:color w:val="auto"/>
              </w:rPr>
            </w:pPr>
            <w:r>
              <w:rPr>
                <w:rFonts w:ascii="Courier New" w:cs="Courier New" w:eastAsia="Courier New" w:hAnsi="Courier New"/>
                <w:sz w:val="16"/>
                <w:szCs w:val="16"/>
                <w:color w:val="auto"/>
              </w:rPr>
              <w:t>to First Hospital.................................</w:t>
            </w:r>
          </w:p>
        </w:tc>
        <w:tc>
          <w:tcPr>
            <w:tcW w:w="180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(648)</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(162)</w:t>
            </w:r>
          </w:p>
        </w:tc>
      </w:tr>
      <w:tr>
        <w:trPr>
          <w:trHeight w:val="183"/>
        </w:trPr>
        <w:tc>
          <w:tcPr>
            <w:tcW w:w="5920" w:type="dxa"/>
            <w:vAlign w:val="bottom"/>
          </w:tcPr>
          <w:p>
            <w:pPr>
              <w:spacing w:after="0"/>
              <w:rPr>
                <w:sz w:val="15"/>
                <w:szCs w:val="15"/>
                <w:color w:val="auto"/>
              </w:rPr>
            </w:pPr>
          </w:p>
        </w:tc>
        <w:tc>
          <w:tcPr>
            <w:tcW w:w="180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5920" w:type="dxa"/>
            <w:vAlign w:val="bottom"/>
          </w:tcPr>
          <w:p>
            <w:pPr>
              <w:jc w:val="right"/>
              <w:ind w:right="321"/>
              <w:spacing w:after="0"/>
              <w:rPr>
                <w:sz w:val="20"/>
                <w:szCs w:val="20"/>
                <w:color w:val="auto"/>
              </w:rPr>
            </w:pPr>
            <w:r>
              <w:rPr>
                <w:rFonts w:ascii="Courier New" w:cs="Courier New" w:eastAsia="Courier New" w:hAnsi="Courier New"/>
                <w:sz w:val="16"/>
                <w:szCs w:val="16"/>
                <w:color w:val="auto"/>
              </w:rPr>
              <w:t>Total adjustments to interest expense, net..........</w:t>
            </w:r>
          </w:p>
        </w:tc>
        <w:tc>
          <w:tcPr>
            <w:tcW w:w="180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4,514</w:t>
            </w: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1,007</w:t>
            </w:r>
          </w:p>
        </w:tc>
      </w:tr>
      <w:tr>
        <w:trPr>
          <w:trHeight w:val="183"/>
        </w:trPr>
        <w:tc>
          <w:tcPr>
            <w:tcW w:w="5920" w:type="dxa"/>
            <w:vAlign w:val="bottom"/>
          </w:tcPr>
          <w:p>
            <w:pPr>
              <w:spacing w:after="0"/>
              <w:rPr>
                <w:sz w:val="15"/>
                <w:szCs w:val="15"/>
                <w:color w:val="auto"/>
              </w:rPr>
            </w:pPr>
          </w:p>
        </w:tc>
        <w:tc>
          <w:tcPr>
            <w:tcW w:w="180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5920" w:type="dxa"/>
            <w:vAlign w:val="bottom"/>
          </w:tcPr>
          <w:p>
            <w:pPr>
              <w:spacing w:after="0"/>
              <w:rPr>
                <w:sz w:val="15"/>
                <w:szCs w:val="15"/>
                <w:color w:val="auto"/>
              </w:rPr>
            </w:pPr>
          </w:p>
        </w:tc>
        <w:tc>
          <w:tcPr>
            <w:tcW w:w="180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5920" w:type="dxa"/>
            <w:vAlign w:val="bottom"/>
          </w:tcPr>
          <w:p>
            <w:pPr>
              <w:jc w:val="right"/>
              <w:ind w:right="501"/>
              <w:spacing w:after="0"/>
              <w:rPr>
                <w:sz w:val="20"/>
                <w:szCs w:val="20"/>
                <w:color w:val="auto"/>
              </w:rPr>
            </w:pPr>
            <w:r>
              <w:rPr>
                <w:rFonts w:ascii="Courier New" w:cs="Courier New" w:eastAsia="Courier New" w:hAnsi="Courier New"/>
                <w:sz w:val="16"/>
                <w:szCs w:val="16"/>
                <w:color w:val="auto"/>
                <w:w w:val="98"/>
              </w:rPr>
              <w:t>(K)   To adjust income tax expense for the effect of all</w:t>
            </w:r>
          </w:p>
        </w:tc>
        <w:tc>
          <w:tcPr>
            <w:tcW w:w="180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3"/>
        </w:trPr>
        <w:tc>
          <w:tcPr>
            <w:tcW w:w="5920" w:type="dxa"/>
            <w:vAlign w:val="bottom"/>
          </w:tcPr>
          <w:p>
            <w:pPr>
              <w:jc w:val="right"/>
              <w:ind w:right="321"/>
              <w:spacing w:after="0"/>
              <w:rPr>
                <w:sz w:val="20"/>
                <w:szCs w:val="20"/>
                <w:color w:val="auto"/>
              </w:rPr>
            </w:pPr>
            <w:r>
              <w:rPr>
                <w:rFonts w:ascii="Courier New" w:cs="Courier New" w:eastAsia="Courier New" w:hAnsi="Courier New"/>
                <w:sz w:val="16"/>
                <w:szCs w:val="16"/>
                <w:color w:val="auto"/>
              </w:rPr>
              <w:t>pro forma adjustments.............................</w:t>
            </w:r>
          </w:p>
        </w:tc>
        <w:tc>
          <w:tcPr>
            <w:tcW w:w="180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5,219</w:t>
            </w: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822</w:t>
            </w:r>
          </w:p>
        </w:tc>
      </w:tr>
      <w:tr>
        <w:trPr>
          <w:trHeight w:val="183"/>
        </w:trPr>
        <w:tc>
          <w:tcPr>
            <w:tcW w:w="5920" w:type="dxa"/>
            <w:vAlign w:val="bottom"/>
          </w:tcPr>
          <w:p>
            <w:pPr>
              <w:spacing w:after="0"/>
              <w:rPr>
                <w:sz w:val="15"/>
                <w:szCs w:val="15"/>
                <w:color w:val="auto"/>
              </w:rPr>
            </w:pPr>
          </w:p>
        </w:tc>
        <w:tc>
          <w:tcPr>
            <w:tcW w:w="180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5920" w:type="dxa"/>
            <w:vAlign w:val="bottom"/>
          </w:tcPr>
          <w:p>
            <w:pPr>
              <w:spacing w:after="0"/>
              <w:rPr>
                <w:sz w:val="15"/>
                <w:szCs w:val="15"/>
                <w:color w:val="auto"/>
              </w:rPr>
            </w:pPr>
          </w:p>
        </w:tc>
        <w:tc>
          <w:tcPr>
            <w:tcW w:w="180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734"/>
        </w:trPr>
        <w:tc>
          <w:tcPr>
            <w:tcW w:w="5920" w:type="dxa"/>
            <w:vAlign w:val="bottom"/>
          </w:tcPr>
          <w:p>
            <w:pPr>
              <w:jc w:val="right"/>
              <w:ind w:right="1941"/>
              <w:spacing w:after="0"/>
              <w:rPr>
                <w:sz w:val="20"/>
                <w:szCs w:val="20"/>
                <w:color w:val="auto"/>
              </w:rPr>
            </w:pPr>
            <w:r>
              <w:rPr>
                <w:rFonts w:ascii="Courier New" w:cs="Courier New" w:eastAsia="Courier New" w:hAnsi="Courier New"/>
                <w:sz w:val="16"/>
                <w:szCs w:val="16"/>
                <w:color w:val="auto"/>
              </w:rPr>
              <w:t>21</w:t>
            </w:r>
          </w:p>
        </w:tc>
        <w:tc>
          <w:tcPr>
            <w:tcW w:w="180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0221"/>
          </w:cols>
          <w:pgMar w:left="238" w:top="481" w:right="1440" w:bottom="1440" w:gutter="0" w:footer="0" w:header="0"/>
          <w:type w:val="continuous"/>
        </w:sectPr>
      </w:pPr>
    </w:p>
    <w:bookmarkStart w:id="28" w:name="page29"/>
    <w:bookmarkEnd w:id="28"/>
    <w:p>
      <w:pPr>
        <w:ind w:left="2660"/>
        <w:spacing w:after="0"/>
        <w:rPr>
          <w:sz w:val="20"/>
          <w:szCs w:val="20"/>
          <w:color w:val="auto"/>
        </w:rPr>
      </w:pPr>
      <w:r>
        <w:rPr>
          <w:rFonts w:ascii="Courier New" w:cs="Courier New" w:eastAsia="Courier New" w:hAnsi="Courier New"/>
          <w:sz w:val="16"/>
          <w:szCs w:val="16"/>
          <w:color w:val="auto"/>
        </w:rPr>
        <w:t>SELECTED FINANCIAL DATA</w:t>
      </w:r>
    </w:p>
    <w:p>
      <w:pPr>
        <w:spacing w:after="0" w:line="188" w:lineRule="exact"/>
        <w:rPr>
          <w:sz w:val="20"/>
          <w:szCs w:val="20"/>
          <w:color w:val="auto"/>
        </w:rPr>
      </w:pPr>
    </w:p>
    <w:p>
      <w:pPr>
        <w:ind w:right="3980" w:firstLine="382"/>
        <w:spacing w:after="0" w:line="242" w:lineRule="auto"/>
        <w:rPr>
          <w:sz w:val="20"/>
          <w:szCs w:val="20"/>
          <w:color w:val="auto"/>
        </w:rPr>
      </w:pPr>
      <w:r>
        <w:rPr>
          <w:rFonts w:ascii="Courier New" w:cs="Courier New" w:eastAsia="Courier New" w:hAnsi="Courier New"/>
          <w:sz w:val="16"/>
          <w:szCs w:val="16"/>
          <w:color w:val="auto"/>
        </w:rPr>
        <w:t>The selected consolidated financial data presented below for, and as of the end of, each of the five years in the period ended December 31, 1995, have been derived from the consolidated financial statements of the Company, which have been audited by Arthur Andersen LLP. The selected consolidated financial data presented below for, and as of the end of the three-month periods ended March 31, 1995 and 1996 are unaudited and have been prepared on the same basis as the audited consolidated financial statements of the Company and include all adjustments (consisting only of normal recurring adjustments) necessary to present fairly the information set forth therein. This data should be read in conjunction with the consolidated financial statements, related notes thereto, "Management's Discussion and Analysis of Financial Condition and Results of Operations" and other financial information included elsewhere or incorporated by reference in this Prospectus.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80" w:type="dxa"/>
            <w:vAlign w:val="bottom"/>
            <w:gridSpan w:val="3"/>
          </w:tcPr>
          <w:p>
            <w:pPr>
              <w:jc w:val="right"/>
              <w:ind w:right="481"/>
              <w:spacing w:after="0"/>
              <w:rPr>
                <w:sz w:val="20"/>
                <w:szCs w:val="20"/>
                <w:color w:val="auto"/>
              </w:rPr>
            </w:pPr>
            <w:r>
              <w:rPr>
                <w:rFonts w:ascii="Courier New" w:cs="Courier New" w:eastAsia="Courier New" w:hAnsi="Courier New"/>
                <w:sz w:val="16"/>
                <w:szCs w:val="16"/>
                <w:color w:val="auto"/>
              </w:rPr>
              <w:t>(UNAUDITED)</w:t>
            </w:r>
          </w:p>
        </w:tc>
      </w:tr>
      <w:tr>
        <w:trPr>
          <w:trHeight w:val="183"/>
        </w:trPr>
        <w:tc>
          <w:tcPr>
            <w:tcW w:w="3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80" w:type="dxa"/>
            <w:vAlign w:val="bottom"/>
            <w:gridSpan w:val="3"/>
          </w:tcPr>
          <w:p>
            <w:pPr>
              <w:jc w:val="right"/>
              <w:ind w:right="481"/>
              <w:spacing w:after="0"/>
              <w:rPr>
                <w:sz w:val="20"/>
                <w:szCs w:val="20"/>
                <w:color w:val="auto"/>
              </w:rPr>
            </w:pPr>
            <w:r>
              <w:rPr>
                <w:rFonts w:ascii="Courier New" w:cs="Courier New" w:eastAsia="Courier New" w:hAnsi="Courier New"/>
                <w:sz w:val="16"/>
                <w:szCs w:val="16"/>
                <w:color w:val="auto"/>
              </w:rPr>
              <w:t>THREE MONTHS</w:t>
            </w:r>
          </w:p>
        </w:tc>
      </w:tr>
      <w:tr>
        <w:trPr>
          <w:trHeight w:val="183"/>
        </w:trPr>
        <w:tc>
          <w:tcPr>
            <w:tcW w:w="3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380" w:type="dxa"/>
            <w:vAlign w:val="bottom"/>
            <w:gridSpan w:val="5"/>
          </w:tcPr>
          <w:p>
            <w:pPr>
              <w:jc w:val="right"/>
              <w:ind w:right="641"/>
              <w:spacing w:after="0"/>
              <w:rPr>
                <w:sz w:val="20"/>
                <w:szCs w:val="20"/>
                <w:color w:val="auto"/>
              </w:rPr>
            </w:pPr>
            <w:r>
              <w:rPr>
                <w:rFonts w:ascii="Courier New" w:cs="Courier New" w:eastAsia="Courier New" w:hAnsi="Courier New"/>
                <w:sz w:val="16"/>
                <w:szCs w:val="16"/>
                <w:color w:val="auto"/>
              </w:rPr>
              <w:t>YEARS ENDED DECEMBER 31,</w:t>
            </w: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80" w:type="dxa"/>
            <w:vAlign w:val="bottom"/>
            <w:gridSpan w:val="3"/>
          </w:tcPr>
          <w:p>
            <w:pPr>
              <w:jc w:val="right"/>
              <w:ind w:right="281"/>
              <w:spacing w:after="0"/>
              <w:rPr>
                <w:sz w:val="20"/>
                <w:szCs w:val="20"/>
                <w:color w:val="auto"/>
              </w:rPr>
            </w:pPr>
            <w:r>
              <w:rPr>
                <w:rFonts w:ascii="Courier New" w:cs="Courier New" w:eastAsia="Courier New" w:hAnsi="Courier New"/>
                <w:sz w:val="16"/>
                <w:szCs w:val="16"/>
                <w:color w:val="auto"/>
              </w:rPr>
              <w:t>ENDED MARCH 31,</w:t>
            </w:r>
          </w:p>
        </w:tc>
      </w:tr>
      <w:tr>
        <w:trPr>
          <w:trHeight w:val="183"/>
        </w:trPr>
        <w:tc>
          <w:tcPr>
            <w:tcW w:w="3040" w:type="dxa"/>
            <w:vAlign w:val="bottom"/>
          </w:tcPr>
          <w:p>
            <w:pPr>
              <w:spacing w:after="0"/>
              <w:rPr>
                <w:sz w:val="15"/>
                <w:szCs w:val="15"/>
                <w:color w:val="auto"/>
              </w:rPr>
            </w:pPr>
          </w:p>
        </w:tc>
        <w:tc>
          <w:tcPr>
            <w:tcW w:w="1200" w:type="dxa"/>
            <w:vAlign w:val="bottom"/>
            <w:gridSpan w:val="2"/>
          </w:tcPr>
          <w:p>
            <w:pPr>
              <w:ind w:left="100"/>
              <w:spacing w:after="0"/>
              <w:rPr>
                <w:sz w:val="20"/>
                <w:szCs w:val="20"/>
                <w:color w:val="auto"/>
              </w:rPr>
            </w:pPr>
            <w:r>
              <w:rPr>
                <w:rFonts w:ascii="Courier New" w:cs="Courier New" w:eastAsia="Courier New" w:hAnsi="Courier New"/>
                <w:sz w:val="3"/>
                <w:szCs w:val="3"/>
                <w:color w:val="auto"/>
                <w:w w:val="96"/>
              </w:rPr>
              <w: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32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3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jc w:val="right"/>
              <w:ind w:right="341"/>
              <w:spacing w:after="0"/>
              <w:rPr>
                <w:sz w:val="20"/>
                <w:szCs w:val="20"/>
                <w:color w:val="auto"/>
              </w:rPr>
            </w:pPr>
            <w:r>
              <w:rPr>
                <w:rFonts w:ascii="Courier New" w:cs="Courier New" w:eastAsia="Courier New" w:hAnsi="Courier New"/>
                <w:sz w:val="16"/>
                <w:szCs w:val="16"/>
                <w:color w:val="auto"/>
                <w:w w:val="93"/>
              </w:rPr>
              <w:t>1991</w:t>
            </w:r>
          </w:p>
        </w:tc>
        <w:tc>
          <w:tcPr>
            <w:tcW w:w="340" w:type="dxa"/>
            <w:vAlign w:val="bottom"/>
          </w:tcPr>
          <w:p>
            <w:pPr>
              <w:spacing w:after="0"/>
              <w:rPr>
                <w:sz w:val="15"/>
                <w:szCs w:val="15"/>
                <w:color w:val="auto"/>
              </w:rPr>
            </w:pPr>
          </w:p>
        </w:tc>
        <w:tc>
          <w:tcPr>
            <w:tcW w:w="9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1992</w:t>
            </w:r>
          </w:p>
        </w:tc>
        <w:tc>
          <w:tcPr>
            <w:tcW w:w="340" w:type="dxa"/>
            <w:vAlign w:val="bottom"/>
          </w:tcPr>
          <w:p>
            <w:pPr>
              <w:spacing w:after="0"/>
              <w:rPr>
                <w:sz w:val="15"/>
                <w:szCs w:val="15"/>
                <w:color w:val="auto"/>
              </w:rPr>
            </w:pPr>
          </w:p>
        </w:tc>
        <w:tc>
          <w:tcPr>
            <w:tcW w:w="9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1993</w:t>
            </w:r>
          </w:p>
        </w:tc>
        <w:tc>
          <w:tcPr>
            <w:tcW w:w="340" w:type="dxa"/>
            <w:vAlign w:val="bottom"/>
          </w:tcPr>
          <w:p>
            <w:pPr>
              <w:spacing w:after="0"/>
              <w:rPr>
                <w:sz w:val="15"/>
                <w:szCs w:val="15"/>
                <w:color w:val="auto"/>
              </w:rPr>
            </w:pPr>
          </w:p>
        </w:tc>
        <w:tc>
          <w:tcPr>
            <w:tcW w:w="9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1994</w:t>
            </w:r>
          </w:p>
        </w:tc>
        <w:tc>
          <w:tcPr>
            <w:tcW w:w="380" w:type="dxa"/>
            <w:vAlign w:val="bottom"/>
          </w:tcPr>
          <w:p>
            <w:pPr>
              <w:spacing w:after="0"/>
              <w:rPr>
                <w:sz w:val="15"/>
                <w:szCs w:val="15"/>
                <w:color w:val="auto"/>
              </w:rPr>
            </w:pPr>
          </w:p>
        </w:tc>
        <w:tc>
          <w:tcPr>
            <w:tcW w:w="8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1995</w:t>
            </w:r>
          </w:p>
        </w:tc>
        <w:tc>
          <w:tcPr>
            <w:tcW w:w="340" w:type="dxa"/>
            <w:vAlign w:val="bottom"/>
          </w:tcPr>
          <w:p>
            <w:pPr>
              <w:spacing w:after="0"/>
              <w:rPr>
                <w:sz w:val="15"/>
                <w:szCs w:val="15"/>
                <w:color w:val="auto"/>
              </w:rPr>
            </w:pPr>
          </w:p>
        </w:tc>
        <w:tc>
          <w:tcPr>
            <w:tcW w:w="9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1995</w:t>
            </w:r>
          </w:p>
        </w:tc>
        <w:tc>
          <w:tcPr>
            <w:tcW w:w="340" w:type="dxa"/>
            <w:vAlign w:val="bottom"/>
          </w:tcPr>
          <w:p>
            <w:pPr>
              <w:spacing w:after="0"/>
              <w:rPr>
                <w:sz w:val="15"/>
                <w:szCs w:val="15"/>
                <w:color w:val="auto"/>
              </w:rPr>
            </w:pPr>
          </w:p>
        </w:tc>
        <w:tc>
          <w:tcPr>
            <w:tcW w:w="74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1996</w:t>
            </w:r>
          </w:p>
        </w:tc>
      </w:tr>
      <w:tr>
        <w:trPr>
          <w:trHeight w:val="183"/>
        </w:trPr>
        <w:tc>
          <w:tcPr>
            <w:tcW w:w="3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760" w:type="dxa"/>
            <w:vAlign w:val="bottom"/>
            <w:gridSpan w:val="6"/>
          </w:tcPr>
          <w:p>
            <w:pPr>
              <w:jc w:val="right"/>
              <w:spacing w:after="0"/>
              <w:rPr>
                <w:sz w:val="20"/>
                <w:szCs w:val="20"/>
                <w:color w:val="auto"/>
              </w:rPr>
            </w:pPr>
            <w:r>
              <w:rPr>
                <w:rFonts w:ascii="Courier New" w:cs="Courier New" w:eastAsia="Courier New" w:hAnsi="Courier New"/>
                <w:sz w:val="16"/>
                <w:szCs w:val="16"/>
                <w:color w:val="auto"/>
              </w:rPr>
              <w:t>(DOLLARS IN THOUSANDS, EXCEPT PER</w:t>
            </w:r>
          </w:p>
        </w:tc>
        <w:tc>
          <w:tcPr>
            <w:tcW w:w="12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SHARE DATA)</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367"/>
        </w:trPr>
        <w:tc>
          <w:tcPr>
            <w:tcW w:w="3040" w:type="dxa"/>
            <w:vAlign w:val="bottom"/>
          </w:tcPr>
          <w:p>
            <w:pPr>
              <w:spacing w:after="0"/>
              <w:rPr>
                <w:sz w:val="20"/>
                <w:szCs w:val="20"/>
                <w:color w:val="auto"/>
              </w:rPr>
            </w:pPr>
            <w:r>
              <w:rPr>
                <w:rFonts w:ascii="Courier New" w:cs="Courier New" w:eastAsia="Courier New" w:hAnsi="Courier New"/>
                <w:sz w:val="16"/>
                <w:szCs w:val="16"/>
                <w:color w:val="auto"/>
              </w:rPr>
              <w:t>Statement of Operations:</w:t>
            </w: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83"/>
        </w:trPr>
        <w:tc>
          <w:tcPr>
            <w:tcW w:w="3040" w:type="dxa"/>
            <w:vAlign w:val="bottom"/>
          </w:tcPr>
          <w:p>
            <w:pPr>
              <w:ind w:left="100"/>
              <w:spacing w:after="0"/>
              <w:rPr>
                <w:sz w:val="20"/>
                <w:szCs w:val="20"/>
                <w:color w:val="auto"/>
              </w:rPr>
            </w:pPr>
            <w:r>
              <w:rPr>
                <w:rFonts w:ascii="Courier New" w:cs="Courier New" w:eastAsia="Courier New" w:hAnsi="Courier New"/>
                <w:sz w:val="16"/>
                <w:szCs w:val="16"/>
                <w:color w:val="auto"/>
              </w:rPr>
              <w:t>Net revenues..................</w:t>
            </w:r>
          </w:p>
        </w:tc>
        <w:tc>
          <w:tcPr>
            <w:tcW w:w="40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691,619</w:t>
            </w:r>
          </w:p>
        </w:tc>
        <w:tc>
          <w:tcPr>
            <w:tcW w:w="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731,227</w:t>
            </w:r>
          </w:p>
        </w:tc>
        <w:tc>
          <w:tcPr>
            <w:tcW w:w="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761,544</w:t>
            </w:r>
          </w:p>
        </w:tc>
        <w:tc>
          <w:tcPr>
            <w:tcW w:w="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782,199</w:t>
            </w:r>
          </w:p>
        </w:tc>
        <w:tc>
          <w:tcPr>
            <w:tcW w:w="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931,126</w:t>
            </w:r>
          </w:p>
        </w:tc>
        <w:tc>
          <w:tcPr>
            <w:tcW w:w="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220,715</w:t>
            </w:r>
          </w:p>
        </w:tc>
        <w:tc>
          <w:tcPr>
            <w:tcW w:w="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271,616</w:t>
            </w:r>
          </w:p>
        </w:tc>
      </w:tr>
      <w:tr>
        <w:trPr>
          <w:trHeight w:val="183"/>
        </w:trPr>
        <w:tc>
          <w:tcPr>
            <w:tcW w:w="304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3"/>
        </w:trPr>
        <w:tc>
          <w:tcPr>
            <w:tcW w:w="3040" w:type="dxa"/>
            <w:vAlign w:val="bottom"/>
          </w:tcPr>
          <w:p>
            <w:pPr>
              <w:ind w:left="100"/>
              <w:spacing w:after="0"/>
              <w:rPr>
                <w:sz w:val="20"/>
                <w:szCs w:val="20"/>
                <w:color w:val="auto"/>
              </w:rPr>
            </w:pPr>
            <w:r>
              <w:rPr>
                <w:rFonts w:ascii="Courier New" w:cs="Courier New" w:eastAsia="Courier New" w:hAnsi="Courier New"/>
                <w:sz w:val="16"/>
                <w:szCs w:val="16"/>
                <w:color w:val="auto"/>
              </w:rPr>
              <w:t>Operating expenses............</w:t>
            </w:r>
          </w:p>
        </w:tc>
        <w:tc>
          <w:tcPr>
            <w:tcW w:w="4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283,511</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285,922</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299,645</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298,108</w:t>
            </w:r>
          </w:p>
        </w:tc>
        <w:tc>
          <w:tcPr>
            <w:tcW w:w="380" w:type="dxa"/>
            <w:vAlign w:val="bottom"/>
          </w:tcPr>
          <w:p>
            <w:pPr>
              <w:spacing w:after="0"/>
              <w:rPr>
                <w:sz w:val="15"/>
                <w:szCs w:val="15"/>
                <w:color w:val="auto"/>
              </w:rPr>
            </w:pP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361,049</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84,469</w:t>
            </w:r>
          </w:p>
        </w:tc>
        <w:tc>
          <w:tcPr>
            <w:tcW w:w="3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102,335</w:t>
            </w:r>
          </w:p>
        </w:tc>
      </w:tr>
      <w:tr>
        <w:trPr>
          <w:trHeight w:val="183"/>
        </w:trPr>
        <w:tc>
          <w:tcPr>
            <w:tcW w:w="3040" w:type="dxa"/>
            <w:vAlign w:val="bottom"/>
          </w:tcPr>
          <w:p>
            <w:pPr>
              <w:ind w:left="100"/>
              <w:spacing w:after="0"/>
              <w:rPr>
                <w:sz w:val="20"/>
                <w:szCs w:val="20"/>
                <w:color w:val="auto"/>
              </w:rPr>
            </w:pPr>
            <w:r>
              <w:rPr>
                <w:rFonts w:ascii="Courier New" w:cs="Courier New" w:eastAsia="Courier New" w:hAnsi="Courier New"/>
                <w:sz w:val="16"/>
                <w:szCs w:val="16"/>
                <w:color w:val="auto"/>
              </w:rPr>
              <w:t>Salaries and wages............</w:t>
            </w:r>
          </w:p>
        </w:tc>
        <w:tc>
          <w:tcPr>
            <w:tcW w:w="4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255,067</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265,017</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280,041</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286,297</w:t>
            </w:r>
          </w:p>
        </w:tc>
        <w:tc>
          <w:tcPr>
            <w:tcW w:w="380" w:type="dxa"/>
            <w:vAlign w:val="bottom"/>
          </w:tcPr>
          <w:p>
            <w:pPr>
              <w:spacing w:after="0"/>
              <w:rPr>
                <w:sz w:val="15"/>
                <w:szCs w:val="15"/>
                <w:color w:val="auto"/>
              </w:rPr>
            </w:pP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329,939</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78,021</w:t>
            </w:r>
          </w:p>
        </w:tc>
        <w:tc>
          <w:tcPr>
            <w:tcW w:w="3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94,500</w:t>
            </w:r>
          </w:p>
        </w:tc>
      </w:tr>
      <w:tr>
        <w:trPr>
          <w:trHeight w:val="183"/>
        </w:trPr>
        <w:tc>
          <w:tcPr>
            <w:tcW w:w="3040" w:type="dxa"/>
            <w:vAlign w:val="bottom"/>
          </w:tcPr>
          <w:p>
            <w:pPr>
              <w:ind w:left="100"/>
              <w:spacing w:after="0"/>
              <w:rPr>
                <w:sz w:val="20"/>
                <w:szCs w:val="20"/>
                <w:color w:val="auto"/>
              </w:rPr>
            </w:pPr>
            <w:r>
              <w:rPr>
                <w:rFonts w:ascii="Courier New" w:cs="Courier New" w:eastAsia="Courier New" w:hAnsi="Courier New"/>
                <w:sz w:val="16"/>
                <w:szCs w:val="16"/>
                <w:color w:val="auto"/>
              </w:rPr>
              <w:t>Provision for doubtful</w:t>
            </w: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3"/>
        </w:trPr>
        <w:tc>
          <w:tcPr>
            <w:tcW w:w="3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accounts.....................</w:t>
            </w:r>
          </w:p>
        </w:tc>
        <w:tc>
          <w:tcPr>
            <w:tcW w:w="4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44,832</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45,008</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55,409</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58,347</w:t>
            </w:r>
          </w:p>
        </w:tc>
        <w:tc>
          <w:tcPr>
            <w:tcW w:w="380" w:type="dxa"/>
            <w:vAlign w:val="bottom"/>
          </w:tcPr>
          <w:p>
            <w:pPr>
              <w:spacing w:after="0"/>
              <w:rPr>
                <w:sz w:val="15"/>
                <w:szCs w:val="15"/>
                <w:color w:val="auto"/>
              </w:rPr>
            </w:pP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76,905</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17,185</w:t>
            </w:r>
          </w:p>
        </w:tc>
        <w:tc>
          <w:tcPr>
            <w:tcW w:w="3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21,767</w:t>
            </w:r>
          </w:p>
        </w:tc>
      </w:tr>
      <w:tr>
        <w:trPr>
          <w:trHeight w:val="183"/>
        </w:trPr>
        <w:tc>
          <w:tcPr>
            <w:tcW w:w="3040" w:type="dxa"/>
            <w:vAlign w:val="bottom"/>
          </w:tcPr>
          <w:p>
            <w:pPr>
              <w:ind w:left="100"/>
              <w:spacing w:after="0"/>
              <w:rPr>
                <w:sz w:val="20"/>
                <w:szCs w:val="20"/>
                <w:color w:val="auto"/>
              </w:rPr>
            </w:pPr>
            <w:r>
              <w:rPr>
                <w:rFonts w:ascii="Courier New" w:cs="Courier New" w:eastAsia="Courier New" w:hAnsi="Courier New"/>
                <w:sz w:val="16"/>
                <w:szCs w:val="16"/>
                <w:color w:val="auto"/>
              </w:rPr>
              <w:t>Depreciation and</w:t>
            </w: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3"/>
        </w:trPr>
        <w:tc>
          <w:tcPr>
            <w:tcW w:w="3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amortization.................</w:t>
            </w:r>
          </w:p>
        </w:tc>
        <w:tc>
          <w:tcPr>
            <w:tcW w:w="4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35,022</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49,059</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39,599</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42,383</w:t>
            </w:r>
          </w:p>
        </w:tc>
        <w:tc>
          <w:tcPr>
            <w:tcW w:w="380" w:type="dxa"/>
            <w:vAlign w:val="bottom"/>
          </w:tcPr>
          <w:p>
            <w:pPr>
              <w:spacing w:after="0"/>
              <w:rPr>
                <w:sz w:val="15"/>
                <w:szCs w:val="15"/>
                <w:color w:val="auto"/>
              </w:rPr>
            </w:pP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51,371</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11,310</w:t>
            </w:r>
          </w:p>
        </w:tc>
        <w:tc>
          <w:tcPr>
            <w:tcW w:w="3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14,783</w:t>
            </w:r>
          </w:p>
        </w:tc>
      </w:tr>
      <w:tr>
        <w:trPr>
          <w:trHeight w:val="183"/>
        </w:trPr>
        <w:tc>
          <w:tcPr>
            <w:tcW w:w="3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Lease and rental expense......</w:t>
            </w:r>
          </w:p>
        </w:tc>
        <w:tc>
          <w:tcPr>
            <w:tcW w:w="4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34,479</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33,854</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34,281</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34,097</w:t>
            </w:r>
          </w:p>
        </w:tc>
        <w:tc>
          <w:tcPr>
            <w:tcW w:w="380" w:type="dxa"/>
            <w:vAlign w:val="bottom"/>
          </w:tcPr>
          <w:p>
            <w:pPr>
              <w:spacing w:after="0"/>
              <w:rPr>
                <w:sz w:val="15"/>
                <w:szCs w:val="15"/>
                <w:color w:val="auto"/>
              </w:rPr>
            </w:pP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36,068</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8,772</w:t>
            </w:r>
          </w:p>
        </w:tc>
        <w:tc>
          <w:tcPr>
            <w:tcW w:w="3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9,405</w:t>
            </w:r>
          </w:p>
        </w:tc>
      </w:tr>
      <w:tr>
        <w:trPr>
          <w:trHeight w:val="183"/>
        </w:trPr>
        <w:tc>
          <w:tcPr>
            <w:tcW w:w="3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Interest expense, net.........</w:t>
            </w:r>
          </w:p>
        </w:tc>
        <w:tc>
          <w:tcPr>
            <w:tcW w:w="4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8,150</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11,414</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8,645</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6,275</w:t>
            </w:r>
          </w:p>
        </w:tc>
        <w:tc>
          <w:tcPr>
            <w:tcW w:w="380" w:type="dxa"/>
            <w:vAlign w:val="bottom"/>
          </w:tcPr>
          <w:p>
            <w:pPr>
              <w:spacing w:after="0"/>
              <w:rPr>
                <w:sz w:val="15"/>
                <w:szCs w:val="15"/>
                <w:color w:val="auto"/>
              </w:rPr>
            </w:pP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11,195</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1,614</w:t>
            </w:r>
          </w:p>
        </w:tc>
        <w:tc>
          <w:tcPr>
            <w:tcW w:w="3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4,648</w:t>
            </w:r>
          </w:p>
        </w:tc>
      </w:tr>
      <w:tr>
        <w:trPr>
          <w:trHeight w:val="183"/>
        </w:trPr>
        <w:tc>
          <w:tcPr>
            <w:tcW w:w="3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Nonrecurring charges..........</w:t>
            </w:r>
          </w:p>
        </w:tc>
        <w:tc>
          <w:tcPr>
            <w:tcW w:w="400" w:type="dxa"/>
            <w:vAlign w:val="bottom"/>
          </w:tcPr>
          <w:p>
            <w:pPr>
              <w:spacing w:after="0"/>
              <w:rPr>
                <w:sz w:val="15"/>
                <w:szCs w:val="15"/>
                <w:color w:val="auto"/>
              </w:rPr>
            </w:pPr>
          </w:p>
        </w:tc>
        <w:tc>
          <w:tcPr>
            <w:tcW w:w="8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9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8,828</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9,763</w:t>
            </w:r>
          </w:p>
        </w:tc>
        <w:tc>
          <w:tcPr>
            <w:tcW w:w="380" w:type="dxa"/>
            <w:vAlign w:val="bottom"/>
          </w:tcPr>
          <w:p>
            <w:pPr>
              <w:spacing w:after="0"/>
              <w:rPr>
                <w:sz w:val="15"/>
                <w:szCs w:val="15"/>
                <w:color w:val="auto"/>
              </w:rPr>
            </w:pP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11,610</w:t>
            </w:r>
          </w:p>
        </w:tc>
        <w:tc>
          <w:tcPr>
            <w:tcW w:w="340" w:type="dxa"/>
            <w:vAlign w:val="bottom"/>
          </w:tcPr>
          <w:p>
            <w:pPr>
              <w:spacing w:after="0"/>
              <w:rPr>
                <w:sz w:val="15"/>
                <w:szCs w:val="15"/>
                <w:color w:val="auto"/>
              </w:rPr>
            </w:pPr>
          </w:p>
        </w:tc>
        <w:tc>
          <w:tcPr>
            <w:tcW w:w="9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74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w:t>
            </w:r>
          </w:p>
        </w:tc>
      </w:tr>
      <w:tr>
        <w:trPr>
          <w:trHeight w:val="183"/>
        </w:trPr>
        <w:tc>
          <w:tcPr>
            <w:tcW w:w="3040" w:type="dxa"/>
            <w:vAlign w:val="bottom"/>
          </w:tcPr>
          <w:p>
            <w:pPr>
              <w:spacing w:after="0"/>
              <w:rPr>
                <w:sz w:val="15"/>
                <w:szCs w:val="15"/>
                <w:color w:val="auto"/>
              </w:rPr>
            </w:pPr>
          </w:p>
        </w:tc>
        <w:tc>
          <w:tcPr>
            <w:tcW w:w="12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3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Total operating charges.....</w:t>
            </w:r>
          </w:p>
        </w:tc>
        <w:tc>
          <w:tcPr>
            <w:tcW w:w="4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661,061</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690,274</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726,448</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735,270</w:t>
            </w:r>
          </w:p>
        </w:tc>
        <w:tc>
          <w:tcPr>
            <w:tcW w:w="380" w:type="dxa"/>
            <w:vAlign w:val="bottom"/>
          </w:tcPr>
          <w:p>
            <w:pPr>
              <w:spacing w:after="0"/>
              <w:rPr>
                <w:sz w:val="15"/>
                <w:szCs w:val="15"/>
                <w:color w:val="auto"/>
              </w:rPr>
            </w:pP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878,137</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201,371</w:t>
            </w:r>
          </w:p>
        </w:tc>
        <w:tc>
          <w:tcPr>
            <w:tcW w:w="3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247,438</w:t>
            </w:r>
          </w:p>
        </w:tc>
      </w:tr>
      <w:tr>
        <w:trPr>
          <w:trHeight w:val="183"/>
        </w:trPr>
        <w:tc>
          <w:tcPr>
            <w:tcW w:w="3040" w:type="dxa"/>
            <w:vAlign w:val="bottom"/>
          </w:tcPr>
          <w:p>
            <w:pPr>
              <w:spacing w:after="0"/>
              <w:rPr>
                <w:sz w:val="15"/>
                <w:szCs w:val="15"/>
                <w:color w:val="auto"/>
              </w:rPr>
            </w:pPr>
          </w:p>
        </w:tc>
        <w:tc>
          <w:tcPr>
            <w:tcW w:w="12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30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Income before income taxes.....</w:t>
            </w:r>
          </w:p>
        </w:tc>
        <w:tc>
          <w:tcPr>
            <w:tcW w:w="4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30,558</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40,953</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35,096</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46,929</w:t>
            </w:r>
          </w:p>
        </w:tc>
        <w:tc>
          <w:tcPr>
            <w:tcW w:w="380" w:type="dxa"/>
            <w:vAlign w:val="bottom"/>
          </w:tcPr>
          <w:p>
            <w:pPr>
              <w:spacing w:after="0"/>
              <w:rPr>
                <w:sz w:val="15"/>
                <w:szCs w:val="15"/>
                <w:color w:val="auto"/>
              </w:rPr>
            </w:pP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52,989</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19,344</w:t>
            </w:r>
          </w:p>
        </w:tc>
        <w:tc>
          <w:tcPr>
            <w:tcW w:w="3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24,178</w:t>
            </w:r>
          </w:p>
        </w:tc>
      </w:tr>
      <w:tr>
        <w:trPr>
          <w:trHeight w:val="183"/>
        </w:trPr>
        <w:tc>
          <w:tcPr>
            <w:tcW w:w="30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Provision for income taxes.....</w:t>
            </w:r>
          </w:p>
        </w:tc>
        <w:tc>
          <w:tcPr>
            <w:tcW w:w="4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10,239</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20,933</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11,085</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18,209</w:t>
            </w:r>
          </w:p>
        </w:tc>
        <w:tc>
          <w:tcPr>
            <w:tcW w:w="380" w:type="dxa"/>
            <w:vAlign w:val="bottom"/>
          </w:tcPr>
          <w:p>
            <w:pPr>
              <w:spacing w:after="0"/>
              <w:rPr>
                <w:sz w:val="15"/>
                <w:szCs w:val="15"/>
                <w:color w:val="auto"/>
              </w:rPr>
            </w:pP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17,505</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7,503</w:t>
            </w:r>
          </w:p>
        </w:tc>
        <w:tc>
          <w:tcPr>
            <w:tcW w:w="3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8,677</w:t>
            </w:r>
          </w:p>
        </w:tc>
      </w:tr>
      <w:tr>
        <w:trPr>
          <w:trHeight w:val="183"/>
        </w:trPr>
        <w:tc>
          <w:tcPr>
            <w:tcW w:w="3040" w:type="dxa"/>
            <w:vAlign w:val="bottom"/>
          </w:tcPr>
          <w:p>
            <w:pPr>
              <w:spacing w:after="0"/>
              <w:rPr>
                <w:sz w:val="15"/>
                <w:szCs w:val="15"/>
                <w:color w:val="auto"/>
              </w:rPr>
            </w:pPr>
          </w:p>
        </w:tc>
        <w:tc>
          <w:tcPr>
            <w:tcW w:w="12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30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Net income.....................</w:t>
            </w:r>
          </w:p>
        </w:tc>
        <w:tc>
          <w:tcPr>
            <w:tcW w:w="40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20,319</w:t>
            </w:r>
          </w:p>
        </w:tc>
        <w:tc>
          <w:tcPr>
            <w:tcW w:w="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20,020</w:t>
            </w:r>
          </w:p>
        </w:tc>
        <w:tc>
          <w:tcPr>
            <w:tcW w:w="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24,011</w:t>
            </w:r>
          </w:p>
        </w:tc>
        <w:tc>
          <w:tcPr>
            <w:tcW w:w="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28,720</w:t>
            </w:r>
          </w:p>
        </w:tc>
        <w:tc>
          <w:tcPr>
            <w:tcW w:w="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35,484</w:t>
            </w:r>
          </w:p>
        </w:tc>
        <w:tc>
          <w:tcPr>
            <w:tcW w:w="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11,841</w:t>
            </w:r>
          </w:p>
        </w:tc>
        <w:tc>
          <w:tcPr>
            <w:tcW w:w="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15,501</w:t>
            </w:r>
          </w:p>
        </w:tc>
      </w:tr>
      <w:tr>
        <w:trPr>
          <w:trHeight w:val="183"/>
        </w:trPr>
        <w:tc>
          <w:tcPr>
            <w:tcW w:w="3040" w:type="dxa"/>
            <w:vAlign w:val="bottom"/>
          </w:tcPr>
          <w:p>
            <w:pPr>
              <w:spacing w:after="0"/>
              <w:rPr>
                <w:sz w:val="15"/>
                <w:szCs w:val="15"/>
                <w:color w:val="auto"/>
              </w:rPr>
            </w:pPr>
          </w:p>
        </w:tc>
        <w:tc>
          <w:tcPr>
            <w:tcW w:w="12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3040" w:type="dxa"/>
            <w:vAlign w:val="bottom"/>
          </w:tcPr>
          <w:p>
            <w:pPr>
              <w:spacing w:after="0"/>
              <w:rPr>
                <w:sz w:val="15"/>
                <w:szCs w:val="15"/>
                <w:color w:val="auto"/>
              </w:rPr>
            </w:pPr>
          </w:p>
        </w:tc>
        <w:tc>
          <w:tcPr>
            <w:tcW w:w="12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3040" w:type="dxa"/>
            <w:vAlign w:val="bottom"/>
          </w:tcPr>
          <w:p>
            <w:pPr>
              <w:spacing w:after="0"/>
              <w:rPr>
                <w:sz w:val="20"/>
                <w:szCs w:val="20"/>
                <w:color w:val="auto"/>
              </w:rPr>
            </w:pPr>
            <w:r>
              <w:rPr>
                <w:rFonts w:ascii="Courier New" w:cs="Courier New" w:eastAsia="Courier New" w:hAnsi="Courier New"/>
                <w:sz w:val="16"/>
                <w:szCs w:val="16"/>
                <w:color w:val="auto"/>
              </w:rPr>
              <w:t>Per Share Data:</w:t>
            </w: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3"/>
        </w:trPr>
        <w:tc>
          <w:tcPr>
            <w:tcW w:w="3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Net income....................</w:t>
            </w:r>
          </w:p>
        </w:tc>
        <w:tc>
          <w:tcPr>
            <w:tcW w:w="40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.73</w:t>
            </w:r>
          </w:p>
        </w:tc>
        <w:tc>
          <w:tcPr>
            <w:tcW w:w="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.72</w:t>
            </w:r>
          </w:p>
        </w:tc>
        <w:tc>
          <w:tcPr>
            <w:tcW w:w="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.86</w:t>
            </w:r>
          </w:p>
        </w:tc>
        <w:tc>
          <w:tcPr>
            <w:tcW w:w="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1.01</w:t>
            </w:r>
          </w:p>
        </w:tc>
        <w:tc>
          <w:tcPr>
            <w:tcW w:w="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1.26</w:t>
            </w:r>
          </w:p>
        </w:tc>
        <w:tc>
          <w:tcPr>
            <w:tcW w:w="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.42</w:t>
            </w:r>
          </w:p>
        </w:tc>
        <w:tc>
          <w:tcPr>
            <w:tcW w:w="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.54</w:t>
            </w:r>
          </w:p>
        </w:tc>
      </w:tr>
      <w:tr>
        <w:trPr>
          <w:trHeight w:val="183"/>
        </w:trPr>
        <w:tc>
          <w:tcPr>
            <w:tcW w:w="3040" w:type="dxa"/>
            <w:vAlign w:val="bottom"/>
          </w:tcPr>
          <w:p>
            <w:pPr>
              <w:spacing w:after="0"/>
              <w:rPr>
                <w:sz w:val="15"/>
                <w:szCs w:val="15"/>
                <w:color w:val="auto"/>
              </w:rPr>
            </w:pPr>
          </w:p>
        </w:tc>
        <w:tc>
          <w:tcPr>
            <w:tcW w:w="12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3040" w:type="dxa"/>
            <w:vAlign w:val="bottom"/>
          </w:tcPr>
          <w:p>
            <w:pPr>
              <w:spacing w:after="0"/>
              <w:rPr>
                <w:sz w:val="15"/>
                <w:szCs w:val="15"/>
                <w:color w:val="auto"/>
              </w:rPr>
            </w:pPr>
          </w:p>
        </w:tc>
        <w:tc>
          <w:tcPr>
            <w:tcW w:w="12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3040" w:type="dxa"/>
            <w:vAlign w:val="bottom"/>
          </w:tcPr>
          <w:p>
            <w:pPr>
              <w:ind w:left="100"/>
              <w:spacing w:after="0"/>
              <w:rPr>
                <w:sz w:val="20"/>
                <w:szCs w:val="20"/>
                <w:color w:val="auto"/>
              </w:rPr>
            </w:pPr>
            <w:r>
              <w:rPr>
                <w:rFonts w:ascii="Courier New" w:cs="Courier New" w:eastAsia="Courier New" w:hAnsi="Courier New"/>
                <w:sz w:val="16"/>
                <w:szCs w:val="16"/>
                <w:color w:val="auto"/>
              </w:rPr>
              <w:t>Weighted average number of</w:t>
            </w: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3"/>
        </w:trPr>
        <w:tc>
          <w:tcPr>
            <w:tcW w:w="3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shares outstanding..........</w:t>
            </w:r>
          </w:p>
        </w:tc>
        <w:tc>
          <w:tcPr>
            <w:tcW w:w="4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29,984</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29,940</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29,638</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28,778</w:t>
            </w:r>
          </w:p>
        </w:tc>
        <w:tc>
          <w:tcPr>
            <w:tcW w:w="380" w:type="dxa"/>
            <w:vAlign w:val="bottom"/>
          </w:tcPr>
          <w:p>
            <w:pPr>
              <w:spacing w:after="0"/>
              <w:rPr>
                <w:sz w:val="15"/>
                <w:szCs w:val="15"/>
                <w:color w:val="auto"/>
              </w:rPr>
            </w:pP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28,158</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27,884</w:t>
            </w:r>
          </w:p>
        </w:tc>
        <w:tc>
          <w:tcPr>
            <w:tcW w:w="3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28,712</w:t>
            </w:r>
          </w:p>
        </w:tc>
      </w:tr>
      <w:tr>
        <w:trPr>
          <w:trHeight w:val="183"/>
        </w:trPr>
        <w:tc>
          <w:tcPr>
            <w:tcW w:w="3040" w:type="dxa"/>
            <w:vAlign w:val="bottom"/>
          </w:tcPr>
          <w:p>
            <w:pPr>
              <w:spacing w:after="0"/>
              <w:rPr>
                <w:sz w:val="15"/>
                <w:szCs w:val="15"/>
                <w:color w:val="auto"/>
              </w:rPr>
            </w:pPr>
          </w:p>
        </w:tc>
        <w:tc>
          <w:tcPr>
            <w:tcW w:w="12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3040" w:type="dxa"/>
            <w:vAlign w:val="bottom"/>
          </w:tcPr>
          <w:p>
            <w:pPr>
              <w:spacing w:after="0"/>
              <w:rPr>
                <w:sz w:val="15"/>
                <w:szCs w:val="15"/>
                <w:color w:val="auto"/>
              </w:rPr>
            </w:pPr>
          </w:p>
        </w:tc>
        <w:tc>
          <w:tcPr>
            <w:tcW w:w="12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3040" w:type="dxa"/>
            <w:vAlign w:val="bottom"/>
          </w:tcPr>
          <w:p>
            <w:pPr>
              <w:spacing w:after="0"/>
              <w:rPr>
                <w:sz w:val="20"/>
                <w:szCs w:val="20"/>
                <w:color w:val="auto"/>
              </w:rPr>
            </w:pPr>
            <w:r>
              <w:rPr>
                <w:rFonts w:ascii="Courier New" w:cs="Courier New" w:eastAsia="Courier New" w:hAnsi="Courier New"/>
                <w:sz w:val="16"/>
                <w:szCs w:val="16"/>
                <w:color w:val="auto"/>
              </w:rPr>
              <w:t>Balance Sheet Data:</w:t>
            </w: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3"/>
        </w:trPr>
        <w:tc>
          <w:tcPr>
            <w:tcW w:w="3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Working capital...............</w:t>
            </w:r>
          </w:p>
        </w:tc>
        <w:tc>
          <w:tcPr>
            <w:tcW w:w="40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14,345</w:t>
            </w:r>
          </w:p>
        </w:tc>
        <w:tc>
          <w:tcPr>
            <w:tcW w:w="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33,716</w:t>
            </w:r>
          </w:p>
        </w:tc>
        <w:tc>
          <w:tcPr>
            <w:tcW w:w="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15,500</w:t>
            </w:r>
          </w:p>
        </w:tc>
        <w:tc>
          <w:tcPr>
            <w:tcW w:w="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14,607</w:t>
            </w:r>
          </w:p>
        </w:tc>
        <w:tc>
          <w:tcPr>
            <w:tcW w:w="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21,905</w:t>
            </w:r>
          </w:p>
        </w:tc>
        <w:tc>
          <w:tcPr>
            <w:tcW w:w="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15,593</w:t>
            </w:r>
          </w:p>
        </w:tc>
        <w:tc>
          <w:tcPr>
            <w:tcW w:w="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16,125</w:t>
            </w:r>
          </w:p>
        </w:tc>
      </w:tr>
      <w:tr>
        <w:trPr>
          <w:trHeight w:val="183"/>
        </w:trPr>
        <w:tc>
          <w:tcPr>
            <w:tcW w:w="3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Total assets..................</w:t>
            </w:r>
          </w:p>
        </w:tc>
        <w:tc>
          <w:tcPr>
            <w:tcW w:w="4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500,706</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472,427</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460,422</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521,492</w:t>
            </w:r>
          </w:p>
        </w:tc>
        <w:tc>
          <w:tcPr>
            <w:tcW w:w="380" w:type="dxa"/>
            <w:vAlign w:val="bottom"/>
          </w:tcPr>
          <w:p>
            <w:pPr>
              <w:spacing w:after="0"/>
              <w:rPr>
                <w:sz w:val="15"/>
                <w:szCs w:val="15"/>
                <w:color w:val="auto"/>
              </w:rPr>
            </w:pP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748,051</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539,232</w:t>
            </w:r>
          </w:p>
        </w:tc>
        <w:tc>
          <w:tcPr>
            <w:tcW w:w="3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767,942</w:t>
            </w:r>
          </w:p>
        </w:tc>
      </w:tr>
      <w:tr>
        <w:trPr>
          <w:trHeight w:val="183"/>
        </w:trPr>
        <w:tc>
          <w:tcPr>
            <w:tcW w:w="3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Long-term borrowings..........</w:t>
            </w:r>
          </w:p>
        </w:tc>
        <w:tc>
          <w:tcPr>
            <w:tcW w:w="4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127,235</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114,959</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75,081</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85,125</w:t>
            </w:r>
          </w:p>
        </w:tc>
        <w:tc>
          <w:tcPr>
            <w:tcW w:w="380" w:type="dxa"/>
            <w:vAlign w:val="bottom"/>
          </w:tcPr>
          <w:p>
            <w:pPr>
              <w:spacing w:after="0"/>
              <w:rPr>
                <w:sz w:val="15"/>
                <w:szCs w:val="15"/>
                <w:color w:val="auto"/>
              </w:rPr>
            </w:pP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237,086</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75,038</w:t>
            </w:r>
          </w:p>
        </w:tc>
        <w:tc>
          <w:tcPr>
            <w:tcW w:w="3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230,401</w:t>
            </w:r>
          </w:p>
        </w:tc>
      </w:tr>
      <w:tr>
        <w:trPr>
          <w:trHeight w:val="183"/>
        </w:trPr>
        <w:tc>
          <w:tcPr>
            <w:tcW w:w="3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Total debt....................</w:t>
            </w:r>
          </w:p>
        </w:tc>
        <w:tc>
          <w:tcPr>
            <w:tcW w:w="4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179,872</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118,696</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79,394</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92,361</w:t>
            </w:r>
          </w:p>
        </w:tc>
        <w:tc>
          <w:tcPr>
            <w:tcW w:w="380" w:type="dxa"/>
            <w:vAlign w:val="bottom"/>
          </w:tcPr>
          <w:p>
            <w:pPr>
              <w:spacing w:after="0"/>
              <w:rPr>
                <w:sz w:val="15"/>
                <w:szCs w:val="15"/>
                <w:color w:val="auto"/>
              </w:rPr>
            </w:pP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244,211</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82,213</w:t>
            </w:r>
          </w:p>
        </w:tc>
        <w:tc>
          <w:tcPr>
            <w:tcW w:w="3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237,381</w:t>
            </w:r>
          </w:p>
        </w:tc>
      </w:tr>
      <w:tr>
        <w:trPr>
          <w:trHeight w:val="183"/>
        </w:trPr>
        <w:tc>
          <w:tcPr>
            <w:tcW w:w="3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Total stockholders' equity....</w:t>
            </w:r>
          </w:p>
        </w:tc>
        <w:tc>
          <w:tcPr>
            <w:tcW w:w="4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184,353</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202,903</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224,488</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260,629</w:t>
            </w:r>
          </w:p>
        </w:tc>
        <w:tc>
          <w:tcPr>
            <w:tcW w:w="380" w:type="dxa"/>
            <w:vAlign w:val="bottom"/>
          </w:tcPr>
          <w:p>
            <w:pPr>
              <w:spacing w:after="0"/>
              <w:rPr>
                <w:sz w:val="15"/>
                <w:szCs w:val="15"/>
                <w:color w:val="auto"/>
              </w:rPr>
            </w:pP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297,700</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272,888</w:t>
            </w:r>
          </w:p>
        </w:tc>
        <w:tc>
          <w:tcPr>
            <w:tcW w:w="3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315,826</w:t>
            </w:r>
          </w:p>
        </w:tc>
      </w:tr>
      <w:tr>
        <w:trPr>
          <w:trHeight w:val="550"/>
        </w:trPr>
        <w:tc>
          <w:tcPr>
            <w:tcW w:w="3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22</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1520"/>
          </w:cols>
          <w:pgMar w:left="240" w:top="481" w:right="139" w:bottom="1440" w:gutter="0" w:footer="0" w:header="0"/>
        </w:sectPr>
      </w:pPr>
    </w:p>
    <w:bookmarkStart w:id="29" w:name="page30"/>
    <w:bookmarkEnd w:id="29"/>
    <w:p>
      <w:pPr>
        <w:jc w:val="center"/>
        <w:ind w:right="2679"/>
        <w:spacing w:after="0"/>
        <w:rPr>
          <w:sz w:val="20"/>
          <w:szCs w:val="20"/>
          <w:color w:val="auto"/>
        </w:rPr>
      </w:pPr>
      <w:r>
        <w:rPr>
          <w:rFonts w:ascii="Courier New" w:cs="Courier New" w:eastAsia="Courier New" w:hAnsi="Courier New"/>
          <w:sz w:val="16"/>
          <w:szCs w:val="16"/>
          <w:color w:val="auto"/>
        </w:rPr>
        <w:t>MANAGEMENT'S DISCUSSION AND ANALYSIS OF FINANCIAL CONDITION AND RESULTS</w:t>
      </w:r>
    </w:p>
    <w:p>
      <w:pPr>
        <w:spacing w:after="0" w:line="2"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OF OPERATIONS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THREE MONTHS OF 1996 COMPARED TO THREE MONTHS OF 1995 (CONSOLIDATED)</w:t>
      </w:r>
    </w:p>
    <w:p>
      <w:pPr>
        <w:spacing w:after="0" w:line="188"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Net revenues increased 23% ($51 million) for the three months ended March 31, 1996, over the comparable prior year period due primarily to the acquisitions of a 225-bed acute care facility and a 512-bed acute care facility acquired during the third quarter of 1995, net of revenue effects of three acute care facilities divested during the third and fourth quarters of 1995, and revenue growth at facilities owned during both periods. Net revenues at hospital facilities owned during both periods increased 4% ($8 million) for the three months ended March 31, 1996 over the comparable prior year period, excluding the additional revenues received from the special Medicaid reimbursements received by two of the Company's acute care facilities which participate in the Texas Medical Assistance Program. Upon meeting certain conditions of participation and serving a disproportionately high share of the state's low income patients, these hospitals became eligible and received additional reimbursements totaling $1.8 million during the first quarter of 1996 and $3.8 million during the first quarter of 1995. These programs are scheduled to terminate in August 1996 and the Company cannot predict whether these programs will continue beyond the scheduled termination date.</w:t>
      </w:r>
    </w:p>
    <w:p>
      <w:pPr>
        <w:spacing w:after="0" w:line="194"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Excluding the net revenue effects of the special Medicaid reimbursement programs mentioned above, earnings before interest, income taxes, depreciation, amortization and lease and rental expense ("EBITDAR") increased 37% ($14 million) to $51 million for the three months ended March 31, 1996 as compared to $37 million in the comparable prior year period. Overall operating margins, excluding the special Medicaid reimbursements, were 19.0% for the three months ended March 31, 1996 as compared to 17.2% in the comparable prior year period.</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ACUTE CARE SERVICES</w:t>
      </w:r>
    </w:p>
    <w:p>
      <w:pPr>
        <w:spacing w:after="0" w:line="188"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Net revenues from the Company's acute care hospitals and ambulatory treatment centers accounted for 88% and 86% of the consolidated net revenues for the three month periods ended March 31, 1996 and 1995, respectively. Net revenues at the Company's acute care hospitals owned during both periods increased 6% after excluding the revenues received from the special Medicaid reimbursements described above. Despite the continued shift in the delivery of healthcare services to outpatient care, the Company's acute care hospitals owned during both periods experienced a 6% increase in inpatient admissions and a 4% increase in patient days in 1996 as compared to 1995. Outpatient activity at the Company's acute care hospitals continues to increase as a result of advances in medical technologies, which allow more services to be provided on an outpatient basis, and increased pressure from Medicare, Medicaid, health maintenance organizations ("HMOs"), preferred provider organizations ("PPOs") and insurers to reduce hospital stays and provide services, where possible, on a less expensive outpatient basis. To accommodate the increased utilization of outpatient services, the Company has expanded or redesigned several of its outpatient facilities and services.</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BEHAVIORAL HEALTH SERVICES</w:t>
      </w:r>
    </w:p>
    <w:p>
      <w:pPr>
        <w:spacing w:after="0" w:line="188"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Net revenues from the Company's behavioral health services facilities accounted for 12% and 14% of the consolidated net revenues for the three month periods ended March 31, 1996 and 1995, respectively. Net revenues at the Company's psychiatric hospitals owned during both periods decreased 6% during the three months ended March 31, 1996 as compared to the comparable prior year period. Although the admissions, patient days and length of stay at these facilities increased approximately 1% during the 1996 quarter as compared to the 1995 quarter, the decrease in net revenues resulted primarily from the fact that residential treatment days, which reimburse the Company at lower rates</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481" w:right="1440" w:bottom="1440" w:gutter="0" w:footer="0" w:header="0"/>
        </w:sectPr>
      </w:pPr>
    </w:p>
    <w:bookmarkStart w:id="30" w:name="page31"/>
    <w:bookmarkEnd w:id="30"/>
    <w:p>
      <w:pPr>
        <w:ind w:right="2679"/>
        <w:spacing w:after="0" w:line="242" w:lineRule="auto"/>
        <w:rPr>
          <w:sz w:val="20"/>
          <w:szCs w:val="20"/>
          <w:color w:val="auto"/>
        </w:rPr>
      </w:pPr>
      <w:r>
        <w:rPr>
          <w:rFonts w:ascii="Courier New" w:cs="Courier New" w:eastAsia="Courier New" w:hAnsi="Courier New"/>
          <w:sz w:val="16"/>
          <w:szCs w:val="16"/>
          <w:color w:val="auto"/>
        </w:rPr>
        <w:t>per day as compared to other behavioral health care services, constituted a greater percentage of patient days than in the prior year period. The Company's behavioral health care facilities have continued to be affected by changes in the delivery of psychiatric services and continued cost containment pressures from payors which includes a greater emphasis on the utilization of outpatient services. Management of the Company has responded to these trends by developing and marketing new outpatient treatment programs.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OPERATING RESULTS</w:t>
      </w:r>
    </w:p>
    <w:p>
      <w:pPr>
        <w:spacing w:after="0" w:line="188" w:lineRule="exact"/>
        <w:rPr>
          <w:sz w:val="20"/>
          <w:szCs w:val="20"/>
          <w:color w:val="auto"/>
        </w:rPr>
      </w:pPr>
    </w:p>
    <w:p>
      <w:pPr>
        <w:ind w:right="2599" w:firstLine="382"/>
        <w:spacing w:after="0" w:line="241" w:lineRule="auto"/>
        <w:rPr>
          <w:sz w:val="20"/>
          <w:szCs w:val="20"/>
          <w:color w:val="auto"/>
        </w:rPr>
      </w:pPr>
      <w:r>
        <w:rPr>
          <w:rFonts w:ascii="Courier New" w:cs="Courier New" w:eastAsia="Courier New" w:hAnsi="Courier New"/>
          <w:sz w:val="16"/>
          <w:szCs w:val="16"/>
          <w:color w:val="auto"/>
        </w:rPr>
        <w:t>Depreciation and amortization expense increased 31% to $3.5 million for the three months ended March 31, 1996 as compared to the comparable prior year period due primarily to the Company's acquisition of two acute care hospitals in July and August of 1995, partially offset by the effect of three acute care facilities divested in July and October of 1995.</w:t>
      </w:r>
    </w:p>
    <w:p>
      <w:pPr>
        <w:spacing w:after="0" w:line="190" w:lineRule="exact"/>
        <w:rPr>
          <w:sz w:val="20"/>
          <w:szCs w:val="20"/>
          <w:color w:val="auto"/>
        </w:rPr>
      </w:pPr>
    </w:p>
    <w:p>
      <w:pPr>
        <w:ind w:right="2679" w:firstLine="382"/>
        <w:spacing w:after="0" w:line="241" w:lineRule="auto"/>
        <w:rPr>
          <w:sz w:val="20"/>
          <w:szCs w:val="20"/>
          <w:color w:val="auto"/>
        </w:rPr>
      </w:pPr>
      <w:r>
        <w:rPr>
          <w:rFonts w:ascii="Courier New" w:cs="Courier New" w:eastAsia="Courier New" w:hAnsi="Courier New"/>
          <w:sz w:val="16"/>
          <w:szCs w:val="16"/>
          <w:color w:val="auto"/>
        </w:rPr>
        <w:t>Interest expense increased $3.0 million for the three month period ended March 31, 1996 over the 1995 quarter due primarily to increased borrowings used to finance the purchase of two acute care hospitals during the third quarter of 1995.</w:t>
      </w:r>
    </w:p>
    <w:p>
      <w:pPr>
        <w:spacing w:after="0" w:line="189" w:lineRule="exact"/>
        <w:rPr>
          <w:sz w:val="20"/>
          <w:szCs w:val="20"/>
          <w:color w:val="auto"/>
        </w:rPr>
      </w:pPr>
    </w:p>
    <w:p>
      <w:pPr>
        <w:ind w:right="2879" w:firstLine="382"/>
        <w:spacing w:after="0"/>
        <w:rPr>
          <w:sz w:val="20"/>
          <w:szCs w:val="20"/>
          <w:color w:val="auto"/>
        </w:rPr>
      </w:pPr>
      <w:r>
        <w:rPr>
          <w:rFonts w:ascii="Courier New" w:cs="Courier New" w:eastAsia="Courier New" w:hAnsi="Courier New"/>
          <w:sz w:val="16"/>
          <w:szCs w:val="16"/>
          <w:color w:val="auto"/>
        </w:rPr>
        <w:t>The effective tax rate was 36% and 39% for the three month periods ended March 31, 1996 and 1995, respectively. The decrease in the effective rate was due primarily to the financing of employee benefit programs.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 TRENDS</w:t>
      </w:r>
    </w:p>
    <w:p>
      <w:pPr>
        <w:spacing w:after="0" w:line="188"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An increased proportion of the Company's revenue is derived from fixed payment services, including Medicare and Medicaid which accounted for 48% and 43% of the Company's net patient revenues for the three months ended March 31, 1996 and 1995, respectively, excluding the additional revenues from special Medicaid reimbursement programs. The Medicare program reimburses the Company's hospitals primarily based on established rates by a diagnosis related group for acute care hospitals and by cost-based formulae for psychiatric hospitals.</w:t>
      </w:r>
    </w:p>
    <w:p>
      <w:pPr>
        <w:spacing w:after="0" w:line="188"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In addition, other payors continue to actively negotiate the amounts they will pay for services performed. In general, the Company expects the percentage of its business from managed care programs to grow, including HMOs, PPOs and Medicare and Medicaid beneficiaries enrolled in such programs. The consequent growth in managed care networks and the resulting impact of these networks on the operating results of the Company's facilities vary among the markets in which the Company operates.</w:t>
      </w:r>
    </w:p>
    <w:p>
      <w:pPr>
        <w:spacing w:after="0" w:line="188"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In addition to the trends described above that continue to have an impact on operating results, there are a number of other, more general factors affecting the Company's business. Both the House of Representatives and the Senate are considering legislation providing for substantial Medicare savings over an extended period, including reductions in payments to hospitals, which would limit the rate of growth of the program. The Company cannot predict what new legislation may ultimately be enacted, and if enacted, no assurance can be given that the implementation of such reforms will not have a material adverse effect on the Company's business. In Texas, a law has been passed which mandates that the state senate apply for a waiver from current Medicaid regulations to allow the state to require that certain Medicaid participants be serviced through managed care providers. The Company is unable to predict whether Texas will be granted such a waiver or the effect on the Company's business of such waiver. See "Risk Factors--Health Reform Legislation."</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1995 COMPARED TO 1994 AND 1993 (CONSOLIDATED)</w:t>
      </w:r>
    </w:p>
    <w:p>
      <w:pPr>
        <w:spacing w:after="0" w:line="188" w:lineRule="exact"/>
        <w:rPr>
          <w:sz w:val="20"/>
          <w:szCs w:val="20"/>
          <w:color w:val="auto"/>
        </w:rPr>
      </w:pPr>
    </w:p>
    <w:p>
      <w:pPr>
        <w:ind w:right="2679" w:firstLine="382"/>
        <w:spacing w:after="0"/>
        <w:rPr>
          <w:sz w:val="20"/>
          <w:szCs w:val="20"/>
          <w:color w:val="auto"/>
        </w:rPr>
      </w:pPr>
      <w:r>
        <w:rPr>
          <w:rFonts w:ascii="Courier New" w:cs="Courier New" w:eastAsia="Courier New" w:hAnsi="Courier New"/>
          <w:sz w:val="16"/>
          <w:szCs w:val="16"/>
          <w:color w:val="auto"/>
        </w:rPr>
        <w:t>Net revenues increased 19% ($149 million) to $931 million in 1995 over 1994 and 3% ($21 million) to $782 million in 1994 as compared to 1993. The increase during 1995 was primarily attributable to</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484" w:right="1440" w:bottom="1440" w:gutter="0" w:footer="0" w:header="0"/>
        </w:sectPr>
      </w:pPr>
    </w:p>
    <w:bookmarkStart w:id="31" w:name="page32"/>
    <w:bookmarkEnd w:id="31"/>
    <w:p>
      <w:pPr>
        <w:ind w:right="2599"/>
        <w:spacing w:after="0" w:line="242" w:lineRule="auto"/>
        <w:rPr>
          <w:sz w:val="20"/>
          <w:szCs w:val="20"/>
          <w:color w:val="auto"/>
        </w:rPr>
      </w:pPr>
      <w:r>
        <w:rPr>
          <w:rFonts w:ascii="Courier New" w:cs="Courier New" w:eastAsia="Courier New" w:hAnsi="Courier New"/>
          <w:sz w:val="16"/>
          <w:szCs w:val="16"/>
          <w:color w:val="auto"/>
        </w:rPr>
        <w:t>revenues generated at two acute care facilities acquired by the Company during 1995 net of the revenue effects of the three acute care facilities divested during the year ($58 million), revenue growth at acute care facilities owned during both years ($44 million) and a full year of revenue generated at an acute care facility acquired by the Company in November 1994 ($29 million). The increase in net revenues in 1994 as compared to 1993 resulted primarily from revenue growth at facilities owned during both years and the acquisition and development of ambulatory treatment centers.</w:t>
      </w:r>
    </w:p>
    <w:p>
      <w:pPr>
        <w:spacing w:after="0" w:line="189" w:lineRule="exact"/>
        <w:rPr>
          <w:sz w:val="20"/>
          <w:szCs w:val="20"/>
          <w:color w:val="auto"/>
        </w:rPr>
      </w:pPr>
    </w:p>
    <w:p>
      <w:pPr>
        <w:ind w:right="2599" w:firstLine="382"/>
        <w:spacing w:after="0" w:line="259" w:lineRule="auto"/>
        <w:rPr>
          <w:sz w:val="20"/>
          <w:szCs w:val="20"/>
          <w:color w:val="auto"/>
        </w:rPr>
      </w:pPr>
      <w:r>
        <w:rPr>
          <w:rFonts w:ascii="Courier New" w:cs="Courier New" w:eastAsia="Courier New" w:hAnsi="Courier New"/>
          <w:sz w:val="15"/>
          <w:szCs w:val="15"/>
          <w:color w:val="auto"/>
        </w:rPr>
        <w:t>Net revenues at hospital facilities owned during all three periods increased by 7% ($47 million) in 1995 over 1994 and 7% ($42 million) in 1994 over 1993, excluding the additional revenues received by two of the Company's acute care facilities which participate in the Texas Medical Assistance Program. Upon meeting certain conditions of participation and serving a disproportionately high share of the state's low income patients, these two hospitals became eligible and received additional reimbursements totalling $12.6 million in 1995, $12.7 million in 1994 and $13.5 million in 1993. These programs are scheduled to terminate in August 1996 and the Company cannot predict whether these programs will continue beyond the scheduled termination date. The Company acquired a</w:t>
      </w:r>
    </w:p>
    <w:p>
      <w:pPr>
        <w:ind w:right="2679"/>
        <w:spacing w:after="0" w:line="261" w:lineRule="auto"/>
        <w:rPr>
          <w:sz w:val="20"/>
          <w:szCs w:val="20"/>
          <w:color w:val="auto"/>
        </w:rPr>
      </w:pPr>
      <w:r>
        <w:rPr>
          <w:rFonts w:ascii="Courier New" w:cs="Courier New" w:eastAsia="Courier New" w:hAnsi="Courier New"/>
          <w:sz w:val="15"/>
          <w:szCs w:val="15"/>
          <w:color w:val="auto"/>
        </w:rPr>
        <w:t>225-bed acute care hospital in July 1995 and a 512-bed acute care hospital in August 1995 which contributed combined net revenues of $89 million during 1995. The Company divested three acute care hospitals during 1995 and two acute care hospitals during 1993 which contributed combined net revenues of $50 million, $81 million and $115 million during 1995, 1994 and 1993, respectively. Net revenues at the Company's ambulatory treatment centers increased to $23 million in 1995 from $17 million in 1994 and $11 million in 1993.</w:t>
      </w:r>
    </w:p>
    <w:p>
      <w:pPr>
        <w:spacing w:after="0" w:line="174" w:lineRule="exact"/>
        <w:rPr>
          <w:sz w:val="20"/>
          <w:szCs w:val="20"/>
          <w:color w:val="auto"/>
        </w:rPr>
      </w:pPr>
    </w:p>
    <w:p>
      <w:pPr>
        <w:ind w:right="2879" w:firstLine="382"/>
        <w:spacing w:after="0" w:line="259" w:lineRule="auto"/>
        <w:rPr>
          <w:sz w:val="20"/>
          <w:szCs w:val="20"/>
          <w:color w:val="auto"/>
        </w:rPr>
      </w:pPr>
      <w:r>
        <w:rPr>
          <w:rFonts w:ascii="Courier New" w:cs="Courier New" w:eastAsia="Courier New" w:hAnsi="Courier New"/>
          <w:sz w:val="15"/>
          <w:szCs w:val="15"/>
          <w:color w:val="auto"/>
        </w:rPr>
        <w:t>Excluding the revenue effects of the special Medicaid reimbursement programs, EBITDAR increased to $151 million in 1995 from $127 million in 1994 and $113 million in 1993. The Company's consolidated operating margins were</w:t>
      </w:r>
    </w:p>
    <w:p>
      <w:pPr>
        <w:ind w:right="2599"/>
        <w:spacing w:after="0" w:line="242" w:lineRule="auto"/>
        <w:rPr>
          <w:sz w:val="20"/>
          <w:szCs w:val="20"/>
          <w:color w:val="auto"/>
        </w:rPr>
      </w:pPr>
      <w:r>
        <w:rPr>
          <w:rFonts w:ascii="Courier New" w:cs="Courier New" w:eastAsia="Courier New" w:hAnsi="Courier New"/>
          <w:sz w:val="16"/>
          <w:szCs w:val="16"/>
          <w:color w:val="auto"/>
        </w:rPr>
        <w:t>16.4% in 1995, 16.5% in 1994 and 15.1% in 1993. While operating margins at the Company's acute care and behavioral health services facilities owned during both 1995 and 1994 increased, the Company's consolidated margin was lower in 1995 as compared to 1994 due to losses sustained at the three acute care facilities divested during 1995. The improvement in the Company's consolidated operating margins in 1994 compared to 1993 was due primarily to the divestiture of two low margin acute care facilities in 1993 and lower insurance expense in 1994 as compared to 1993.</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ACUTE CARE SERVICES</w:t>
      </w:r>
    </w:p>
    <w:p>
      <w:pPr>
        <w:spacing w:after="0" w:line="188" w:lineRule="exact"/>
        <w:rPr>
          <w:sz w:val="20"/>
          <w:szCs w:val="20"/>
          <w:color w:val="auto"/>
        </w:rPr>
      </w:pPr>
    </w:p>
    <w:p>
      <w:pPr>
        <w:ind w:right="2599" w:firstLine="382"/>
        <w:spacing w:after="0"/>
        <w:rPr>
          <w:sz w:val="20"/>
          <w:szCs w:val="20"/>
          <w:color w:val="auto"/>
        </w:rPr>
      </w:pPr>
      <w:r>
        <w:rPr>
          <w:rFonts w:ascii="Courier New" w:cs="Courier New" w:eastAsia="Courier New" w:hAnsi="Courier New"/>
          <w:sz w:val="16"/>
          <w:szCs w:val="16"/>
          <w:color w:val="auto"/>
        </w:rPr>
        <w:t>Net revenues from the Company's acute care hospitals and ambulatory treatment centers accounted for 86%, 85% and 84% of consolidated net revenues in 1995, 1994 and 1993, respectively.</w:t>
      </w:r>
    </w:p>
    <w:p>
      <w:pPr>
        <w:spacing w:after="0" w:line="190"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Net revenues at the Company's acute care hospitals owned during each of the last three years increased 9% in 1995 over 1994 and 10% in 1994 over 1993, after excluding the revenues received from the special Medicaid reimbursements described above. Despite the continued shift in the delivery of healthcare services to outpatient care, the Company's acute care hospitals experienced a 9% increase in inpatient admissions and a 5% increase in patient days in 1995 as compared to 1994 due primarily to increased impatient volume at two of the Company's larger facilities. Admissions and patient days at acute care facilities owned during each of the last three years increased 10% and 8%, respectively, in 1994 as compared to 1993 due primarily to additional capacity and expansion of service lines at two of the Company's larger facilities. Outpatient activity at the Company's acute care hospitals continues to increase as gross outpatient revenues at these hospitals increased 17% in 1995 over 1994 and 15% in 1994 over 1993 and comprised 22% of the Company's gross patient revenues in each of the last three years. The increase is primarily the result of advances in medical technologies, which allow more services to be provided on an outpatient basis, and increased pressure from Medicare, Medicaid, HMOs, PPOs and insurers to reduce hospital stays and provide services, where possible, on a less expensive outpatient basis. To accommodate the increased utilization of outpatient services, the Company has expanded or redesigned several of its outpatient facilities and services.</w:t>
      </w:r>
    </w:p>
    <w:p>
      <w:pPr>
        <w:spacing w:after="0" w:line="19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484" w:right="1440" w:bottom="1440" w:gutter="0" w:footer="0" w:header="0"/>
        </w:sectPr>
      </w:pPr>
    </w:p>
    <w:bookmarkStart w:id="32" w:name="page33"/>
    <w:bookmarkEnd w:id="32"/>
    <w:p>
      <w:pPr>
        <w:ind w:right="2599" w:firstLine="382"/>
        <w:spacing w:after="0" w:line="242" w:lineRule="auto"/>
        <w:rPr>
          <w:sz w:val="20"/>
          <w:szCs w:val="20"/>
          <w:color w:val="auto"/>
        </w:rPr>
      </w:pPr>
      <w:r>
        <w:rPr>
          <w:rFonts w:ascii="Courier New" w:cs="Courier New" w:eastAsia="Courier New" w:hAnsi="Courier New"/>
          <w:sz w:val="16"/>
          <w:szCs w:val="16"/>
          <w:color w:val="auto"/>
        </w:rPr>
        <w:t>To take advantage of the trend toward increased outpatient services, the Company has continued to invest in the acquisition and development of outpatient surgery and radiation therapy centers. As of December 31, 1995, the Company operated or managed twenty-five outpatient treatment centers, including four added during 1995, which have contributed to the increase in the Company's outpatient revenues. The Company expects the growth in outpatient services to continue, although the rate of growth may be moderated in the future.</w:t>
      </w:r>
    </w:p>
    <w:p>
      <w:pPr>
        <w:spacing w:after="0" w:line="371"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Excluding the revenues received from the special Medicaid reimbursements described above, operating margins (EBITDAR) at the Company's acute care hospitals owned during all three years were 22.6%, 22.1% and 21.3% in 1995, 1994 and 1993, respectively. The improvement in 1995 over 1994 was primarily the result of increased operating margins at certain of the Company's acute care facilities. The margin improvement in 1994 over 1993 resulted primarily from lower insurance expense. Although the Company's acute care operating margins have increased during the last three years, pressure on operating margins is expected to continue due to the industry-wide trend away from charge-based payors which limits the Company's ability to increase its prices.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BEHAVIORAL HEALTH SERVICES</w:t>
      </w:r>
    </w:p>
    <w:p>
      <w:pPr>
        <w:spacing w:after="0" w:line="188" w:lineRule="exact"/>
        <w:rPr>
          <w:sz w:val="20"/>
          <w:szCs w:val="20"/>
          <w:color w:val="auto"/>
        </w:rPr>
      </w:pPr>
    </w:p>
    <w:p>
      <w:pPr>
        <w:ind w:right="2599" w:firstLine="382"/>
        <w:spacing w:after="0" w:line="259" w:lineRule="auto"/>
        <w:rPr>
          <w:sz w:val="20"/>
          <w:szCs w:val="20"/>
          <w:color w:val="auto"/>
        </w:rPr>
      </w:pPr>
      <w:r>
        <w:rPr>
          <w:rFonts w:ascii="Courier New" w:cs="Courier New" w:eastAsia="Courier New" w:hAnsi="Courier New"/>
          <w:sz w:val="15"/>
          <w:szCs w:val="15"/>
          <w:color w:val="auto"/>
        </w:rPr>
        <w:t>Net revenues from the Company's behavioral health services hospitals accounted for 13%, 14% and 15% of consolidated net revenues in 1995, 1994 and 1993, respectively. Net revenues at the Company's behavioral health hospitals owned during each of the last three years increased 1% in 1995 over 1994 and decreased 7% in 1994 as compared to 1993. The increase in 1995 over 1994 resulted primarily from a 4% increase in admissions and a 2% increase in patient days while the average length of stay decreased 2% to 13.5 days in 1995 from</w:t>
      </w:r>
    </w:p>
    <w:p>
      <w:pPr>
        <w:ind w:right="2599"/>
        <w:spacing w:after="0" w:line="242" w:lineRule="auto"/>
        <w:rPr>
          <w:sz w:val="20"/>
          <w:szCs w:val="20"/>
          <w:color w:val="auto"/>
        </w:rPr>
      </w:pPr>
      <w:r>
        <w:rPr>
          <w:rFonts w:ascii="Courier New" w:cs="Courier New" w:eastAsia="Courier New" w:hAnsi="Courier New"/>
          <w:sz w:val="16"/>
          <w:szCs w:val="16"/>
          <w:color w:val="auto"/>
        </w:rPr>
        <w:t>13.8 days in 1994. During 1994 admissions increased 12% over 1993 while patient days decreased 3% due to a 13% decrease in the average length of stay to 13.8 days in 1994 from 15.8 days in 1993. The reduction in the average length of stay during the last three years is a result of changing practices in the delivery of psychiatric services and continued cost containment pressures from payors which includes a greater emphasis on the utilization of outpatient services. Management of the Company has responded to these trends by developing and marketing new outpatient treatment programs. The shift to outpatient care is reflected in higher revenues from outpatient services, as gross outpatient revenues at the Company's behavioral health services hospitals increased 10% in 1995 over 1994 and 17% in 1994 over 1993 and now comprises 16% of the Company's behavioral health services gross patient revenues as compared to 15% in 1994 and 13% in 1993.</w:t>
      </w:r>
    </w:p>
    <w:p>
      <w:pPr>
        <w:spacing w:after="0" w:line="192"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Operating margins (EBITDAR) at the facilities owned during all three years were 19.7% in 1995, 15.8% in 1994 and 21.5% in 1993. The increase in the profit margin in 1995 as compared to 1994 was caused by an increase in admissions, stabilization in length of stay and cost reductions implemented in response to the managed care environment. The decrease in the profit margin in 1994 as compared to 1993 was primarily caused by the decrease in net revenues at certain facilities which declined due to an increase in Medicaid denials, a decrease in days of care delivered and a decline in the net revenue per day.</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OPERATING RESULTS</w:t>
      </w:r>
    </w:p>
    <w:p>
      <w:pPr>
        <w:spacing w:after="0" w:line="188"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During 1995, the Company recorded $11.6 million of net nonrecurring charges which consists of: (i) a $14.2 million pre-tax charge due to impairment of long-lived assets; (ii) a $2.7 million loss on disposal of two acute care facilities which were exchanged along with $44 million of cash for a 225-bed acute care hospital; and (iii) a $5.3 million pre-tax gain realized on the sale of a 202-bed acute care hospital which was divested during the fourth quarter of 1995 for cash proceeds of $19.5 million.</w:t>
      </w:r>
    </w:p>
    <w:p>
      <w:pPr>
        <w:spacing w:after="0" w:line="188" w:lineRule="exact"/>
        <w:rPr>
          <w:sz w:val="20"/>
          <w:szCs w:val="20"/>
          <w:color w:val="auto"/>
        </w:rPr>
      </w:pPr>
    </w:p>
    <w:p>
      <w:pPr>
        <w:ind w:right="2599" w:firstLine="382"/>
        <w:spacing w:after="0" w:line="241" w:lineRule="auto"/>
        <w:rPr>
          <w:sz w:val="20"/>
          <w:szCs w:val="20"/>
          <w:color w:val="auto"/>
        </w:rPr>
      </w:pPr>
      <w:r>
        <w:rPr>
          <w:rFonts w:ascii="Courier New" w:cs="Courier New" w:eastAsia="Courier New" w:hAnsi="Courier New"/>
          <w:sz w:val="16"/>
          <w:szCs w:val="16"/>
          <w:color w:val="auto"/>
        </w:rPr>
        <w:t>As discussed elsewhere, changes in third party payment methods, advances in medical technologies, legislative and regulatory initiatives at the Federal and state levels along with increased competition from other providers have impacted operating margins at the Company's facilities in recent years.</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667" w:right="1440" w:bottom="1440" w:gutter="0" w:footer="0" w:header="0"/>
        </w:sectPr>
      </w:pPr>
    </w:p>
    <w:bookmarkStart w:id="33" w:name="page34"/>
    <w:bookmarkEnd w:id="33"/>
    <w:p>
      <w:pPr>
        <w:ind w:left="2" w:right="2779"/>
        <w:spacing w:after="0"/>
        <w:rPr>
          <w:sz w:val="20"/>
          <w:szCs w:val="20"/>
          <w:color w:val="auto"/>
        </w:rPr>
      </w:pPr>
      <w:r>
        <w:rPr>
          <w:rFonts w:ascii="Courier New" w:cs="Courier New" w:eastAsia="Courier New" w:hAnsi="Courier New"/>
          <w:sz w:val="16"/>
          <w:szCs w:val="16"/>
          <w:color w:val="auto"/>
        </w:rPr>
        <w:t>These industry conditions have adversely impacted certain of the Company's specialized facilities and certain of the Company's smaller facilities in more competitive markets.</w:t>
      </w:r>
    </w:p>
    <w:p>
      <w:pPr>
        <w:spacing w:after="0" w:line="190" w:lineRule="exact"/>
        <w:rPr>
          <w:sz w:val="20"/>
          <w:szCs w:val="20"/>
          <w:color w:val="auto"/>
        </w:rPr>
      </w:pPr>
    </w:p>
    <w:p>
      <w:pPr>
        <w:ind w:left="2" w:right="2599" w:firstLine="382"/>
        <w:spacing w:after="0" w:line="242" w:lineRule="auto"/>
        <w:rPr>
          <w:sz w:val="20"/>
          <w:szCs w:val="20"/>
          <w:color w:val="auto"/>
        </w:rPr>
      </w:pPr>
      <w:r>
        <w:rPr>
          <w:rFonts w:ascii="Courier New" w:cs="Courier New" w:eastAsia="Courier New" w:hAnsi="Courier New"/>
          <w:sz w:val="16"/>
          <w:szCs w:val="16"/>
          <w:color w:val="auto"/>
        </w:rPr>
        <w:t>In conjunction with the development of the Company's operating plan and 1996 budget, management assessed the current competitive position of these facilities and estimated future cash flows expected from these facilities. As a result, the Company recorded a $14.2 million pre-tax charge during 1995 to write-down the carrying value of certain intangible and tangible assets at these facilities. In measuring the impairment loss, the Company estimated fair value by discounting expected future cash flows from each facility using the Company's internal hurdle rate. The impairment loss primarily related to four facilities in the Company's behavioral health services division and three facilities in its ambulatory treatment center division.</w:t>
      </w:r>
    </w:p>
    <w:p>
      <w:pPr>
        <w:spacing w:after="0" w:line="190" w:lineRule="exact"/>
        <w:rPr>
          <w:sz w:val="20"/>
          <w:szCs w:val="20"/>
          <w:color w:val="auto"/>
        </w:rPr>
      </w:pPr>
    </w:p>
    <w:p>
      <w:pPr>
        <w:ind w:left="2" w:right="2599" w:firstLine="382"/>
        <w:spacing w:after="0" w:line="242" w:lineRule="auto"/>
        <w:rPr>
          <w:sz w:val="20"/>
          <w:szCs w:val="20"/>
          <w:color w:val="auto"/>
        </w:rPr>
      </w:pPr>
      <w:r>
        <w:rPr>
          <w:rFonts w:ascii="Courier New" w:cs="Courier New" w:eastAsia="Courier New" w:hAnsi="Courier New"/>
          <w:sz w:val="16"/>
          <w:szCs w:val="16"/>
          <w:color w:val="auto"/>
        </w:rPr>
        <w:t>During 1995, the impact of managed care was most dramatically felt at the Company's free standing chemical dependency and residential treatment centers. The Company operates two chemical dependency facilities with combined 1995 net revenues of $8.6 million. Substantially all of the non-Medicare business at these facilities is now managed to a large degree by third-party payors. The increased penetration of managed care into this segment has resulted in a continued shift from inpatient care as the primary treatment model to a detoxification/partial hospitalization program resulting in fewer admissions and patient days. Combined with increasing emphasis by payors on price as the most important variable among providers and the increased competition resulting from acute care providers expanding to offer dual diagnosis and ambulatory detoxification services, the Company has determined that both profit margins and volumes at these facilities have been permanently impaired. In addition, CHAMPUS patients account for a significant portion of the Company's net revenue at its two residential treatment centers which had combined net revenues of $10.9 million in 1995. Changes in CHAMPUS regulations and managed care penetration into this segment of the business have driven down lengths of stay dramatically. At these facilities, whose profitability is largely dependent on very long lengths of stay, the decline in the average length of stay has resulted in a permanent impairment.</w:t>
      </w:r>
    </w:p>
    <w:p>
      <w:pPr>
        <w:spacing w:after="0" w:line="196" w:lineRule="exact"/>
        <w:rPr>
          <w:sz w:val="20"/>
          <w:szCs w:val="20"/>
          <w:color w:val="auto"/>
        </w:rPr>
      </w:pPr>
    </w:p>
    <w:p>
      <w:pPr>
        <w:ind w:left="2" w:right="2599" w:firstLine="382"/>
        <w:spacing w:after="0" w:line="242" w:lineRule="auto"/>
        <w:rPr>
          <w:sz w:val="20"/>
          <w:szCs w:val="20"/>
          <w:color w:val="auto"/>
        </w:rPr>
      </w:pPr>
      <w:r>
        <w:rPr>
          <w:rFonts w:ascii="Courier New" w:cs="Courier New" w:eastAsia="Courier New" w:hAnsi="Courier New"/>
          <w:sz w:val="16"/>
          <w:szCs w:val="16"/>
          <w:color w:val="auto"/>
        </w:rPr>
        <w:t>Within the Company's ambulatory treatment center division, three centers with combined 1995 net revenues of $3.7 million, are located in highly competitive markets which have become heavily penetrated with managed care. As a result, net revenues per case and case volumes at these centers have decreased 11% and 7%, respectively, in 1995 as compared to 1994 due primarily to increased influence of payors, increased monitoring of outpatient services and willingness of hospitals to compete with ambulatory treatment centers on price. The Company expects these unfavorable trends to continue within these two geographical markets resulting in a permanent impairment.</w:t>
      </w:r>
    </w:p>
    <w:p>
      <w:pPr>
        <w:spacing w:after="0" w:line="186"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3580" w:type="dxa"/>
            <w:vAlign w:val="bottom"/>
            <w:gridSpan w:val="3"/>
          </w:tcPr>
          <w:p>
            <w:pPr>
              <w:ind w:left="380"/>
              <w:spacing w:after="0"/>
              <w:rPr>
                <w:sz w:val="20"/>
                <w:szCs w:val="20"/>
                <w:color w:val="auto"/>
              </w:rPr>
            </w:pPr>
            <w:r>
              <w:rPr>
                <w:rFonts w:ascii="Courier New" w:cs="Courier New" w:eastAsia="Courier New" w:hAnsi="Courier New"/>
                <w:sz w:val="16"/>
                <w:szCs w:val="16"/>
                <w:color w:val="auto"/>
              </w:rPr>
              <w:t>During 1994, nonrecurring charges</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of $9.8</w:t>
            </w:r>
          </w:p>
        </w:tc>
        <w:tc>
          <w:tcPr>
            <w:tcW w:w="12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million were</w:t>
            </w:r>
          </w:p>
        </w:tc>
        <w:tc>
          <w:tcPr>
            <w:tcW w:w="2040" w:type="dxa"/>
            <w:vAlign w:val="bottom"/>
          </w:tcPr>
          <w:p>
            <w:pPr>
              <w:ind w:left="40"/>
              <w:spacing w:after="0"/>
              <w:rPr>
                <w:sz w:val="20"/>
                <w:szCs w:val="20"/>
                <w:color w:val="auto"/>
              </w:rPr>
            </w:pPr>
            <w:r>
              <w:rPr>
                <w:rFonts w:ascii="Courier New" w:cs="Courier New" w:eastAsia="Courier New" w:hAnsi="Courier New"/>
                <w:sz w:val="16"/>
                <w:szCs w:val="16"/>
                <w:color w:val="auto"/>
              </w:rPr>
              <w:t>recorded consisting</w:t>
            </w:r>
          </w:p>
        </w:tc>
      </w:tr>
      <w:tr>
        <w:trPr>
          <w:trHeight w:val="183"/>
        </w:trPr>
        <w:tc>
          <w:tcPr>
            <w:tcW w:w="2720" w:type="dxa"/>
            <w:vAlign w:val="bottom"/>
          </w:tcPr>
          <w:p>
            <w:pPr>
              <w:spacing w:after="0"/>
              <w:rPr>
                <w:sz w:val="20"/>
                <w:szCs w:val="20"/>
                <w:color w:val="auto"/>
              </w:rPr>
            </w:pPr>
            <w:r>
              <w:rPr>
                <w:rFonts w:ascii="Courier New" w:cs="Courier New" w:eastAsia="Courier New" w:hAnsi="Courier New"/>
                <w:sz w:val="16"/>
                <w:szCs w:val="16"/>
                <w:color w:val="auto"/>
              </w:rPr>
              <w:t>of the following: (i) a $4.3</w:t>
            </w:r>
          </w:p>
        </w:tc>
        <w:tc>
          <w:tcPr>
            <w:tcW w:w="2180" w:type="dxa"/>
            <w:vAlign w:val="bottom"/>
            <w:gridSpan w:val="4"/>
          </w:tcPr>
          <w:p>
            <w:pPr>
              <w:ind w:left="40"/>
              <w:spacing w:after="0"/>
              <w:rPr>
                <w:sz w:val="20"/>
                <w:szCs w:val="20"/>
                <w:color w:val="auto"/>
              </w:rPr>
            </w:pPr>
            <w:r>
              <w:rPr>
                <w:rFonts w:ascii="Courier New" w:cs="Courier New" w:eastAsia="Courier New" w:hAnsi="Courier New"/>
                <w:sz w:val="16"/>
                <w:szCs w:val="16"/>
                <w:color w:val="auto"/>
              </w:rPr>
              <w:t>million estimated loss</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on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the</w:t>
            </w:r>
          </w:p>
        </w:tc>
        <w:tc>
          <w:tcPr>
            <w:tcW w:w="2040" w:type="dxa"/>
            <w:vAlign w:val="bottom"/>
          </w:tcPr>
          <w:p>
            <w:pPr>
              <w:ind w:left="40"/>
              <w:spacing w:after="0"/>
              <w:rPr>
                <w:sz w:val="20"/>
                <w:szCs w:val="20"/>
                <w:color w:val="auto"/>
              </w:rPr>
            </w:pPr>
            <w:r>
              <w:rPr>
                <w:rFonts w:ascii="Courier New" w:cs="Courier New" w:eastAsia="Courier New" w:hAnsi="Courier New"/>
                <w:sz w:val="16"/>
                <w:szCs w:val="16"/>
                <w:color w:val="auto"/>
                <w:w w:val="98"/>
              </w:rPr>
              <w:t>disposal of two acute</w:t>
            </w:r>
          </w:p>
        </w:tc>
      </w:tr>
      <w:tr>
        <w:trPr>
          <w:trHeight w:val="183"/>
        </w:trPr>
        <w:tc>
          <w:tcPr>
            <w:tcW w:w="3580" w:type="dxa"/>
            <w:vAlign w:val="bottom"/>
            <w:gridSpan w:val="3"/>
          </w:tcPr>
          <w:p>
            <w:pPr>
              <w:spacing w:after="0"/>
              <w:rPr>
                <w:sz w:val="20"/>
                <w:szCs w:val="20"/>
                <w:color w:val="auto"/>
              </w:rPr>
            </w:pPr>
            <w:r>
              <w:rPr>
                <w:rFonts w:ascii="Courier New" w:cs="Courier New" w:eastAsia="Courier New" w:hAnsi="Courier New"/>
                <w:sz w:val="16"/>
                <w:szCs w:val="16"/>
                <w:color w:val="auto"/>
              </w:rPr>
              <w:t>care facilities mentioned above; (ii)</w:t>
            </w:r>
          </w:p>
        </w:tc>
        <w:tc>
          <w:tcPr>
            <w:tcW w:w="200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9"/>
              </w:rPr>
              <w:t>a $2.8 write-down of</w:t>
            </w:r>
          </w:p>
        </w:tc>
        <w:tc>
          <w:tcPr>
            <w:tcW w:w="2040" w:type="dxa"/>
            <w:vAlign w:val="bottom"/>
          </w:tcPr>
          <w:p>
            <w:pPr>
              <w:ind w:left="40"/>
              <w:spacing w:after="0"/>
              <w:rPr>
                <w:sz w:val="20"/>
                <w:szCs w:val="20"/>
                <w:color w:val="auto"/>
              </w:rPr>
            </w:pPr>
            <w:r>
              <w:rPr>
                <w:rFonts w:ascii="Courier New" w:cs="Courier New" w:eastAsia="Courier New" w:hAnsi="Courier New"/>
                <w:sz w:val="16"/>
                <w:szCs w:val="16"/>
                <w:color w:val="auto"/>
                <w:w w:val="98"/>
              </w:rPr>
              <w:t>the carrying value of</w:t>
            </w:r>
          </w:p>
        </w:tc>
      </w:tr>
      <w:tr>
        <w:trPr>
          <w:trHeight w:val="183"/>
        </w:trPr>
        <w:tc>
          <w:tcPr>
            <w:tcW w:w="2720" w:type="dxa"/>
            <w:vAlign w:val="bottom"/>
          </w:tcPr>
          <w:p>
            <w:pPr>
              <w:spacing w:after="0"/>
              <w:rPr>
                <w:sz w:val="20"/>
                <w:szCs w:val="20"/>
                <w:color w:val="auto"/>
              </w:rPr>
            </w:pPr>
            <w:r>
              <w:rPr>
                <w:rFonts w:ascii="Courier New" w:cs="Courier New" w:eastAsia="Courier New" w:hAnsi="Courier New"/>
                <w:sz w:val="16"/>
                <w:szCs w:val="16"/>
                <w:color w:val="auto"/>
              </w:rPr>
              <w:t>a psychiatric hospital owned</w:t>
            </w:r>
          </w:p>
        </w:tc>
        <w:tc>
          <w:tcPr>
            <w:tcW w:w="660" w:type="dxa"/>
            <w:vAlign w:val="bottom"/>
          </w:tcPr>
          <w:p>
            <w:pPr>
              <w:ind w:left="40"/>
              <w:spacing w:after="0"/>
              <w:rPr>
                <w:sz w:val="20"/>
                <w:szCs w:val="20"/>
                <w:color w:val="auto"/>
              </w:rPr>
            </w:pPr>
            <w:r>
              <w:rPr>
                <w:rFonts w:ascii="Courier New" w:cs="Courier New" w:eastAsia="Courier New" w:hAnsi="Courier New"/>
                <w:sz w:val="16"/>
                <w:szCs w:val="16"/>
                <w:color w:val="auto"/>
              </w:rPr>
              <w:t>by the</w:t>
            </w:r>
          </w:p>
        </w:tc>
        <w:tc>
          <w:tcPr>
            <w:tcW w:w="182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Company and leased</w:t>
            </w:r>
          </w:p>
        </w:tc>
        <w:tc>
          <w:tcPr>
            <w:tcW w:w="24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to an unaffiliated third</w:t>
            </w:r>
          </w:p>
        </w:tc>
      </w:tr>
      <w:tr>
        <w:trPr>
          <w:trHeight w:val="183"/>
        </w:trPr>
        <w:tc>
          <w:tcPr>
            <w:tcW w:w="3380" w:type="dxa"/>
            <w:vAlign w:val="bottom"/>
            <w:gridSpan w:val="2"/>
          </w:tcPr>
          <w:p>
            <w:pPr>
              <w:spacing w:after="0"/>
              <w:rPr>
                <w:sz w:val="20"/>
                <w:szCs w:val="20"/>
                <w:color w:val="auto"/>
              </w:rPr>
            </w:pPr>
            <w:r>
              <w:rPr>
                <w:rFonts w:ascii="Courier New" w:cs="Courier New" w:eastAsia="Courier New" w:hAnsi="Courier New"/>
                <w:sz w:val="16"/>
                <w:szCs w:val="16"/>
                <w:color w:val="auto"/>
                <w:w w:val="99"/>
              </w:rPr>
              <w:t>party which is currently in default</w:t>
            </w:r>
          </w:p>
        </w:tc>
        <w:tc>
          <w:tcPr>
            <w:tcW w:w="9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under the</w:t>
            </w:r>
          </w:p>
        </w:tc>
        <w:tc>
          <w:tcPr>
            <w:tcW w:w="560" w:type="dxa"/>
            <w:vAlign w:val="bottom"/>
          </w:tcPr>
          <w:p>
            <w:pPr>
              <w:ind w:left="40"/>
              <w:spacing w:after="0"/>
              <w:rPr>
                <w:sz w:val="20"/>
                <w:szCs w:val="20"/>
                <w:color w:val="auto"/>
              </w:rPr>
            </w:pPr>
            <w:r>
              <w:rPr>
                <w:rFonts w:ascii="Courier New" w:cs="Courier New" w:eastAsia="Courier New" w:hAnsi="Courier New"/>
                <w:sz w:val="16"/>
                <w:szCs w:val="16"/>
                <w:color w:val="auto"/>
              </w:rPr>
              <w:t>terms</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of</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the</w:t>
            </w:r>
          </w:p>
        </w:tc>
        <w:tc>
          <w:tcPr>
            <w:tcW w:w="2040" w:type="dxa"/>
            <w:vAlign w:val="bottom"/>
          </w:tcPr>
          <w:p>
            <w:pPr>
              <w:ind w:left="40"/>
              <w:spacing w:after="0"/>
              <w:rPr>
                <w:sz w:val="20"/>
                <w:szCs w:val="20"/>
                <w:color w:val="auto"/>
              </w:rPr>
            </w:pPr>
            <w:r>
              <w:rPr>
                <w:rFonts w:ascii="Courier New" w:cs="Courier New" w:eastAsia="Courier New" w:hAnsi="Courier New"/>
                <w:sz w:val="16"/>
                <w:szCs w:val="16"/>
                <w:color w:val="auto"/>
              </w:rPr>
              <w:t>lease agreement;</w:t>
            </w:r>
          </w:p>
        </w:tc>
      </w:tr>
    </w:tbl>
    <w:p>
      <w:pPr>
        <w:spacing w:after="0" w:line="5" w:lineRule="exact"/>
        <w:rPr>
          <w:sz w:val="20"/>
          <w:szCs w:val="20"/>
          <w:color w:val="auto"/>
        </w:rPr>
      </w:pPr>
    </w:p>
    <w:p>
      <w:pPr>
        <w:ind w:left="2" w:right="2599" w:hanging="2"/>
        <w:spacing w:after="0" w:line="242" w:lineRule="auto"/>
        <w:tabs>
          <w:tab w:leader="none" w:pos="574"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$1.4 million write-down recorded against the book value of the real property of a behavioral health services hospital; and (iv) $1.3 million of expenses related to the disposition of a non-strategic business. Included in the $8.8 million of nonrecurring charges recorded in 1993 is a $4.4 million loss on disposal of two acute care facilities divested during the fourth quarter of 1993 and $4.4 million related to the winding down or disposition of non-strategic businesses.</w:t>
      </w:r>
    </w:p>
    <w:p>
      <w:pPr>
        <w:spacing w:after="0" w:line="188" w:lineRule="exact"/>
        <w:rPr>
          <w:sz w:val="20"/>
          <w:szCs w:val="20"/>
          <w:color w:val="auto"/>
        </w:rPr>
      </w:pPr>
    </w:p>
    <w:p>
      <w:pPr>
        <w:ind w:left="2" w:right="2679" w:firstLine="382"/>
        <w:spacing w:after="0" w:line="242" w:lineRule="auto"/>
        <w:rPr>
          <w:sz w:val="20"/>
          <w:szCs w:val="20"/>
          <w:color w:val="auto"/>
        </w:rPr>
      </w:pPr>
      <w:r>
        <w:rPr>
          <w:rFonts w:ascii="Courier New" w:cs="Courier New" w:eastAsia="Courier New" w:hAnsi="Courier New"/>
          <w:sz w:val="16"/>
          <w:szCs w:val="16"/>
          <w:color w:val="auto"/>
        </w:rPr>
        <w:t>Depreciation and amortization expense increased $9.0 million in 1995 over 1994 due primarily to the Company's acquisition of two acute care hospitals in July and August of 1995, net of effects of three acute care facilities divested during the year ($5.6 million), a full year of depreciation expense of an acute care hospital acquired in November of 1994 ($1.1 million) and the increased depreciation expense related to capital expenditures and acquisition of outpatient treatment centers ($2.3 million). Depreciation and amortization expense increased $2.8 million in 1994 over 1993 due primarily to $1.9 million of</w:t>
      </w:r>
    </w:p>
    <w:p>
      <w:pPr>
        <w:spacing w:after="0" w:line="186"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21"/>
          </w:cols>
          <w:pgMar w:left="238" w:top="484" w:right="1440" w:bottom="1440" w:gutter="0" w:footer="0" w:header="0"/>
        </w:sectPr>
      </w:pPr>
    </w:p>
    <w:bookmarkStart w:id="34" w:name="page35"/>
    <w:bookmarkEnd w:id="34"/>
    <w:p>
      <w:pPr>
        <w:ind w:right="2779"/>
        <w:spacing w:after="0"/>
        <w:rPr>
          <w:sz w:val="20"/>
          <w:szCs w:val="20"/>
          <w:color w:val="auto"/>
        </w:rPr>
      </w:pPr>
      <w:r>
        <w:rPr>
          <w:rFonts w:ascii="Courier New" w:cs="Courier New" w:eastAsia="Courier New" w:hAnsi="Courier New"/>
          <w:sz w:val="16"/>
          <w:szCs w:val="16"/>
          <w:color w:val="auto"/>
        </w:rPr>
        <w:t>such expenses related to the Company's acquisition of outpatient treatment centers and the increased depreciation expense related to capital expenditures made in the Company's acute care division.</w:t>
      </w:r>
    </w:p>
    <w:p>
      <w:pPr>
        <w:spacing w:after="0" w:line="190"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Interest expense increased $4.9 million or 78% during 1995 over 1994 due primarily to borrowings used to finance the purchase of two acute care hospitals during 1995. The Company issued $135 million of Senior Notes during 1995 which have a coupon rate of 8.75% (9.2% effective rate including amortization of interest rate swap termination fees and amortization of bond discount). The $131 million of net proceeds generated from the issuance of these notes were used to finance the cash purchase price of the two acute care hospitals acquired during 1995 while the excess of the purchase price over the net proceeds ($52 million) was financed from operating cash flows and borrowings under the Company's commercial paper and revolving credit facilities. Interest expense decreased $2.4 million or 27% in 1994 as compared to 1993 was due to lower average outstanding borrowings.</w:t>
      </w:r>
    </w:p>
    <w:p>
      <w:pPr>
        <w:spacing w:after="0" w:line="191"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The effective tax rate was 33%, 39% and 32% in 1995, 1994 and 1993, respectively. The decrease in effective tax rate in 1995 as compared to 1994 was due to: (i) the deductibility of previously non-deductible goodwill amortization resulting from the sale of three acute care hospitals; and (ii) the financing of employee benefit programs. The increase in the effective tax rate for 1994 as compared to 1993 was due to the 1993 tax provision containing a reduction in the state tax provision.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INFLATION</w:t>
      </w:r>
    </w:p>
    <w:p>
      <w:pPr>
        <w:spacing w:after="0" w:line="188"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The healthcare industry is very labor-intensive and salaries and benefits are subject to inflationary pressures, as are supply costs which tend to escalate as vendors pass on the rising costs through price increases. Although the Company cannot predict its ability to continue to cover future costs increases, management believes that through the adherence to cost containment policies, labor management and reasonable price increases, the effects of inflation, which has not had a material impact on the results of operations during the last three years, on future operating margins should be manageable. However, the Company's ability to pass on these increased costs associated with providing healthcare to Medicare and Medicaid patients may be limited since although these fixed payments rates are indexed for inflation annually, the increases have historically lagged behind actual inflation.</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88" w:lineRule="exact"/>
        <w:rPr>
          <w:sz w:val="20"/>
          <w:szCs w:val="20"/>
          <w:color w:val="auto"/>
        </w:rPr>
      </w:pPr>
    </w:p>
    <w:p>
      <w:pPr>
        <w:ind w:right="2599" w:firstLine="382"/>
        <w:spacing w:after="0" w:line="260" w:lineRule="auto"/>
        <w:rPr>
          <w:sz w:val="20"/>
          <w:szCs w:val="20"/>
          <w:color w:val="auto"/>
        </w:rPr>
      </w:pPr>
      <w:r>
        <w:rPr>
          <w:rFonts w:ascii="Courier New" w:cs="Courier New" w:eastAsia="Courier New" w:hAnsi="Courier New"/>
          <w:sz w:val="15"/>
          <w:szCs w:val="15"/>
          <w:color w:val="auto"/>
        </w:rPr>
        <w:t>Net cash provided by operating activities was $32.7 million for the three months ended March 31, 1996 and $91.7 million, $60.6 million and $84.6 million for the 1995, 1994 and 1993 fiscal years, respectively. In addition, cash flow from operating activities in the first quarter of 1995 was adversely impacted by an increase in accounts receivable resulting from a temporary decline in cash collections due to information systems conversions at the Company's hospitals. Partially offsetting these changes was a $2.7 million increase in payments made in settlement of self-insurance claims. The net cash provided by operating activities substantially exceeded the scheduled maturities of long-term debt.</w:t>
      </w:r>
    </w:p>
    <w:p>
      <w:pPr>
        <w:spacing w:after="0" w:line="177" w:lineRule="exact"/>
        <w:rPr>
          <w:sz w:val="20"/>
          <w:szCs w:val="20"/>
          <w:color w:val="auto"/>
        </w:rPr>
      </w:pPr>
    </w:p>
    <w:p>
      <w:pPr>
        <w:ind w:right="2599" w:firstLine="382"/>
        <w:spacing w:after="0" w:line="241" w:lineRule="auto"/>
        <w:rPr>
          <w:sz w:val="20"/>
          <w:szCs w:val="20"/>
          <w:color w:val="auto"/>
        </w:rPr>
      </w:pPr>
      <w:r>
        <w:rPr>
          <w:rFonts w:ascii="Courier New" w:cs="Courier New" w:eastAsia="Courier New" w:hAnsi="Courier New"/>
          <w:sz w:val="16"/>
          <w:szCs w:val="16"/>
          <w:color w:val="auto"/>
        </w:rPr>
        <w:t>During the first three months of 1996, the Company used $25.7 million of its operating cash flow to finance capital expenditures (including $7 million spent on the construction of a new medical complex in Summerlin, Nevada) and $6.8 million to reduce outstanding debt.</w:t>
      </w:r>
    </w:p>
    <w:p>
      <w:pPr>
        <w:spacing w:after="0" w:line="189"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Subsequent to the end of the 1996 first quarter, the Company executed a purchase agreement to acquire four behavioral health care hospitals located in Pennsylvania and seven contracts to manage behavioral health programs. This purchase transaction, which is subject to regulatory approval, is expected to be completed in June 1996. The total purchase price for the acquisition of these hospitals and management contracts is $36.5 million in cash for the operations and the property, plant and equipment and up to an additional $5 million which is contingent upon the future operating performance of the acquired assets. In May 1996, the Company advanced $36.5 million to the seller pursuant to a term note, which is secured by the stock of the subsidiaries to be acquired by the Company, which</w:t>
      </w:r>
    </w:p>
    <w:p>
      <w:pPr>
        <w:spacing w:after="0" w:line="18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484" w:right="1440" w:bottom="1440" w:gutter="0" w:footer="0" w:header="0"/>
        </w:sectPr>
      </w:pPr>
    </w:p>
    <w:bookmarkStart w:id="35" w:name="page36"/>
    <w:bookmarkEnd w:id="35"/>
    <w:p>
      <w:pPr>
        <w:ind w:right="2679"/>
        <w:spacing w:after="0" w:line="242" w:lineRule="auto"/>
        <w:rPr>
          <w:sz w:val="20"/>
          <w:szCs w:val="20"/>
          <w:color w:val="auto"/>
        </w:rPr>
      </w:pPr>
      <w:r>
        <w:rPr>
          <w:rFonts w:ascii="Courier New" w:cs="Courier New" w:eastAsia="Courier New" w:hAnsi="Courier New"/>
          <w:sz w:val="16"/>
          <w:szCs w:val="16"/>
          <w:color w:val="auto"/>
        </w:rPr>
        <w:t>matures upon the earlier of the granting of regulatory approval and the closing of the purchase transaction, or October 31, 1996. Also in connection with this transaction, the Company entered into a $7 million loan agreement which is secured by the stock of the subsidiaries to be acquired by the Company. The $7 million note, the term of which may be extended upon closing of the above mentioned purchase transaction, is scheduled to mature upon the earlier of the granting of regulatory approval and the closing of the purchase transaction described above, or October 31, 1996.</w:t>
      </w:r>
    </w:p>
    <w:p>
      <w:pPr>
        <w:spacing w:after="0" w:line="372" w:lineRule="exact"/>
        <w:rPr>
          <w:sz w:val="20"/>
          <w:szCs w:val="20"/>
          <w:color w:val="auto"/>
        </w:rPr>
      </w:pPr>
    </w:p>
    <w:p>
      <w:pPr>
        <w:ind w:right="2599" w:firstLine="382"/>
        <w:spacing w:after="0" w:line="260" w:lineRule="auto"/>
        <w:rPr>
          <w:sz w:val="20"/>
          <w:szCs w:val="20"/>
          <w:color w:val="auto"/>
        </w:rPr>
      </w:pPr>
      <w:r>
        <w:rPr>
          <w:rFonts w:ascii="Courier New" w:cs="Courier New" w:eastAsia="Courier New" w:hAnsi="Courier New"/>
          <w:sz w:val="15"/>
          <w:szCs w:val="15"/>
          <w:color w:val="auto"/>
        </w:rPr>
        <w:t>In May 1996, the Company acquired substantially all of the assets and operations of Northwest Texas Health, a medical complex located in Amarillo, Texas for $126 million in cash. The assets acquired include the real and personal property, working capital and tangible assets. The Company also will be required to pay additional amounts to the seller equal to 15% of any amount of the hospital's earnings before depreciation, interest and taxes in excess of $24 million in each year of the seven year period commencing April 1, 1996 and ending March 31, 2003. In addition, under terms of the agreement, the seller will pay the Company $8 million per year for the first four years and $6 million per year (subject to certain adjustments for inflation) for up to an additional 36 years to help support the cost of medical services to indigent patients. Northwest Texas Health consists of a 360 licensed bed full service acute care hospital and free standing behavioral health hospital, two urgent care clinics and other operations. The funds used to finance the above mentioned transactions were borrowed on the Company's revolving credit facility.</w:t>
      </w:r>
    </w:p>
    <w:p>
      <w:pPr>
        <w:spacing w:after="0" w:line="200" w:lineRule="exact"/>
        <w:rPr>
          <w:sz w:val="20"/>
          <w:szCs w:val="20"/>
          <w:color w:val="auto"/>
        </w:rPr>
      </w:pPr>
    </w:p>
    <w:p>
      <w:pPr>
        <w:spacing w:after="0" w:line="341"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The Company expects to finance all capital expenditures and acquisitions with internally generated funds, borrowed funds or the sale of debt or equity securities. As of March 31, 1996, after including the $168.5 million of additional borrowings for the purchase transactions described above, the Company had $42 million of unused borrowing capacity under its commercial paper and revolving credit facilities.</w:t>
      </w:r>
    </w:p>
    <w:p>
      <w:pPr>
        <w:spacing w:after="0" w:line="18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484" w:right="1440" w:bottom="1440" w:gutter="0" w:footer="0" w:header="0"/>
        </w:sectPr>
      </w:pPr>
    </w:p>
    <w:bookmarkStart w:id="36" w:name="page37"/>
    <w:bookmarkEnd w:id="36"/>
    <w:p>
      <w:pPr>
        <w:ind w:left="3440"/>
        <w:spacing w:after="0"/>
        <w:rPr>
          <w:sz w:val="20"/>
          <w:szCs w:val="20"/>
          <w:color w:val="auto"/>
        </w:rPr>
      </w:pPr>
      <w:r>
        <w:rPr>
          <w:rFonts w:ascii="Courier New" w:cs="Courier New" w:eastAsia="Courier New" w:hAnsi="Courier New"/>
          <w:sz w:val="16"/>
          <w:szCs w:val="16"/>
          <w:color w:val="auto"/>
        </w:rPr>
        <w:t>BUSINESS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188" w:lineRule="exact"/>
        <w:rPr>
          <w:sz w:val="20"/>
          <w:szCs w:val="20"/>
          <w:color w:val="auto"/>
        </w:rPr>
      </w:pPr>
    </w:p>
    <w:p>
      <w:pPr>
        <w:ind w:right="2779" w:firstLine="382"/>
        <w:spacing w:after="0" w:line="260" w:lineRule="auto"/>
        <w:rPr>
          <w:sz w:val="20"/>
          <w:szCs w:val="20"/>
          <w:color w:val="auto"/>
        </w:rPr>
      </w:pPr>
      <w:r>
        <w:rPr>
          <w:rFonts w:ascii="Courier New" w:cs="Courier New" w:eastAsia="Courier New" w:hAnsi="Courier New"/>
          <w:sz w:val="15"/>
          <w:szCs w:val="15"/>
          <w:color w:val="auto"/>
        </w:rPr>
        <w:t>The principal business of the Company is owning and operating acute care hospitals, behavioral health centers, ambulatory surgery centers and radiation oncology centers. Currently, the Company operates or manages 35 hospitals, consisting of 16 acute care hospitals and 19 behavioral health centers, in Arkansas, California, Florida, Georgia, Illinois, Louisiana, Massachusetts, Michigan, Missouri, Nevada, Oklahoma, Pennsylvania, South Carolina, Texas and Washington. The Company, as part of its Ambulatory Treatment Centers Division, owns outright, or in partnership with physicians, and operates or manages 26 surgery and radiation oncology centers located in 15 states.</w:t>
      </w:r>
    </w:p>
    <w:p>
      <w:pPr>
        <w:spacing w:after="0" w:line="177"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Services provided by the Company's hospitals include general surgery, internal medicine, obstetrics, emergency room care, radiology, oncology, diagnostic care, coronary care, pediatric services and psychiatric services. The Company provides capital resources as well as a variety of management services to its facilities, including central purchasing, data processing, finance and control systems, facilities planning, physician recruitment services, administrative personnel management, marketing and public relations.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INDUSTRY OVERVIEW</w:t>
      </w:r>
    </w:p>
    <w:p>
      <w:pPr>
        <w:spacing w:after="0" w:line="188"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Healthcare is one of the largest industries in the United States, representing total expenditures of approximately $938.3 billion, or 13.9% of gross domestic product, in 1994 according to the Federal Healthcare Financing Administration ("HCFA"). Increases in healthcare expenditures, including hospital expenditures, historically have outpaced inflation due to, among other factors, the aging of the population and the increased availability and use of high-technology treatments and tests. According to HCFA, healthcare expenditures increased by approximately 6.1% in 1994 from approximately $884.0 billion in 1993.</w:t>
      </w:r>
    </w:p>
    <w:p>
      <w:pPr>
        <w:spacing w:after="0" w:line="189"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In response to escalating healthcare costs, government and private purchasers of healthcare services have undertaken substantial revisions in their payment methodologies and have increased significantly the degree to which they monitor the utilization of services. Additionally, payors increasingly are utilizing HMOs and PPOs as cost-effective alternatives to traditional fee-for-service health insurance plans. Under these systems, hospitals bear the financial risk of providing healthcare services since they receive either a specific, fixed reimbursement for each treatment or specific fixed periodic payments based on the number of members of the HMO or PPO served or eligible for service by that hospital, regardless of the actual costs of providing the care. These payment systems have resulted in increased contractual allowances and discounts to hospitals' standard charges for services and a shift from inpatient to outpatient care.</w:t>
      </w:r>
    </w:p>
    <w:p>
      <w:pPr>
        <w:spacing w:after="0" w:line="192"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These changes in payment methodologies have created many changes in the provision of healthcare. A significant shift from inpatient to outpatient care has resulted in significant unused hospital capacity and increases in the utilization of outpatient services and greater outpatient revenues. As a result, in part, of the changes in the industry, there has been significant consolidation in the hospital industry over the past few years. In response to payor trends, integrated healthcare networks have been established to provide a continuum of patient care in a cost-effective framework.</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BUSINESS STRATEGY</w:t>
      </w:r>
    </w:p>
    <w:p>
      <w:pPr>
        <w:spacing w:after="0" w:line="188" w:lineRule="exact"/>
        <w:rPr>
          <w:sz w:val="20"/>
          <w:szCs w:val="20"/>
          <w:color w:val="auto"/>
        </w:rPr>
      </w:pPr>
    </w:p>
    <w:p>
      <w:pPr>
        <w:ind w:right="2679" w:firstLine="382"/>
        <w:spacing w:after="0"/>
        <w:rPr>
          <w:sz w:val="20"/>
          <w:szCs w:val="20"/>
          <w:color w:val="auto"/>
        </w:rPr>
      </w:pPr>
      <w:r>
        <w:rPr>
          <w:rFonts w:ascii="Courier New" w:cs="Courier New" w:eastAsia="Courier New" w:hAnsi="Courier New"/>
          <w:sz w:val="16"/>
          <w:szCs w:val="16"/>
          <w:color w:val="auto"/>
        </w:rPr>
        <w:t>The Company's strategy to enhance its profitability and to continue to provide high quality, cost-effective healthcare services includes the following key elements:</w:t>
      </w:r>
    </w:p>
    <w:p>
      <w:pPr>
        <w:spacing w:after="0" w:line="190" w:lineRule="exact"/>
        <w:rPr>
          <w:sz w:val="20"/>
          <w:szCs w:val="20"/>
          <w:color w:val="auto"/>
        </w:rPr>
      </w:pPr>
    </w:p>
    <w:p>
      <w:pPr>
        <w:ind w:left="860" w:right="3359" w:hanging="195"/>
        <w:spacing w:after="0" w:line="239" w:lineRule="auto"/>
        <w:tabs>
          <w:tab w:leader="none" w:pos="86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establish and maintain market leadership positions in small and medium-sized markets with favorable demographics;</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19"/>
          </w:cols>
          <w:pgMar w:left="240" w:top="481" w:right="1440" w:bottom="1440" w:gutter="0" w:footer="0" w:header="0"/>
        </w:sectPr>
      </w:pPr>
    </w:p>
    <w:bookmarkStart w:id="37" w:name="page38"/>
    <w:bookmarkEnd w:id="37"/>
    <w:p>
      <w:pPr>
        <w:ind w:left="860" w:right="2879" w:hanging="195"/>
        <w:spacing w:after="0" w:line="239" w:lineRule="auto"/>
        <w:tabs>
          <w:tab w:leader="none" w:pos="86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develop or participate in the leading integrated healthcare delivery system in each of its hospital's markets;</w:t>
      </w:r>
    </w:p>
    <w:p>
      <w:pPr>
        <w:spacing w:after="0" w:line="186"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 develop and maintain strong relationships with physicians;</w:t>
      </w:r>
    </w:p>
    <w:p>
      <w:pPr>
        <w:spacing w:after="0" w:line="186" w:lineRule="exact"/>
        <w:rPr>
          <w:sz w:val="20"/>
          <w:szCs w:val="20"/>
          <w:color w:val="auto"/>
        </w:rPr>
      </w:pPr>
    </w:p>
    <w:p>
      <w:pPr>
        <w:ind w:left="860" w:hanging="195"/>
        <w:spacing w:after="0"/>
        <w:tabs>
          <w:tab w:leader="none" w:pos="86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maintain a low cost structure while providing high quality care; and</w:t>
      </w:r>
    </w:p>
    <w:p>
      <w:pPr>
        <w:spacing w:after="0" w:line="185" w:lineRule="exact"/>
        <w:rPr>
          <w:rFonts w:ascii="Courier New" w:cs="Courier New" w:eastAsia="Courier New" w:hAnsi="Courier New"/>
          <w:sz w:val="16"/>
          <w:szCs w:val="16"/>
          <w:color w:val="auto"/>
        </w:rPr>
      </w:pPr>
    </w:p>
    <w:p>
      <w:pPr>
        <w:ind w:left="860" w:hanging="195"/>
        <w:spacing w:after="0"/>
        <w:tabs>
          <w:tab w:leader="none" w:pos="86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attract managed care contracts.</w:t>
      </w:r>
    </w:p>
    <w:p>
      <w:pPr>
        <w:spacing w:after="0" w:line="188" w:lineRule="exact"/>
        <w:rPr>
          <w:sz w:val="20"/>
          <w:szCs w:val="20"/>
          <w:color w:val="auto"/>
        </w:rPr>
      </w:pPr>
    </w:p>
    <w:p>
      <w:pPr>
        <w:ind w:right="2679" w:firstLine="191"/>
        <w:spacing w:after="0" w:line="239" w:lineRule="auto"/>
        <w:rPr>
          <w:sz w:val="20"/>
          <w:szCs w:val="20"/>
          <w:color w:val="auto"/>
        </w:rPr>
      </w:pPr>
      <w:r>
        <w:rPr>
          <w:rFonts w:ascii="Courier New" w:cs="Courier New" w:eastAsia="Courier New" w:hAnsi="Courier New"/>
          <w:sz w:val="16"/>
          <w:szCs w:val="16"/>
          <w:color w:val="auto"/>
        </w:rPr>
        <w:t>Establish and Maintain Leadership Positions in Small and Medium-Sized Markets with Favorable Demographics</w:t>
      </w:r>
    </w:p>
    <w:p>
      <w:pPr>
        <w:spacing w:after="0" w:line="189"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The Company believes that small and medium-sized markets provide the Company with strong opportunities for profitability since such markets typically are less competitive than major metropolitan markets and have lower cost structures. The Company strives to enhance its leadership position in its existing markets by improving the hospital's physical plant, improving and increasing the services offered by the hospital and making complementary acquisitions or constructing additional facilities. In determining whether to enter new markets, the Company considers, among other factors, the competitive situation and demographic profile.</w:t>
      </w:r>
    </w:p>
    <w:p>
      <w:pPr>
        <w:spacing w:after="0" w:line="189"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Examples of the Company's development and expansion of operations in small and medium-sized markets are the Company's recent acquisition and development activities. In Las Vegas, which is located in the fastest growing MSA in the nation, the Company owns the 398-bed Valley Hospital. At Valley Hospital, the Company recently developed an outpatient surgery center, conducted a major renovation of its emergency room and is establishing a neonatal intensive care unit. In addition, to further enhance the Company's leadership in Las Vegas, the Company is developing, with the Howard Hughes Corporation, a medical complex, including a 148-bed acute care hospital, an ambulatory surgery center, a medical office building and a diagnostic center in the community of Summerlin, Nevada, in western Las Vegas. Howard Hughes Corporation has granted to the Company the exclusive right to operate medical facilities in Summerlin.</w:t>
      </w:r>
    </w:p>
    <w:p>
      <w:pPr>
        <w:spacing w:after="0" w:line="191"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In McAllen, Texas, to complement the Company's market leading 475-bed McAllen Medical Center, the Company recently acquired Edinburg Hospital, located in Edinburg, north of McAllen. McAllen is in the fourth fastest growing MSA in the nation. The Company is further expanding its presence in the McAllen market by building a new 124-bed acute care hospital in Edinburg and converting the existing property to a nursing and rehabilitation facility.</w:t>
      </w:r>
    </w:p>
    <w:p>
      <w:pPr>
        <w:spacing w:after="0" w:line="187"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The Company's recent acquisitions of Aiken and Manatee in 1995 provide the Company with two market leaders in markets with favorable demographics. Aiken, a 225-bed medical complex located in Aiken, South Carolina, is the only hospital located in Aiken County, South Carolina. In addition, to acquire Aiken, the Company exchanged Dallas Family Hospital and Westlake Medical Center, two hospitals which are not leaders in their markets and which the Company was unable to link to their respective market leaders. Manatee, a 512-bed acute care hospital, is one of two hospitals in Manatee County, Florida.</w:t>
      </w:r>
    </w:p>
    <w:p>
      <w:pPr>
        <w:spacing w:after="0" w:line="189"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The Company's recent acquisition of Northwest Texas Health also provides the Company with a market leader. Northwest Texas Health is one of two hospitals located in Amarillo, Texas. Amarillo is located 90 miles from the next largest city and has a population of approximately 200,000 people, growing 22% faster than the population of the U.S. as a whole. The Company intends to position Northwest Texas Health as the hub of a health care delivery system. Northwest Texas Health is a full service tertiary health care system with market leading cardiac, obstetrics, pediatrics, trauma, and behavioral health services. In addition to the acute care and behavioral health hospitals, Northwest Texas Health also operates two fully equipped outpatient urgent care clinics and the county's only ambulance and only rescue helicopter services. Northwest Texas Health had been government operated.</w:t>
      </w:r>
    </w:p>
    <w:p>
      <w:pPr>
        <w:spacing w:after="0" w:line="18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19"/>
          </w:cols>
          <w:pgMar w:left="240" w:top="484" w:right="1440" w:bottom="1440" w:gutter="0" w:footer="0" w:header="0"/>
        </w:sectPr>
      </w:pPr>
    </w:p>
    <w:bookmarkStart w:id="38" w:name="page39"/>
    <w:bookmarkEnd w:id="38"/>
    <w:p>
      <w:pPr>
        <w:ind w:right="2879"/>
        <w:spacing w:after="0" w:line="241" w:lineRule="auto"/>
        <w:rPr>
          <w:sz w:val="20"/>
          <w:szCs w:val="20"/>
          <w:color w:val="auto"/>
        </w:rPr>
      </w:pPr>
      <w:r>
        <w:rPr>
          <w:rFonts w:ascii="Courier New" w:cs="Courier New" w:eastAsia="Courier New" w:hAnsi="Courier New"/>
          <w:sz w:val="16"/>
          <w:szCs w:val="16"/>
          <w:color w:val="auto"/>
        </w:rPr>
        <w:t>The Company expects to improve the operating performance of Northwest Texas Health by adding services, more aggressively marketing existing capabilities, reducing supply expenses, reducing the expense of purchased services, and reducing labor costs.</w:t>
      </w:r>
    </w:p>
    <w:p>
      <w:pPr>
        <w:spacing w:after="0" w:line="189"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The majority of the Company's behavioral health centers are either the first or second largest facility in their respective markets, ranked by beds/revenues. In April 1996, the Company entered into an agreement to acquire the First Hospital Properties. This acquisition will augment the Company's presence in Pennsylvania. Each of the First Hospital Facilities is the leading provider of behavioral health services in its market. The combination of the First Hospital Facilities and their related outpatient activities plus the four managed units in Pennsylvania create the largest comprehensive behavioral health network in Pennsylvania. The Company believes its historical success in operating behavioral health facilities, when coupled with the acquired contract management business of the First Hospital Properties, will make it an effective competitor for new contracts to manage behavioral health units of hospitals.</w:t>
      </w:r>
    </w:p>
    <w:p>
      <w:pPr>
        <w:spacing w:after="0" w:line="191"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The Company has also established market leadership positions with most of its ambulatory surgery centers and radiation oncology centers. The majority of the Company's surgery centers are the sole free standing providers in their respective markets and all except one of the Company's free standing radiation centers are the sole providers. The Company seeks to acquire ambulatory surgery centers and radiation oncology centers which are the sole free standing providers in a market, since these centers provide a cost-effective alternative to the local hospital.</w:t>
      </w:r>
    </w:p>
    <w:p>
      <w:pPr>
        <w:spacing w:after="0" w:line="18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Develop Integrated Healthcare Delivery Systems</w:t>
      </w:r>
    </w:p>
    <w:p>
      <w:pPr>
        <w:spacing w:after="0" w:line="188"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In each of its hospital's markets, the Company has established or is developing an integrated healthcare delivery system to offer a full range of patient care on a cost-effective basis. Through the development of integrated healthcare delivery systems, the Company believes that it will augment revenues and market share by attracting an increasing share of large, sophisticated governmental and private sector managed care contracts. The Company believes that hospitals are the logical hubs for the development of integrated healthcare delivery systems due to their highly developed infrastructure, extensive base of services, sophisticated equipment and skilled personnel. The Company believes that the development of integrated healthcare delivery systems is accomplished by (i) maintaining a single hospital's leadership in its market or (ii) coordinating the services of its hospital with the market leader.</w:t>
      </w:r>
    </w:p>
    <w:p>
      <w:pPr>
        <w:spacing w:after="0" w:line="191" w:lineRule="exact"/>
        <w:rPr>
          <w:sz w:val="20"/>
          <w:szCs w:val="20"/>
          <w:color w:val="auto"/>
        </w:rPr>
      </w:pPr>
    </w:p>
    <w:p>
      <w:pPr>
        <w:ind w:right="2599" w:firstLine="382"/>
        <w:spacing w:after="0" w:line="260" w:lineRule="auto"/>
        <w:rPr>
          <w:sz w:val="20"/>
          <w:szCs w:val="20"/>
          <w:color w:val="auto"/>
        </w:rPr>
      </w:pPr>
      <w:r>
        <w:rPr>
          <w:rFonts w:ascii="Courier New" w:cs="Courier New" w:eastAsia="Courier New" w:hAnsi="Courier New"/>
          <w:sz w:val="15"/>
          <w:szCs w:val="15"/>
          <w:color w:val="auto"/>
        </w:rPr>
        <w:t>In certain markets where the Company is a market leader, for example Las Vegas, Nevada and McAllen, Texas, the Company has positioned its hospitals as the center of healthcare delivery systems by responding to community needs and developing new services. In Las Vegas, the Company developed an outpatient surgery center, conducted a major renovation of its emergency room and is establishing a neonatal intensive care unit. In the Las Vegas and McAllen markets, the Company has also undertaken development activities. In addition, as a market leader, the Company intends to position Northwest Texas Health as the center of a healthcare delivery system. See "Prospectus Summary--The Company."</w:t>
      </w:r>
    </w:p>
    <w:p>
      <w:pPr>
        <w:spacing w:after="0" w:line="177"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To increase the presence of the Company's behavioral health centers in southeastern Massachusetts, the Company recently acquired Fuller Memorial Psychiatric Hospital. Fuller, which is located in close proximity to two of the Company's other behavioral health centers and its 11 day-treatment clinics, will augment the Company's ability to serve additional patients in southeastern Massachusetts.</w:t>
      </w:r>
    </w:p>
    <w:p>
      <w:pPr>
        <w:spacing w:after="0" w:line="187" w:lineRule="exact"/>
        <w:rPr>
          <w:sz w:val="20"/>
          <w:szCs w:val="20"/>
          <w:color w:val="auto"/>
        </w:rPr>
      </w:pPr>
    </w:p>
    <w:p>
      <w:pPr>
        <w:ind w:right="2779" w:firstLine="382"/>
        <w:spacing w:after="0" w:line="241" w:lineRule="auto"/>
        <w:rPr>
          <w:sz w:val="20"/>
          <w:szCs w:val="20"/>
          <w:color w:val="auto"/>
        </w:rPr>
      </w:pPr>
      <w:r>
        <w:rPr>
          <w:rFonts w:ascii="Courier New" w:cs="Courier New" w:eastAsia="Courier New" w:hAnsi="Courier New"/>
          <w:sz w:val="16"/>
          <w:szCs w:val="16"/>
          <w:color w:val="auto"/>
        </w:rPr>
        <w:t>In markets where the Company is not by itself a market share leader, the Company attempts to link its hospitals with the market leader. The Company has effected such a linkage in New Orleans, where its hospitals are linked with Methodist Hospital and East Jefferson Hospital, both of which are their respective market leaders.</w:t>
      </w:r>
    </w:p>
    <w:p>
      <w:pPr>
        <w:spacing w:after="0" w:line="18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9"/>
          </w:cols>
          <w:pgMar w:left="240" w:top="484" w:right="1440" w:bottom="1440" w:gutter="0" w:footer="0" w:header="0"/>
        </w:sectPr>
      </w:pPr>
    </w:p>
    <w:bookmarkStart w:id="39" w:name="page40"/>
    <w:bookmarkEnd w:id="39"/>
    <w:p>
      <w:pPr>
        <w:ind w:left="180"/>
        <w:spacing w:after="0"/>
        <w:rPr>
          <w:sz w:val="20"/>
          <w:szCs w:val="20"/>
          <w:color w:val="auto"/>
        </w:rPr>
      </w:pPr>
      <w:r>
        <w:rPr>
          <w:rFonts w:ascii="Courier New" w:cs="Courier New" w:eastAsia="Courier New" w:hAnsi="Courier New"/>
          <w:sz w:val="16"/>
          <w:szCs w:val="16"/>
          <w:color w:val="auto"/>
        </w:rPr>
        <w:t>Develop and Maintain Strong Relationships with Physicians</w:t>
      </w:r>
    </w:p>
    <w:p>
      <w:pPr>
        <w:spacing w:after="0" w:line="188" w:lineRule="exact"/>
        <w:rPr>
          <w:sz w:val="20"/>
          <w:szCs w:val="20"/>
          <w:color w:val="auto"/>
        </w:rPr>
      </w:pPr>
    </w:p>
    <w:p>
      <w:pPr>
        <w:ind w:right="2679" w:firstLine="382"/>
        <w:spacing w:after="0" w:line="259" w:lineRule="auto"/>
        <w:rPr>
          <w:sz w:val="20"/>
          <w:szCs w:val="20"/>
          <w:color w:val="auto"/>
        </w:rPr>
      </w:pPr>
      <w:r>
        <w:rPr>
          <w:rFonts w:ascii="Courier New" w:cs="Courier New" w:eastAsia="Courier New" w:hAnsi="Courier New"/>
          <w:sz w:val="15"/>
          <w:szCs w:val="15"/>
          <w:color w:val="auto"/>
        </w:rPr>
        <w:t>The Company believes that its success will depend in large part on maintaining strong relationships with physicians, and has, therefore, devoted substantial management effort and resources to establish and maintain such relationships and to foster a physician-friendly culture at each of its hospitals. The Company attracts physicians to its hospitals by equipping its hospitals with sophisticated equipment, constructing medical office buildings adjacent to many of its hospitals, providing physicians with a large degree of independence in conducting their hospital practice, supplying a quality nursing and technical staff and sponsoring training programs to educate physicians on advanced medical procedures. These efforts help develop and maintain strong relationships with physicians and better serve the needs of patients. In addition, consistent with the Company's goal of establishing integrated healthcare delivery systems, the Company is expanding its alliances with physicians to create long term hospital/physician linkages. These arrangements will allow physicians to participate in the delivery of healthcare at the network level. For example, in Nevada, the Company has established Universal Health Network, a PPO with approximately 125,000 covered lives.</w:t>
      </w:r>
    </w:p>
    <w:p>
      <w:pPr>
        <w:spacing w:after="0" w:line="36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Maintain a Low Cost Structure While Providing High Quality Care</w:t>
      </w:r>
    </w:p>
    <w:p>
      <w:pPr>
        <w:spacing w:after="0" w:line="188"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The Company has taken steps to create a low cost structure, which the Company believes will enable it to continue to compete effectively in each of its current markets. The Company has established standardized management information systems which provide accurate clinical and financial data for use by hospital staff, physicians and corporate management. In addition, the Company closely monitors departmental staffing and has established staffing level targets for each hospital based on the amount and type of services provided. The Company reviews compliance with these staffing targets on a monthly basis. The Company also reviews patient length of stay, service utilization, cash flow, accounts receivable collection, inventory levels and outside purchases. To reduce the cost of supplies, the Company has entered into national purchasing contracts.</w:t>
      </w:r>
    </w:p>
    <w:p>
      <w:pPr>
        <w:spacing w:after="0" w:line="191"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While maintaining its commitment to a low cost structure, the Company has developed and implemented a continuous quality improvement program designed to assess all levels of patient care provided in its hospitals. While the basics of the program are mandated by federal, state and Joint Commission on Accreditation of Healthcare Organizations ("JCAHO") regulations and standards, the objective of the program is to meet or exceed the mandates by focusing on hospital systems, patient, physician and employee concerns. The quality improvement program is managed in each hospital by a multidisciplinary committee consisting of physicians, nurses, ancillary managers and administration. The committee performs peer review, monitoring all functions within the hospital, identifying opportunities to improve, recommending actions and following up on the changes to assure improvement. The committee and its administrative support department, quality management and the corporate quality improvement services department meet regularly to address specific problems, program integrity, and ways to improve patients care under a "Total Quality Management System." Continual review, analysis and training provided through the quality improvement program provides patients, physicians and third party payors assurance that efficient, quality patient care receives the highest priority at each of the Company's hospitals. The Company's efforts in maintaining high quality care have been recognized. Recent awards include (i) the 1994 Quality and Productivity Award being given by the United States Senate to Valley Hospital Medical Center; (ii) 30% of the Company's hospitals, consisting of Keystone Center, Chalmette Medical Center, Turning Point Hospital, HRI Hospital, The Arbour, Del Amo Hospital, River Parishes Hospital, Two Rivers Psychiatric Hospital and Manatee, receiving JCAHO Accreditation with Commendation (awarded to only 5% of hospitals, nationally); and (iii) the Company being recognized by the Pennsylvania Council of Excellence for quality management accomplishment. Northwest Texas Health, recently acquired by the Company, also received JCAHO Accreditation with Commendation.</w:t>
      </w:r>
    </w:p>
    <w:p>
      <w:pPr>
        <w:spacing w:after="0" w:line="19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19"/>
          </w:cols>
          <w:pgMar w:left="240" w:top="481" w:right="1440" w:bottom="1440" w:gutter="0" w:footer="0" w:header="0"/>
        </w:sectPr>
      </w:pPr>
    </w:p>
    <w:bookmarkStart w:id="40" w:name="page41"/>
    <w:bookmarkEnd w:id="40"/>
    <w:p>
      <w:pPr>
        <w:ind w:left="180"/>
        <w:spacing w:after="0"/>
        <w:rPr>
          <w:sz w:val="20"/>
          <w:szCs w:val="20"/>
          <w:color w:val="auto"/>
        </w:rPr>
      </w:pPr>
      <w:r>
        <w:rPr>
          <w:rFonts w:ascii="Courier New" w:cs="Courier New" w:eastAsia="Courier New" w:hAnsi="Courier New"/>
          <w:sz w:val="16"/>
          <w:szCs w:val="16"/>
          <w:color w:val="auto"/>
        </w:rPr>
        <w:t>Attract Managed Care Contracts</w:t>
      </w:r>
    </w:p>
    <w:p>
      <w:pPr>
        <w:spacing w:after="0" w:line="188"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The Company has extensive experience in working with managed care providers. Pressures to control healthcare costs have resulted in a continuing increase in the percentage of the United States population that is covered by managed healthcare plans. To increase the cost-effectiveness of healthcare delivery, managed care payors have introduced new utilization review systems and have increased the use of discounted and capitated fee arrangements. Further, managed care payors have attempted, where appropriate, to direct patients to less intensive alternatives along the continuum of patient care. Management has responded to this trend by increasing the outpatient services offered at its hospitals and behavioral health centers. In addition, the Company also continues to add to its Ambulatory Treatment Centers Division, acquiring nine facilities in 1994, and four facilities in 1995. In determining with which providers to contract, payors consider, among other factors, the quality of care provided, the range of services, the geographic coverage and the cost-effectiveness of the care provided. The Company believes that the development and expansion of its integrated healthcare delivery systems will enable it to better compete for managed care contracts with payors, which, in turn, should allow it to expand its patient volume and cash flow, notwithstanding the reduced rates at which services are provided.</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OPERATIONS</w:t>
      </w:r>
    </w:p>
    <w:p>
      <w:pPr>
        <w:spacing w:after="0" w:line="188" w:lineRule="exact"/>
        <w:rPr>
          <w:sz w:val="20"/>
          <w:szCs w:val="20"/>
          <w:color w:val="auto"/>
        </w:rPr>
      </w:pPr>
    </w:p>
    <w:p>
      <w:pPr>
        <w:ind w:right="2599" w:firstLine="382"/>
        <w:spacing w:after="0" w:line="241" w:lineRule="auto"/>
        <w:rPr>
          <w:sz w:val="20"/>
          <w:szCs w:val="20"/>
          <w:color w:val="auto"/>
        </w:rPr>
      </w:pPr>
      <w:r>
        <w:rPr>
          <w:rFonts w:ascii="Courier New" w:cs="Courier New" w:eastAsia="Courier New" w:hAnsi="Courier New"/>
          <w:sz w:val="16"/>
          <w:szCs w:val="16"/>
          <w:color w:val="auto"/>
        </w:rPr>
        <w:t>After giving effect to the recent acquisition of Northwest Texas Health, the Company will derive the majority of its revenue from McAllen Medical Center, Valley Hospital, Manatee, Aiken and Northwest Texas Health. Following is a brief discussion of these facilities and their respective geographic areas and certain of the Company's other operations:</w:t>
      </w:r>
    </w:p>
    <w:p>
      <w:pPr>
        <w:spacing w:after="0" w:line="190"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McAllen, Texas. McAllen, located in the Rio Grande Valley area of Texas, is the center of a 200-mile wide consumer market area with more than ten million people. McAllen and its surrounding communities are in the fourth fastest growing MSA in the country. Furthermore, the population in McAllen increases significantly in the winter months with the inflow of retirees from the northern states. The Company's McAllen Medical Center, a 475-bed facility, is the largest hospital in the Rio Grande Valley and is the hub of a five-hospital delivery network organized by the Company. The medical center offers a wide range of services including general medical/surgical care, a 24-hour emergency room, oncology care, cardiac care, obstetric, pediatric and neonatal care and laser surgery. On a pro forma basis, assuming the Adjustments and excluding the Indigent Care Reimbursements, McAllen Medical Center would have contributed 15% of the Company's net revenues for the year ended December 31, 1995, and 30% of the Company's EBITDAR for such period.</w:t>
      </w:r>
    </w:p>
    <w:p>
      <w:pPr>
        <w:spacing w:after="0" w:line="192"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The Company acquired Edinburg Hospital in 1994, a 112-bed acute care facility. Located eight miles north of McAllen, this facility enhances the Company's delivery network in this rapidly growing area. The Company is further expanding its presence in the McAllen market by building a new 124-bed acute care hospital in Edinburg and converting the existing property to a nursing and rehabilitation facility.</w:t>
      </w:r>
    </w:p>
    <w:p>
      <w:pPr>
        <w:spacing w:after="0" w:line="187"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Las Vegas, Nevada. The Company's Valley Hospital is a 398-bed hospital located in Las Vegas. Las Vegas is in the fastest growing MSA in the country. On a pro forma basis, assuming the Adjustments and excluding the Indigent Care Reimbursements, Valley Hospital would have contributed 14% of the Company's net revenues for the year ended December 31, 1995, and 24% of the Company's EBITDAR for such periods. To enhance its competitive position in the Las Vegas market, Valley Hospital recently underwent a major expansion of its emergency room facility, established an outpatient surgery center and is establishing a neonatal intensive care unit.</w:t>
      </w:r>
    </w:p>
    <w:p>
      <w:pPr>
        <w:spacing w:after="0" w:line="189"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The Company has begun construction of a new facility in Summerlin, Nevada which is a master planned community located in western Las Vegas. The new Summerlin Medical Center will be completed in three phases and will consist of a 100,000 square foot medical building, an outpatient surgery and diagnostic center and a 148-bed acute care hospital. Howard Hughes Corporation has granted to the Company the exclusive right to operate medical facilities in Summerlin. See "Prospectus Summary--Recent Events."</w:t>
      </w:r>
    </w:p>
    <w:p>
      <w:pPr>
        <w:spacing w:after="0" w:line="18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219"/>
          </w:cols>
          <w:pgMar w:left="240" w:top="481" w:right="1440" w:bottom="1440" w:gutter="0" w:footer="0" w:header="0"/>
        </w:sectPr>
      </w:pPr>
    </w:p>
    <w:bookmarkStart w:id="41" w:name="page42"/>
    <w:bookmarkEnd w:id="41"/>
    <w:p>
      <w:pPr>
        <w:ind w:right="2599" w:firstLine="382"/>
        <w:spacing w:after="0" w:line="242" w:lineRule="auto"/>
        <w:rPr>
          <w:sz w:val="20"/>
          <w:szCs w:val="20"/>
          <w:color w:val="auto"/>
        </w:rPr>
      </w:pPr>
      <w:r>
        <w:rPr>
          <w:rFonts w:ascii="Courier New" w:cs="Courier New" w:eastAsia="Courier New" w:hAnsi="Courier New"/>
          <w:sz w:val="16"/>
          <w:szCs w:val="16"/>
          <w:color w:val="auto"/>
        </w:rPr>
        <w:t>Manatee County, Florida. Manatee County is located approximately 50 miles south of Tampa on the Gulf Coast of Florida. The County has a current population of approximately 250,000. The Company's Manatee Memorial Hospital ("Manatee"), a 512-bed facility, has a location which will benefit from the continuing eastern expansion of the County. Manatee offers a wide range of services from primary medical and surgical procedures to obstetric, pediatric, psychiatric and a broad range of specialized programs. The Manatee Heart Center offers the full range of cardiac care from catheterization and non-invasive procedures to open heart surgery. The Manatee Center for Women's Health offers neonatal care in addition to its obstetric and gynecological services. The Emergency Care Center is a state-of-the-art facility servicing 90% of the trauma cases in the County. Manatee also offers a full range of outpatient services to the community. It is the only hospital in the County to operate a Life Management inpatient and outpatient program for mentally ill individuals. Recently, Manatee opened its new Surgery and Outpatient Services Center which provides outpatient services to the community through twelve new surgical suites and arrays of diagnostic tests and surgical procedures.</w:t>
      </w:r>
    </w:p>
    <w:p>
      <w:pPr>
        <w:spacing w:after="0" w:line="194" w:lineRule="exact"/>
        <w:rPr>
          <w:sz w:val="20"/>
          <w:szCs w:val="20"/>
          <w:color w:val="auto"/>
        </w:rPr>
      </w:pPr>
    </w:p>
    <w:p>
      <w:pPr>
        <w:ind w:right="2879" w:firstLine="382"/>
        <w:spacing w:after="0" w:line="265" w:lineRule="auto"/>
        <w:rPr>
          <w:sz w:val="20"/>
          <w:szCs w:val="20"/>
          <w:color w:val="auto"/>
        </w:rPr>
      </w:pPr>
      <w:r>
        <w:rPr>
          <w:rFonts w:ascii="Courier New" w:cs="Courier New" w:eastAsia="Courier New" w:hAnsi="Courier New"/>
          <w:sz w:val="15"/>
          <w:szCs w:val="15"/>
          <w:color w:val="auto"/>
        </w:rPr>
        <w:t>Assuming the Adjustments and excluding the Indigent Care Reimbursements, Manatee would have contributed 11% of the Company's net revenues for the year ended December 31, 1995, and 12% of the Company's EBITDAR for such period.</w:t>
      </w:r>
    </w:p>
    <w:p>
      <w:pPr>
        <w:spacing w:after="0" w:line="171"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Aiken, South Carolina. Aiken Regional Medical Centers ("Aiken"), a 225-bed medical complex, is the only hospital located in Aiken County, South Carolina. Aiken County, which is located in west central South Carolina, has a population of approximately 130,000 people. Aiken serves Aiken County, as well as three other counties in South Carolina with a total market of approximately 180,000 people. Aiken's facilities include a modern, full service acute care hospital, which recently commenced offering open heart surgeries, and a behavioral health center.</w:t>
      </w:r>
    </w:p>
    <w:p>
      <w:pPr>
        <w:spacing w:after="0" w:line="189"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Amarillo, Texas. Amarillo is located in the Texas panhandle, has a current population of approximately 200,000 and is located 90 miles from the next largest city. Northwest Texas Health, a 360-bed medical complex, includes a full service acute care hospital offering primary medical and surgical procedures and specialized programs. The hospital is the leading provider of emergency, trauma, obstetrics, neonatal and pediatric care in the market. Northwest Texas Health is one of two hospitals in Amarillo and is the teaching facility of Texas Tech University.</w:t>
      </w:r>
    </w:p>
    <w:p>
      <w:pPr>
        <w:spacing w:after="0" w:line="189" w:lineRule="exact"/>
        <w:rPr>
          <w:sz w:val="20"/>
          <w:szCs w:val="20"/>
          <w:color w:val="auto"/>
        </w:rPr>
      </w:pPr>
    </w:p>
    <w:p>
      <w:pPr>
        <w:ind w:right="2779" w:firstLine="382"/>
        <w:spacing w:after="0"/>
        <w:rPr>
          <w:sz w:val="20"/>
          <w:szCs w:val="20"/>
          <w:color w:val="auto"/>
        </w:rPr>
      </w:pPr>
      <w:r>
        <w:rPr>
          <w:rFonts w:ascii="Courier New" w:cs="Courier New" w:eastAsia="Courier New" w:hAnsi="Courier New"/>
          <w:sz w:val="16"/>
          <w:szCs w:val="16"/>
          <w:color w:val="auto"/>
        </w:rPr>
        <w:t>Behavioral Health Centers. The majority of the Company's behavioral health centers are either the first or second largest facility in their respective markets, ranked by beds/revenues.</w:t>
      </w:r>
    </w:p>
    <w:p>
      <w:pPr>
        <w:spacing w:after="0" w:line="190"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Ambulatory Treatment Centers. The Company has also established market leadership positions with most of its ambulatory surgery centers and radiation oncology centers. The majority of the Company's surgery centers are the sole free standing providers in their respective markets and all except one of the Company's free standing radiation centers are the sole providers. The Company seeks to acquire ambulatory surgery centers and radiation oncology centers which are the sole free standing providers in a market since these centers provide a cost-effective alternative to the local hospital.</w:t>
      </w:r>
    </w:p>
    <w:p>
      <w:pPr>
        <w:spacing w:after="0" w:line="189"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Other Activities. The Company recently has constructed and opened its first combined women's hospital and obstetrician physician practice management center in Edmond, Oklahoma, a suburb of Oklahoma City. The strategy of the Company in establishing this hospital, Renaissance Centers For Women, is to develop and manage fully integrated specialty hospitals and physician clinic practices of obstetricians. The hospital houses the most modern LDRP suites, operating rooms, laboratory, and imaging capabilities generally available to this physician specialty. The Company may construct additional centers and manage additional OB/GYN practices in the future.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FACILITIES</w:t>
      </w:r>
    </w:p>
    <w:p>
      <w:pPr>
        <w:spacing w:after="0" w:line="188" w:lineRule="exact"/>
        <w:rPr>
          <w:sz w:val="20"/>
          <w:szCs w:val="20"/>
          <w:color w:val="auto"/>
        </w:rPr>
      </w:pPr>
    </w:p>
    <w:p>
      <w:pPr>
        <w:jc w:val="both"/>
        <w:ind w:right="2599" w:firstLine="382"/>
        <w:spacing w:after="0"/>
        <w:rPr>
          <w:sz w:val="20"/>
          <w:szCs w:val="20"/>
          <w:color w:val="auto"/>
        </w:rPr>
      </w:pPr>
      <w:r>
        <w:rPr>
          <w:rFonts w:ascii="Courier New" w:cs="Courier New" w:eastAsia="Courier New" w:hAnsi="Courier New"/>
          <w:sz w:val="16"/>
          <w:szCs w:val="16"/>
          <w:color w:val="auto"/>
        </w:rPr>
        <w:t>The following tables set forth the name, location, type of facility and, for acute care hospitals and behavioral health centers, the number of beds, for each of the Company's facilities:</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19"/>
          </w:cols>
          <w:pgMar w:left="240" w:top="484" w:right="1440"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81"/>
        </w:trPr>
        <w:tc>
          <w:tcPr>
            <w:tcW w:w="6580" w:type="dxa"/>
            <w:vAlign w:val="bottom"/>
            <w:gridSpan w:val="2"/>
          </w:tcPr>
          <w:p>
            <w:pPr>
              <w:ind w:left="2860"/>
              <w:spacing w:after="0"/>
              <w:rPr>
                <w:sz w:val="20"/>
                <w:szCs w:val="20"/>
                <w:color w:val="auto"/>
              </w:rPr>
            </w:pPr>
            <w:r>
              <w:rPr>
                <w:rFonts w:ascii="Courier New" w:cs="Courier New" w:eastAsia="Courier New" w:hAnsi="Courier New"/>
                <w:sz w:val="16"/>
                <w:szCs w:val="16"/>
                <w:color w:val="auto"/>
              </w:rPr>
              <w:t>ACUTE CARE HOSPITALS</w:t>
            </w:r>
          </w:p>
        </w:tc>
        <w:tc>
          <w:tcPr>
            <w:tcW w:w="124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917"/>
        </w:trPr>
        <w:tc>
          <w:tcPr>
            <w:tcW w:w="33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NUMBER</w:t>
            </w:r>
          </w:p>
        </w:tc>
        <w:tc>
          <w:tcPr>
            <w:tcW w:w="1420" w:type="dxa"/>
            <w:vAlign w:val="bottom"/>
          </w:tcPr>
          <w:p>
            <w:pPr>
              <w:spacing w:after="0"/>
              <w:rPr>
                <w:sz w:val="24"/>
                <w:szCs w:val="24"/>
                <w:color w:val="auto"/>
              </w:rPr>
            </w:pPr>
          </w:p>
        </w:tc>
      </w:tr>
      <w:tr>
        <w:trPr>
          <w:trHeight w:val="183"/>
        </w:trPr>
        <w:tc>
          <w:tcPr>
            <w:tcW w:w="3340" w:type="dxa"/>
            <w:vAlign w:val="bottom"/>
          </w:tcPr>
          <w:p>
            <w:pPr>
              <w:jc w:val="right"/>
              <w:ind w:right="981"/>
              <w:spacing w:after="0"/>
              <w:rPr>
                <w:sz w:val="20"/>
                <w:szCs w:val="20"/>
                <w:color w:val="auto"/>
              </w:rPr>
            </w:pPr>
            <w:r>
              <w:rPr>
                <w:rFonts w:ascii="Courier New" w:cs="Courier New" w:eastAsia="Courier New" w:hAnsi="Courier New"/>
                <w:sz w:val="16"/>
                <w:szCs w:val="16"/>
                <w:color w:val="auto"/>
              </w:rPr>
              <w:t>NAME OF FACILITY</w:t>
            </w:r>
          </w:p>
        </w:tc>
        <w:tc>
          <w:tcPr>
            <w:tcW w:w="3240" w:type="dxa"/>
            <w:vAlign w:val="bottom"/>
          </w:tcPr>
          <w:p>
            <w:pPr>
              <w:ind w:left="1140"/>
              <w:spacing w:after="0"/>
              <w:rPr>
                <w:sz w:val="20"/>
                <w:szCs w:val="20"/>
                <w:color w:val="auto"/>
              </w:rPr>
            </w:pPr>
            <w:r>
              <w:rPr>
                <w:rFonts w:ascii="Courier New" w:cs="Courier New" w:eastAsia="Courier New" w:hAnsi="Courier New"/>
                <w:sz w:val="16"/>
                <w:szCs w:val="16"/>
                <w:color w:val="auto"/>
              </w:rPr>
              <w:t>LOCATION</w:t>
            </w: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OF BEDS</w:t>
            </w:r>
          </w:p>
        </w:tc>
        <w:tc>
          <w:tcPr>
            <w:tcW w:w="14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INTEREST</w:t>
            </w:r>
          </w:p>
        </w:tc>
      </w:tr>
      <w:tr>
        <w:trPr>
          <w:trHeight w:val="183"/>
        </w:trPr>
        <w:tc>
          <w:tcPr>
            <w:tcW w:w="3340" w:type="dxa"/>
            <w:vAlign w:val="bottom"/>
          </w:tcPr>
          <w:p>
            <w:pPr>
              <w:jc w:val="right"/>
              <w:ind w:right="981"/>
              <w:spacing w:after="0"/>
              <w:rPr>
                <w:sz w:val="20"/>
                <w:szCs w:val="20"/>
                <w:color w:val="auto"/>
              </w:rPr>
            </w:pPr>
            <w:r>
              <w:rPr>
                <w:rFonts w:ascii="Courier New" w:cs="Courier New" w:eastAsia="Courier New" w:hAnsi="Courier New"/>
                <w:sz w:val="16"/>
                <w:szCs w:val="16"/>
                <w:color w:val="auto"/>
              </w:rPr>
              <w:t>-----------------</w:t>
            </w:r>
          </w:p>
        </w:tc>
        <w:tc>
          <w:tcPr>
            <w:tcW w:w="3240" w:type="dxa"/>
            <w:vAlign w:val="bottom"/>
          </w:tcPr>
          <w:p>
            <w:pPr>
              <w:ind w:left="114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r>
      <w:tr>
        <w:trPr>
          <w:trHeight w:val="367"/>
        </w:trPr>
        <w:tc>
          <w:tcPr>
            <w:tcW w:w="3340" w:type="dxa"/>
            <w:vAlign w:val="bottom"/>
          </w:tcPr>
          <w:p>
            <w:pPr>
              <w:spacing w:after="0"/>
              <w:rPr>
                <w:sz w:val="20"/>
                <w:szCs w:val="20"/>
                <w:color w:val="auto"/>
              </w:rPr>
            </w:pPr>
            <w:r>
              <w:rPr>
                <w:rFonts w:ascii="Courier New" w:cs="Courier New" w:eastAsia="Courier New" w:hAnsi="Courier New"/>
                <w:sz w:val="16"/>
                <w:szCs w:val="16"/>
                <w:color w:val="auto"/>
              </w:rPr>
              <w:t>Aiken Regional Medical Centers...</w:t>
            </w:r>
          </w:p>
        </w:tc>
        <w:tc>
          <w:tcPr>
            <w:tcW w:w="3240" w:type="dxa"/>
            <w:vAlign w:val="bottom"/>
          </w:tcPr>
          <w:p>
            <w:pPr>
              <w:spacing w:after="0"/>
              <w:rPr>
                <w:sz w:val="20"/>
                <w:szCs w:val="20"/>
                <w:color w:val="auto"/>
              </w:rPr>
            </w:pPr>
            <w:r>
              <w:rPr>
                <w:rFonts w:ascii="Courier New" w:cs="Courier New" w:eastAsia="Courier New" w:hAnsi="Courier New"/>
                <w:sz w:val="16"/>
                <w:szCs w:val="16"/>
                <w:color w:val="auto"/>
              </w:rPr>
              <w:t>Aiken, South Carolina</w:t>
            </w: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225</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Owned</w:t>
            </w: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rPr>
              <w:t>Auburn General Hospital..........</w:t>
            </w:r>
          </w:p>
        </w:tc>
        <w:tc>
          <w:tcPr>
            <w:tcW w:w="3240" w:type="dxa"/>
            <w:vAlign w:val="bottom"/>
          </w:tcPr>
          <w:p>
            <w:pPr>
              <w:spacing w:after="0"/>
              <w:rPr>
                <w:sz w:val="20"/>
                <w:szCs w:val="20"/>
                <w:color w:val="auto"/>
              </w:rPr>
            </w:pPr>
            <w:r>
              <w:rPr>
                <w:rFonts w:ascii="Courier New" w:cs="Courier New" w:eastAsia="Courier New" w:hAnsi="Courier New"/>
                <w:sz w:val="16"/>
                <w:szCs w:val="16"/>
                <w:color w:val="auto"/>
              </w:rPr>
              <w:t>Auburn, Washington</w:t>
            </w: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149</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Owned</w:t>
            </w: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rPr>
              <w:t>Chalmette Medical Center(1)......</w:t>
            </w:r>
          </w:p>
        </w:tc>
        <w:tc>
          <w:tcPr>
            <w:tcW w:w="3240" w:type="dxa"/>
            <w:vAlign w:val="bottom"/>
          </w:tcPr>
          <w:p>
            <w:pPr>
              <w:spacing w:after="0"/>
              <w:rPr>
                <w:sz w:val="20"/>
                <w:szCs w:val="20"/>
                <w:color w:val="auto"/>
              </w:rPr>
            </w:pPr>
            <w:r>
              <w:rPr>
                <w:rFonts w:ascii="Courier New" w:cs="Courier New" w:eastAsia="Courier New" w:hAnsi="Courier New"/>
                <w:sz w:val="16"/>
                <w:szCs w:val="16"/>
                <w:color w:val="auto"/>
              </w:rPr>
              <w:t>Chalmette, Louisiana</w:t>
            </w: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118</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Leased</w:t>
            </w: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rPr>
              <w:t>Doctors' Hospital of</w:t>
            </w:r>
          </w:p>
        </w:tc>
        <w:tc>
          <w:tcPr>
            <w:tcW w:w="3240" w:type="dxa"/>
            <w:vAlign w:val="bottom"/>
          </w:tcPr>
          <w:p>
            <w:pPr>
              <w:spacing w:after="0"/>
              <w:rPr>
                <w:sz w:val="20"/>
                <w:szCs w:val="20"/>
                <w:color w:val="auto"/>
              </w:rPr>
            </w:pPr>
            <w:r>
              <w:rPr>
                <w:rFonts w:ascii="Courier New" w:cs="Courier New" w:eastAsia="Courier New" w:hAnsi="Courier New"/>
                <w:sz w:val="16"/>
                <w:szCs w:val="16"/>
                <w:color w:val="auto"/>
              </w:rPr>
              <w:t>Shreveport, Louisiana</w:t>
            </w:r>
          </w:p>
        </w:tc>
        <w:tc>
          <w:tcPr>
            <w:tcW w:w="124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3"/>
        </w:trPr>
        <w:tc>
          <w:tcPr>
            <w:tcW w:w="3340" w:type="dxa"/>
            <w:vAlign w:val="bottom"/>
          </w:tcPr>
          <w:p>
            <w:pPr>
              <w:ind w:left="180"/>
              <w:spacing w:after="0"/>
              <w:rPr>
                <w:sz w:val="20"/>
                <w:szCs w:val="20"/>
                <w:color w:val="auto"/>
              </w:rPr>
            </w:pPr>
            <w:r>
              <w:rPr>
                <w:rFonts w:ascii="Courier New" w:cs="Courier New" w:eastAsia="Courier New" w:hAnsi="Courier New"/>
                <w:sz w:val="16"/>
                <w:szCs w:val="16"/>
                <w:color w:val="auto"/>
              </w:rPr>
              <w:t>Shreveport(2)..................</w:t>
            </w:r>
          </w:p>
        </w:tc>
        <w:tc>
          <w:tcPr>
            <w:tcW w:w="3240" w:type="dxa"/>
            <w:vAlign w:val="bottom"/>
          </w:tcPr>
          <w:p>
            <w:pPr>
              <w:spacing w:after="0"/>
              <w:rPr>
                <w:sz w:val="15"/>
                <w:szCs w:val="15"/>
                <w:color w:val="auto"/>
              </w:rPr>
            </w:pP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136</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Leased</w:t>
            </w: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rPr>
              <w:t>Edinburg Hospital................</w:t>
            </w:r>
          </w:p>
        </w:tc>
        <w:tc>
          <w:tcPr>
            <w:tcW w:w="3240" w:type="dxa"/>
            <w:vAlign w:val="bottom"/>
          </w:tcPr>
          <w:p>
            <w:pPr>
              <w:spacing w:after="0"/>
              <w:rPr>
                <w:sz w:val="20"/>
                <w:szCs w:val="20"/>
                <w:color w:val="auto"/>
              </w:rPr>
            </w:pPr>
            <w:r>
              <w:rPr>
                <w:rFonts w:ascii="Courier New" w:cs="Courier New" w:eastAsia="Courier New" w:hAnsi="Courier New"/>
                <w:sz w:val="16"/>
                <w:szCs w:val="16"/>
                <w:color w:val="auto"/>
              </w:rPr>
              <w:t>Edinburg, Texas</w:t>
            </w: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112</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Owned</w:t>
            </w: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rPr>
              <w:t>Inland Valley Regional Medical</w:t>
            </w:r>
          </w:p>
        </w:tc>
        <w:tc>
          <w:tcPr>
            <w:tcW w:w="3240" w:type="dxa"/>
            <w:vAlign w:val="bottom"/>
          </w:tcPr>
          <w:p>
            <w:pPr>
              <w:spacing w:after="0"/>
              <w:rPr>
                <w:sz w:val="20"/>
                <w:szCs w:val="20"/>
                <w:color w:val="auto"/>
              </w:rPr>
            </w:pPr>
            <w:r>
              <w:rPr>
                <w:rFonts w:ascii="Courier New" w:cs="Courier New" w:eastAsia="Courier New" w:hAnsi="Courier New"/>
                <w:sz w:val="16"/>
                <w:szCs w:val="16"/>
                <w:color w:val="auto"/>
              </w:rPr>
              <w:t>Wildomar,California</w:t>
            </w:r>
          </w:p>
        </w:tc>
        <w:tc>
          <w:tcPr>
            <w:tcW w:w="124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3"/>
        </w:trPr>
        <w:tc>
          <w:tcPr>
            <w:tcW w:w="3340" w:type="dxa"/>
            <w:vAlign w:val="bottom"/>
          </w:tcPr>
          <w:p>
            <w:pPr>
              <w:ind w:left="180"/>
              <w:spacing w:after="0"/>
              <w:rPr>
                <w:sz w:val="20"/>
                <w:szCs w:val="20"/>
                <w:color w:val="auto"/>
              </w:rPr>
            </w:pPr>
            <w:r>
              <w:rPr>
                <w:rFonts w:ascii="Courier New" w:cs="Courier New" w:eastAsia="Courier New" w:hAnsi="Courier New"/>
                <w:sz w:val="16"/>
                <w:szCs w:val="16"/>
                <w:color w:val="auto"/>
              </w:rPr>
              <w:t>Center(1)......................</w:t>
            </w:r>
          </w:p>
        </w:tc>
        <w:tc>
          <w:tcPr>
            <w:tcW w:w="3240" w:type="dxa"/>
            <w:vAlign w:val="bottom"/>
          </w:tcPr>
          <w:p>
            <w:pPr>
              <w:spacing w:after="0"/>
              <w:rPr>
                <w:sz w:val="15"/>
                <w:szCs w:val="15"/>
                <w:color w:val="auto"/>
              </w:rPr>
            </w:pP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80</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Leased</w:t>
            </w: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rPr>
              <w:t>Manatee Memorial Hospital........</w:t>
            </w:r>
          </w:p>
        </w:tc>
        <w:tc>
          <w:tcPr>
            <w:tcW w:w="3240" w:type="dxa"/>
            <w:vAlign w:val="bottom"/>
          </w:tcPr>
          <w:p>
            <w:pPr>
              <w:spacing w:after="0"/>
              <w:rPr>
                <w:sz w:val="20"/>
                <w:szCs w:val="20"/>
                <w:color w:val="auto"/>
              </w:rPr>
            </w:pPr>
            <w:r>
              <w:rPr>
                <w:rFonts w:ascii="Courier New" w:cs="Courier New" w:eastAsia="Courier New" w:hAnsi="Courier New"/>
                <w:sz w:val="16"/>
                <w:szCs w:val="16"/>
                <w:color w:val="auto"/>
              </w:rPr>
              <w:t>Bradenton, Florida</w:t>
            </w: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512</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Owned</w:t>
            </w: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rPr>
              <w:t>McAllen Medical Center(1)........</w:t>
            </w:r>
          </w:p>
        </w:tc>
        <w:tc>
          <w:tcPr>
            <w:tcW w:w="3240" w:type="dxa"/>
            <w:vAlign w:val="bottom"/>
          </w:tcPr>
          <w:p>
            <w:pPr>
              <w:spacing w:after="0"/>
              <w:rPr>
                <w:sz w:val="20"/>
                <w:szCs w:val="20"/>
                <w:color w:val="auto"/>
              </w:rPr>
            </w:pPr>
            <w:r>
              <w:rPr>
                <w:rFonts w:ascii="Courier New" w:cs="Courier New" w:eastAsia="Courier New" w:hAnsi="Courier New"/>
                <w:sz w:val="16"/>
                <w:szCs w:val="16"/>
                <w:color w:val="auto"/>
              </w:rPr>
              <w:t>McAllen, Texas</w:t>
            </w: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475</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Leased</w:t>
            </w: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rPr>
              <w:t>Northern Nevada Medical</w:t>
            </w:r>
          </w:p>
        </w:tc>
        <w:tc>
          <w:tcPr>
            <w:tcW w:w="3240" w:type="dxa"/>
            <w:vAlign w:val="bottom"/>
          </w:tcPr>
          <w:p>
            <w:pPr>
              <w:spacing w:after="0"/>
              <w:rPr>
                <w:sz w:val="20"/>
                <w:szCs w:val="20"/>
                <w:color w:val="auto"/>
              </w:rPr>
            </w:pPr>
            <w:r>
              <w:rPr>
                <w:rFonts w:ascii="Courier New" w:cs="Courier New" w:eastAsia="Courier New" w:hAnsi="Courier New"/>
                <w:sz w:val="16"/>
                <w:szCs w:val="16"/>
                <w:color w:val="auto"/>
              </w:rPr>
              <w:t>Sparks, Nevada</w:t>
            </w:r>
          </w:p>
        </w:tc>
        <w:tc>
          <w:tcPr>
            <w:tcW w:w="124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3"/>
        </w:trPr>
        <w:tc>
          <w:tcPr>
            <w:tcW w:w="3340" w:type="dxa"/>
            <w:vAlign w:val="bottom"/>
          </w:tcPr>
          <w:p>
            <w:pPr>
              <w:ind w:left="180"/>
              <w:spacing w:after="0"/>
              <w:rPr>
                <w:sz w:val="20"/>
                <w:szCs w:val="20"/>
                <w:color w:val="auto"/>
              </w:rPr>
            </w:pPr>
            <w:r>
              <w:rPr>
                <w:rFonts w:ascii="Courier New" w:cs="Courier New" w:eastAsia="Courier New" w:hAnsi="Courier New"/>
                <w:sz w:val="16"/>
                <w:szCs w:val="16"/>
                <w:color w:val="auto"/>
              </w:rPr>
              <w:t>Center(3)......................</w:t>
            </w:r>
          </w:p>
        </w:tc>
        <w:tc>
          <w:tcPr>
            <w:tcW w:w="3240" w:type="dxa"/>
            <w:vAlign w:val="bottom"/>
          </w:tcPr>
          <w:p>
            <w:pPr>
              <w:spacing w:after="0"/>
              <w:rPr>
                <w:sz w:val="15"/>
                <w:szCs w:val="15"/>
                <w:color w:val="auto"/>
              </w:rPr>
            </w:pP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150</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Owned</w:t>
            </w: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rPr>
              <w:t>Northwest Texas Health Systems...</w:t>
            </w:r>
          </w:p>
        </w:tc>
        <w:tc>
          <w:tcPr>
            <w:tcW w:w="3240" w:type="dxa"/>
            <w:vAlign w:val="bottom"/>
          </w:tcPr>
          <w:p>
            <w:pPr>
              <w:spacing w:after="0"/>
              <w:rPr>
                <w:sz w:val="20"/>
                <w:szCs w:val="20"/>
                <w:color w:val="auto"/>
              </w:rPr>
            </w:pPr>
            <w:r>
              <w:rPr>
                <w:rFonts w:ascii="Courier New" w:cs="Courier New" w:eastAsia="Courier New" w:hAnsi="Courier New"/>
                <w:sz w:val="16"/>
                <w:szCs w:val="16"/>
                <w:color w:val="auto"/>
              </w:rPr>
              <w:t>Amarillo, Texas</w:t>
            </w: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360</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Owned</w:t>
            </w: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rPr>
              <w:t>Renaissance Centers for</w:t>
            </w:r>
          </w:p>
        </w:tc>
        <w:tc>
          <w:tcPr>
            <w:tcW w:w="3240" w:type="dxa"/>
            <w:vAlign w:val="bottom"/>
          </w:tcPr>
          <w:p>
            <w:pPr>
              <w:spacing w:after="0"/>
              <w:rPr>
                <w:sz w:val="20"/>
                <w:szCs w:val="20"/>
                <w:color w:val="auto"/>
              </w:rPr>
            </w:pPr>
            <w:r>
              <w:rPr>
                <w:rFonts w:ascii="Courier New" w:cs="Courier New" w:eastAsia="Courier New" w:hAnsi="Courier New"/>
                <w:sz w:val="16"/>
                <w:szCs w:val="16"/>
                <w:color w:val="auto"/>
              </w:rPr>
              <w:t>Edmond, Oklahoma</w:t>
            </w:r>
          </w:p>
        </w:tc>
        <w:tc>
          <w:tcPr>
            <w:tcW w:w="124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3"/>
        </w:trPr>
        <w:tc>
          <w:tcPr>
            <w:tcW w:w="3340" w:type="dxa"/>
            <w:vAlign w:val="bottom"/>
          </w:tcPr>
          <w:p>
            <w:pPr>
              <w:ind w:left="180"/>
              <w:spacing w:after="0"/>
              <w:rPr>
                <w:sz w:val="20"/>
                <w:szCs w:val="20"/>
                <w:color w:val="auto"/>
              </w:rPr>
            </w:pPr>
            <w:r>
              <w:rPr>
                <w:rFonts w:ascii="Courier New" w:cs="Courier New" w:eastAsia="Courier New" w:hAnsi="Courier New"/>
                <w:sz w:val="16"/>
                <w:szCs w:val="16"/>
                <w:color w:val="auto"/>
              </w:rPr>
              <w:t>Women(4).......................</w:t>
            </w:r>
          </w:p>
        </w:tc>
        <w:tc>
          <w:tcPr>
            <w:tcW w:w="3240" w:type="dxa"/>
            <w:vAlign w:val="bottom"/>
          </w:tcPr>
          <w:p>
            <w:pPr>
              <w:spacing w:after="0"/>
              <w:rPr>
                <w:sz w:val="15"/>
                <w:szCs w:val="15"/>
                <w:color w:val="auto"/>
              </w:rPr>
            </w:pP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14</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Owned</w:t>
            </w: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rPr>
              <w:t>River Parishes Hospitals(5)......</w:t>
            </w:r>
          </w:p>
        </w:tc>
        <w:tc>
          <w:tcPr>
            <w:tcW w:w="3240" w:type="dxa"/>
            <w:vAlign w:val="bottom"/>
          </w:tcPr>
          <w:p>
            <w:pPr>
              <w:spacing w:after="0"/>
              <w:rPr>
                <w:sz w:val="20"/>
                <w:szCs w:val="20"/>
                <w:color w:val="auto"/>
              </w:rPr>
            </w:pPr>
            <w:r>
              <w:rPr>
                <w:rFonts w:ascii="Courier New" w:cs="Courier New" w:eastAsia="Courier New" w:hAnsi="Courier New"/>
                <w:sz w:val="16"/>
                <w:szCs w:val="16"/>
                <w:color w:val="auto"/>
              </w:rPr>
              <w:t>LaPlace and Chalmette, Louisiana</w:t>
            </w: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175</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7"/>
              </w:rPr>
              <w:t>Leased/Owned</w:t>
            </w: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rPr>
              <w:t>Valley Hospital Medical Center...</w:t>
            </w:r>
          </w:p>
        </w:tc>
        <w:tc>
          <w:tcPr>
            <w:tcW w:w="3240" w:type="dxa"/>
            <w:vAlign w:val="bottom"/>
          </w:tcPr>
          <w:p>
            <w:pPr>
              <w:spacing w:after="0"/>
              <w:rPr>
                <w:sz w:val="20"/>
                <w:szCs w:val="20"/>
                <w:color w:val="auto"/>
              </w:rPr>
            </w:pPr>
            <w:r>
              <w:rPr>
                <w:rFonts w:ascii="Courier New" w:cs="Courier New" w:eastAsia="Courier New" w:hAnsi="Courier New"/>
                <w:sz w:val="16"/>
                <w:szCs w:val="16"/>
                <w:color w:val="auto"/>
              </w:rPr>
              <w:t>Las Vegas, Nevada</w:t>
            </w: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398</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Owned</w:t>
            </w: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rPr>
              <w:t>Victoria Regional Medical</w:t>
            </w:r>
          </w:p>
        </w:tc>
        <w:tc>
          <w:tcPr>
            <w:tcW w:w="3240" w:type="dxa"/>
            <w:vAlign w:val="bottom"/>
          </w:tcPr>
          <w:p>
            <w:pPr>
              <w:spacing w:after="0"/>
              <w:rPr>
                <w:sz w:val="20"/>
                <w:szCs w:val="20"/>
                <w:color w:val="auto"/>
              </w:rPr>
            </w:pPr>
            <w:r>
              <w:rPr>
                <w:rFonts w:ascii="Courier New" w:cs="Courier New" w:eastAsia="Courier New" w:hAnsi="Courier New"/>
                <w:sz w:val="16"/>
                <w:szCs w:val="16"/>
                <w:color w:val="auto"/>
              </w:rPr>
              <w:t>Victoria, Texas</w:t>
            </w:r>
          </w:p>
        </w:tc>
        <w:tc>
          <w:tcPr>
            <w:tcW w:w="124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3"/>
        </w:trPr>
        <w:tc>
          <w:tcPr>
            <w:tcW w:w="3340" w:type="dxa"/>
            <w:vAlign w:val="bottom"/>
          </w:tcPr>
          <w:p>
            <w:pPr>
              <w:ind w:left="180"/>
              <w:spacing w:after="0"/>
              <w:rPr>
                <w:sz w:val="20"/>
                <w:szCs w:val="20"/>
                <w:color w:val="auto"/>
              </w:rPr>
            </w:pPr>
            <w:r>
              <w:rPr>
                <w:rFonts w:ascii="Courier New" w:cs="Courier New" w:eastAsia="Courier New" w:hAnsi="Courier New"/>
                <w:sz w:val="16"/>
                <w:szCs w:val="16"/>
                <w:color w:val="auto"/>
              </w:rPr>
              <w:t>Center.........................</w:t>
            </w:r>
          </w:p>
        </w:tc>
        <w:tc>
          <w:tcPr>
            <w:tcW w:w="3240" w:type="dxa"/>
            <w:vAlign w:val="bottom"/>
          </w:tcPr>
          <w:p>
            <w:pPr>
              <w:spacing w:after="0"/>
              <w:rPr>
                <w:sz w:val="15"/>
                <w:szCs w:val="15"/>
                <w:color w:val="auto"/>
              </w:rPr>
            </w:pP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147</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Owned</w:t>
            </w: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rPr>
              <w:t>Wellington Regional Medical</w:t>
            </w:r>
          </w:p>
        </w:tc>
        <w:tc>
          <w:tcPr>
            <w:tcW w:w="3240" w:type="dxa"/>
            <w:vAlign w:val="bottom"/>
          </w:tcPr>
          <w:p>
            <w:pPr>
              <w:spacing w:after="0"/>
              <w:rPr>
                <w:sz w:val="20"/>
                <w:szCs w:val="20"/>
                <w:color w:val="auto"/>
              </w:rPr>
            </w:pPr>
            <w:r>
              <w:rPr>
                <w:rFonts w:ascii="Courier New" w:cs="Courier New" w:eastAsia="Courier New" w:hAnsi="Courier New"/>
                <w:sz w:val="16"/>
                <w:szCs w:val="16"/>
                <w:color w:val="auto"/>
              </w:rPr>
              <w:t>West Palm Beach, Florida</w:t>
            </w:r>
          </w:p>
        </w:tc>
        <w:tc>
          <w:tcPr>
            <w:tcW w:w="124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3"/>
        </w:trPr>
        <w:tc>
          <w:tcPr>
            <w:tcW w:w="3340" w:type="dxa"/>
            <w:vAlign w:val="bottom"/>
          </w:tcPr>
          <w:p>
            <w:pPr>
              <w:ind w:left="180"/>
              <w:spacing w:after="0"/>
              <w:rPr>
                <w:sz w:val="20"/>
                <w:szCs w:val="20"/>
                <w:color w:val="auto"/>
              </w:rPr>
            </w:pPr>
            <w:r>
              <w:rPr>
                <w:rFonts w:ascii="Courier New" w:cs="Courier New" w:eastAsia="Courier New" w:hAnsi="Courier New"/>
                <w:sz w:val="16"/>
                <w:szCs w:val="16"/>
                <w:color w:val="auto"/>
              </w:rPr>
              <w:t>Center(1)......................</w:t>
            </w:r>
          </w:p>
        </w:tc>
        <w:tc>
          <w:tcPr>
            <w:tcW w:w="3240" w:type="dxa"/>
            <w:vAlign w:val="bottom"/>
          </w:tcPr>
          <w:p>
            <w:pPr>
              <w:spacing w:after="0"/>
              <w:rPr>
                <w:sz w:val="15"/>
                <w:szCs w:val="15"/>
                <w:color w:val="auto"/>
              </w:rPr>
            </w:pP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120</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Leased</w:t>
            </w:r>
          </w:p>
        </w:tc>
      </w:tr>
      <w:tr>
        <w:trPr>
          <w:trHeight w:val="734"/>
        </w:trPr>
        <w:tc>
          <w:tcPr>
            <w:tcW w:w="6580" w:type="dxa"/>
            <w:vAlign w:val="bottom"/>
            <w:gridSpan w:val="2"/>
          </w:tcPr>
          <w:p>
            <w:pPr>
              <w:ind w:left="2580"/>
              <w:spacing w:after="0"/>
              <w:rPr>
                <w:sz w:val="20"/>
                <w:szCs w:val="20"/>
                <w:color w:val="auto"/>
              </w:rPr>
            </w:pPr>
            <w:r>
              <w:rPr>
                <w:rFonts w:ascii="Courier New" w:cs="Courier New" w:eastAsia="Courier New" w:hAnsi="Courier New"/>
                <w:sz w:val="16"/>
                <w:szCs w:val="16"/>
                <w:color w:val="auto"/>
              </w:rPr>
              <w:t>BEHAVIORAL HEALTH CENTERS</w:t>
            </w:r>
          </w:p>
        </w:tc>
        <w:tc>
          <w:tcPr>
            <w:tcW w:w="12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917"/>
        </w:trPr>
        <w:tc>
          <w:tcPr>
            <w:tcW w:w="33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240" w:type="dxa"/>
            <w:vAlign w:val="bottom"/>
          </w:tcPr>
          <w:p>
            <w:pPr>
              <w:ind w:left="580"/>
              <w:spacing w:after="0"/>
              <w:rPr>
                <w:sz w:val="20"/>
                <w:szCs w:val="20"/>
                <w:color w:val="auto"/>
              </w:rPr>
            </w:pPr>
            <w:r>
              <w:rPr>
                <w:rFonts w:ascii="Courier New" w:cs="Courier New" w:eastAsia="Courier New" w:hAnsi="Courier New"/>
                <w:sz w:val="16"/>
                <w:szCs w:val="16"/>
                <w:color w:val="auto"/>
              </w:rPr>
              <w:t>NUMBER</w:t>
            </w:r>
          </w:p>
        </w:tc>
        <w:tc>
          <w:tcPr>
            <w:tcW w:w="1420" w:type="dxa"/>
            <w:vAlign w:val="bottom"/>
          </w:tcPr>
          <w:p>
            <w:pPr>
              <w:spacing w:after="0"/>
              <w:rPr>
                <w:sz w:val="24"/>
                <w:szCs w:val="24"/>
                <w:color w:val="auto"/>
              </w:rPr>
            </w:pPr>
          </w:p>
        </w:tc>
      </w:tr>
      <w:tr>
        <w:trPr>
          <w:trHeight w:val="183"/>
        </w:trPr>
        <w:tc>
          <w:tcPr>
            <w:tcW w:w="3340" w:type="dxa"/>
            <w:vAlign w:val="bottom"/>
          </w:tcPr>
          <w:p>
            <w:pPr>
              <w:ind w:left="860"/>
              <w:spacing w:after="0"/>
              <w:rPr>
                <w:sz w:val="20"/>
                <w:szCs w:val="20"/>
                <w:color w:val="auto"/>
              </w:rPr>
            </w:pPr>
            <w:r>
              <w:rPr>
                <w:rFonts w:ascii="Courier New" w:cs="Courier New" w:eastAsia="Courier New" w:hAnsi="Courier New"/>
                <w:sz w:val="16"/>
                <w:szCs w:val="16"/>
                <w:color w:val="auto"/>
              </w:rPr>
              <w:t>NAME OF FACILITY</w:t>
            </w:r>
          </w:p>
        </w:tc>
        <w:tc>
          <w:tcPr>
            <w:tcW w:w="3240" w:type="dxa"/>
            <w:vAlign w:val="bottom"/>
          </w:tcPr>
          <w:p>
            <w:pPr>
              <w:ind w:left="1420"/>
              <w:spacing w:after="0"/>
              <w:rPr>
                <w:sz w:val="20"/>
                <w:szCs w:val="20"/>
                <w:color w:val="auto"/>
              </w:rPr>
            </w:pPr>
            <w:r>
              <w:rPr>
                <w:rFonts w:ascii="Courier New" w:cs="Courier New" w:eastAsia="Courier New" w:hAnsi="Courier New"/>
                <w:sz w:val="16"/>
                <w:szCs w:val="16"/>
                <w:color w:val="auto"/>
              </w:rPr>
              <w:t>LOCATION</w:t>
            </w:r>
          </w:p>
        </w:tc>
        <w:tc>
          <w:tcPr>
            <w:tcW w:w="1240" w:type="dxa"/>
            <w:vAlign w:val="bottom"/>
          </w:tcPr>
          <w:p>
            <w:pPr>
              <w:ind w:left="580"/>
              <w:spacing w:after="0"/>
              <w:rPr>
                <w:sz w:val="20"/>
                <w:szCs w:val="20"/>
                <w:color w:val="auto"/>
              </w:rPr>
            </w:pPr>
            <w:r>
              <w:rPr>
                <w:rFonts w:ascii="Courier New" w:cs="Courier New" w:eastAsia="Courier New" w:hAnsi="Courier New"/>
                <w:sz w:val="16"/>
                <w:szCs w:val="16"/>
                <w:color w:val="auto"/>
                <w:w w:val="95"/>
              </w:rPr>
              <w:t>OF BEDS</w:t>
            </w: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OWNERSHIP</w:t>
            </w:r>
          </w:p>
        </w:tc>
      </w:tr>
      <w:tr>
        <w:trPr>
          <w:trHeight w:val="183"/>
        </w:trPr>
        <w:tc>
          <w:tcPr>
            <w:tcW w:w="3340" w:type="dxa"/>
            <w:vAlign w:val="bottom"/>
          </w:tcPr>
          <w:p>
            <w:pPr>
              <w:ind w:left="860"/>
              <w:spacing w:after="0"/>
              <w:rPr>
                <w:sz w:val="20"/>
                <w:szCs w:val="20"/>
                <w:color w:val="auto"/>
              </w:rPr>
            </w:pPr>
            <w:r>
              <w:rPr>
                <w:rFonts w:ascii="Courier New" w:cs="Courier New" w:eastAsia="Courier New" w:hAnsi="Courier New"/>
                <w:sz w:val="16"/>
                <w:szCs w:val="16"/>
                <w:color w:val="auto"/>
              </w:rPr>
              <w:t>----------------</w:t>
            </w:r>
          </w:p>
        </w:tc>
        <w:tc>
          <w:tcPr>
            <w:tcW w:w="3240" w:type="dxa"/>
            <w:vAlign w:val="bottom"/>
          </w:tcPr>
          <w:p>
            <w:pPr>
              <w:ind w:left="142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ind w:left="580"/>
              <w:spacing w:after="0"/>
              <w:rPr>
                <w:sz w:val="20"/>
                <w:szCs w:val="20"/>
                <w:color w:val="auto"/>
              </w:rPr>
            </w:pPr>
            <w:r>
              <w:rPr>
                <w:rFonts w:ascii="Courier New" w:cs="Courier New" w:eastAsia="Courier New" w:hAnsi="Courier New"/>
                <w:sz w:val="16"/>
                <w:szCs w:val="16"/>
                <w:color w:val="auto"/>
                <w:w w:val="95"/>
              </w:rPr>
              <w:t>-------</w:t>
            </w: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7"/>
        </w:trPr>
        <w:tc>
          <w:tcPr>
            <w:tcW w:w="3340" w:type="dxa"/>
            <w:vAlign w:val="bottom"/>
          </w:tcPr>
          <w:p>
            <w:pPr>
              <w:spacing w:after="0"/>
              <w:rPr>
                <w:sz w:val="20"/>
                <w:szCs w:val="20"/>
                <w:color w:val="auto"/>
              </w:rPr>
            </w:pPr>
            <w:r>
              <w:rPr>
                <w:rFonts w:ascii="Courier New" w:cs="Courier New" w:eastAsia="Courier New" w:hAnsi="Courier New"/>
                <w:sz w:val="16"/>
                <w:szCs w:val="16"/>
                <w:color w:val="auto"/>
                <w:w w:val="98"/>
              </w:rPr>
              <w:t>The Arbour Hospital................</w:t>
            </w:r>
          </w:p>
        </w:tc>
        <w:tc>
          <w:tcPr>
            <w:tcW w:w="3240" w:type="dxa"/>
            <w:vAlign w:val="bottom"/>
          </w:tcPr>
          <w:p>
            <w:pPr>
              <w:ind w:left="180"/>
              <w:spacing w:after="0"/>
              <w:rPr>
                <w:sz w:val="20"/>
                <w:szCs w:val="20"/>
                <w:color w:val="auto"/>
              </w:rPr>
            </w:pPr>
            <w:r>
              <w:rPr>
                <w:rFonts w:ascii="Courier New" w:cs="Courier New" w:eastAsia="Courier New" w:hAnsi="Courier New"/>
                <w:sz w:val="16"/>
                <w:szCs w:val="16"/>
                <w:color w:val="auto"/>
              </w:rPr>
              <w:t>Boston, Massachusetts</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118</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Owned</w:t>
            </w: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w w:val="98"/>
              </w:rPr>
              <w:t>The BridgeWay(1)...................</w:t>
            </w:r>
          </w:p>
        </w:tc>
        <w:tc>
          <w:tcPr>
            <w:tcW w:w="3240" w:type="dxa"/>
            <w:vAlign w:val="bottom"/>
          </w:tcPr>
          <w:p>
            <w:pPr>
              <w:ind w:left="180"/>
              <w:spacing w:after="0"/>
              <w:rPr>
                <w:sz w:val="20"/>
                <w:szCs w:val="20"/>
                <w:color w:val="auto"/>
              </w:rPr>
            </w:pPr>
            <w:r>
              <w:rPr>
                <w:rFonts w:ascii="Courier New" w:cs="Courier New" w:eastAsia="Courier New" w:hAnsi="Courier New"/>
                <w:sz w:val="16"/>
                <w:szCs w:val="16"/>
                <w:color w:val="auto"/>
              </w:rPr>
              <w:t>North Little Rock, Arkansas</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70</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Leased</w:t>
            </w: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w w:val="98"/>
              </w:rPr>
              <w:t>Clarion Psychiatric Center.........</w:t>
            </w:r>
          </w:p>
        </w:tc>
        <w:tc>
          <w:tcPr>
            <w:tcW w:w="3240" w:type="dxa"/>
            <w:vAlign w:val="bottom"/>
          </w:tcPr>
          <w:p>
            <w:pPr>
              <w:ind w:left="180"/>
              <w:spacing w:after="0"/>
              <w:rPr>
                <w:sz w:val="20"/>
                <w:szCs w:val="20"/>
                <w:color w:val="auto"/>
              </w:rPr>
            </w:pPr>
            <w:r>
              <w:rPr>
                <w:rFonts w:ascii="Courier New" w:cs="Courier New" w:eastAsia="Courier New" w:hAnsi="Courier New"/>
                <w:sz w:val="16"/>
                <w:szCs w:val="16"/>
                <w:color w:val="auto"/>
              </w:rPr>
              <w:t>Clarion, Pennsylvania</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52</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Acquisition</w:t>
            </w:r>
          </w:p>
        </w:tc>
      </w:tr>
      <w:tr>
        <w:trPr>
          <w:trHeight w:val="183"/>
        </w:trPr>
        <w:tc>
          <w:tcPr>
            <w:tcW w:w="334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Pending</w:t>
            </w: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w w:val="98"/>
              </w:rPr>
              <w:t>Del Amo Hospital...................</w:t>
            </w:r>
          </w:p>
        </w:tc>
        <w:tc>
          <w:tcPr>
            <w:tcW w:w="3240" w:type="dxa"/>
            <w:vAlign w:val="bottom"/>
          </w:tcPr>
          <w:p>
            <w:pPr>
              <w:ind w:left="180"/>
              <w:spacing w:after="0"/>
              <w:rPr>
                <w:sz w:val="20"/>
                <w:szCs w:val="20"/>
                <w:color w:val="auto"/>
              </w:rPr>
            </w:pPr>
            <w:r>
              <w:rPr>
                <w:rFonts w:ascii="Courier New" w:cs="Courier New" w:eastAsia="Courier New" w:hAnsi="Courier New"/>
                <w:sz w:val="16"/>
                <w:szCs w:val="16"/>
                <w:color w:val="auto"/>
              </w:rPr>
              <w:t>Torrance, California</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166</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Owned</w:t>
            </w: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w w:val="98"/>
              </w:rPr>
              <w:t>Forest View Hospital...............</w:t>
            </w:r>
          </w:p>
        </w:tc>
        <w:tc>
          <w:tcPr>
            <w:tcW w:w="3240" w:type="dxa"/>
            <w:vAlign w:val="bottom"/>
          </w:tcPr>
          <w:p>
            <w:pPr>
              <w:ind w:left="180"/>
              <w:spacing w:after="0"/>
              <w:rPr>
                <w:sz w:val="20"/>
                <w:szCs w:val="20"/>
                <w:color w:val="auto"/>
              </w:rPr>
            </w:pPr>
            <w:r>
              <w:rPr>
                <w:rFonts w:ascii="Courier New" w:cs="Courier New" w:eastAsia="Courier New" w:hAnsi="Courier New"/>
                <w:sz w:val="16"/>
                <w:szCs w:val="16"/>
                <w:color w:val="auto"/>
              </w:rPr>
              <w:t>Grand Rapids, Michigan</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62</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Owned</w:t>
            </w: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rPr>
              <w:t>Fuller Memorial Psychiatric</w:t>
            </w:r>
          </w:p>
        </w:tc>
        <w:tc>
          <w:tcPr>
            <w:tcW w:w="3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3"/>
        </w:trPr>
        <w:tc>
          <w:tcPr>
            <w:tcW w:w="3340" w:type="dxa"/>
            <w:vAlign w:val="bottom"/>
          </w:tcPr>
          <w:p>
            <w:pPr>
              <w:ind w:left="180"/>
              <w:spacing w:after="0"/>
              <w:rPr>
                <w:sz w:val="20"/>
                <w:szCs w:val="20"/>
                <w:color w:val="auto"/>
              </w:rPr>
            </w:pPr>
            <w:r>
              <w:rPr>
                <w:rFonts w:ascii="Courier New" w:cs="Courier New" w:eastAsia="Courier New" w:hAnsi="Courier New"/>
                <w:sz w:val="16"/>
                <w:szCs w:val="16"/>
                <w:color w:val="auto"/>
                <w:w w:val="99"/>
              </w:rPr>
              <w:t>Hospital.........................</w:t>
            </w:r>
          </w:p>
        </w:tc>
        <w:tc>
          <w:tcPr>
            <w:tcW w:w="3240" w:type="dxa"/>
            <w:vAlign w:val="bottom"/>
          </w:tcPr>
          <w:p>
            <w:pPr>
              <w:ind w:left="180"/>
              <w:spacing w:after="0"/>
              <w:rPr>
                <w:sz w:val="20"/>
                <w:szCs w:val="20"/>
                <w:color w:val="auto"/>
              </w:rPr>
            </w:pPr>
            <w:r>
              <w:rPr>
                <w:rFonts w:ascii="Courier New" w:cs="Courier New" w:eastAsia="Courier New" w:hAnsi="Courier New"/>
                <w:sz w:val="16"/>
                <w:szCs w:val="16"/>
                <w:color w:val="auto"/>
              </w:rPr>
              <w:t>South Attleboro, Massachusetts</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82</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Owned</w:t>
            </w: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w w:val="98"/>
              </w:rPr>
              <w:t>Glen Oaks Hospital.................</w:t>
            </w:r>
          </w:p>
        </w:tc>
        <w:tc>
          <w:tcPr>
            <w:tcW w:w="3240" w:type="dxa"/>
            <w:vAlign w:val="bottom"/>
          </w:tcPr>
          <w:p>
            <w:pPr>
              <w:ind w:left="180"/>
              <w:spacing w:after="0"/>
              <w:rPr>
                <w:sz w:val="20"/>
                <w:szCs w:val="20"/>
                <w:color w:val="auto"/>
              </w:rPr>
            </w:pPr>
            <w:r>
              <w:rPr>
                <w:rFonts w:ascii="Courier New" w:cs="Courier New" w:eastAsia="Courier New" w:hAnsi="Courier New"/>
                <w:sz w:val="16"/>
                <w:szCs w:val="16"/>
                <w:color w:val="auto"/>
              </w:rPr>
              <w:t>Greenville, Texas</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54</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Owned</w:t>
            </w: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w w:val="98"/>
              </w:rPr>
              <w:t>The Horsham Clinic.................</w:t>
            </w:r>
          </w:p>
        </w:tc>
        <w:tc>
          <w:tcPr>
            <w:tcW w:w="3240" w:type="dxa"/>
            <w:vAlign w:val="bottom"/>
          </w:tcPr>
          <w:p>
            <w:pPr>
              <w:ind w:left="180"/>
              <w:spacing w:after="0"/>
              <w:rPr>
                <w:sz w:val="20"/>
                <w:szCs w:val="20"/>
                <w:color w:val="auto"/>
              </w:rPr>
            </w:pPr>
            <w:r>
              <w:rPr>
                <w:rFonts w:ascii="Courier New" w:cs="Courier New" w:eastAsia="Courier New" w:hAnsi="Courier New"/>
                <w:sz w:val="16"/>
                <w:szCs w:val="16"/>
                <w:color w:val="auto"/>
              </w:rPr>
              <w:t>Ambler, Pennsylvania</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138</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Acquisition</w:t>
            </w:r>
          </w:p>
        </w:tc>
      </w:tr>
      <w:tr>
        <w:trPr>
          <w:trHeight w:val="183"/>
        </w:trPr>
        <w:tc>
          <w:tcPr>
            <w:tcW w:w="334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Pending</w:t>
            </w: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w w:val="98"/>
              </w:rPr>
              <w:t>HRI Hospital.......................</w:t>
            </w:r>
          </w:p>
        </w:tc>
        <w:tc>
          <w:tcPr>
            <w:tcW w:w="3240" w:type="dxa"/>
            <w:vAlign w:val="bottom"/>
          </w:tcPr>
          <w:p>
            <w:pPr>
              <w:ind w:left="180"/>
              <w:spacing w:after="0"/>
              <w:rPr>
                <w:sz w:val="20"/>
                <w:szCs w:val="20"/>
                <w:color w:val="auto"/>
              </w:rPr>
            </w:pPr>
            <w:r>
              <w:rPr>
                <w:rFonts w:ascii="Courier New" w:cs="Courier New" w:eastAsia="Courier New" w:hAnsi="Courier New"/>
                <w:sz w:val="16"/>
                <w:szCs w:val="16"/>
                <w:color w:val="auto"/>
              </w:rPr>
              <w:t>Brookline, Massachusetts</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68</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Owned</w:t>
            </w: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w w:val="98"/>
              </w:rPr>
              <w:t>KeyStone Center(6).................</w:t>
            </w:r>
          </w:p>
        </w:tc>
        <w:tc>
          <w:tcPr>
            <w:tcW w:w="3240" w:type="dxa"/>
            <w:vAlign w:val="bottom"/>
          </w:tcPr>
          <w:p>
            <w:pPr>
              <w:ind w:left="180"/>
              <w:spacing w:after="0"/>
              <w:rPr>
                <w:sz w:val="20"/>
                <w:szCs w:val="20"/>
                <w:color w:val="auto"/>
              </w:rPr>
            </w:pPr>
            <w:r>
              <w:rPr>
                <w:rFonts w:ascii="Courier New" w:cs="Courier New" w:eastAsia="Courier New" w:hAnsi="Courier New"/>
                <w:sz w:val="16"/>
                <w:szCs w:val="16"/>
                <w:color w:val="auto"/>
              </w:rPr>
              <w:t>Wallingford, Pennsylvania</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84</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Owned</w:t>
            </w: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rPr>
              <w:t>La Amistad Residential Treatment</w:t>
            </w:r>
          </w:p>
        </w:tc>
        <w:tc>
          <w:tcPr>
            <w:tcW w:w="3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3"/>
        </w:trPr>
        <w:tc>
          <w:tcPr>
            <w:tcW w:w="3340" w:type="dxa"/>
            <w:vAlign w:val="bottom"/>
          </w:tcPr>
          <w:p>
            <w:pPr>
              <w:ind w:left="180"/>
              <w:spacing w:after="0"/>
              <w:rPr>
                <w:sz w:val="20"/>
                <w:szCs w:val="20"/>
                <w:color w:val="auto"/>
              </w:rPr>
            </w:pPr>
            <w:r>
              <w:rPr>
                <w:rFonts w:ascii="Courier New" w:cs="Courier New" w:eastAsia="Courier New" w:hAnsi="Courier New"/>
                <w:sz w:val="16"/>
                <w:szCs w:val="16"/>
                <w:color w:val="auto"/>
                <w:w w:val="99"/>
              </w:rPr>
              <w:t>Center...........................</w:t>
            </w:r>
          </w:p>
        </w:tc>
        <w:tc>
          <w:tcPr>
            <w:tcW w:w="3240" w:type="dxa"/>
            <w:vAlign w:val="bottom"/>
          </w:tcPr>
          <w:p>
            <w:pPr>
              <w:ind w:left="180"/>
              <w:spacing w:after="0"/>
              <w:rPr>
                <w:sz w:val="20"/>
                <w:szCs w:val="20"/>
                <w:color w:val="auto"/>
              </w:rPr>
            </w:pPr>
            <w:r>
              <w:rPr>
                <w:rFonts w:ascii="Courier New" w:cs="Courier New" w:eastAsia="Courier New" w:hAnsi="Courier New"/>
                <w:sz w:val="16"/>
                <w:szCs w:val="16"/>
                <w:color w:val="auto"/>
              </w:rPr>
              <w:t>Maitland, Florida</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56</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Owned</w:t>
            </w: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w w:val="98"/>
              </w:rPr>
              <w:t>Meridell Achievement Center(1).....</w:t>
            </w:r>
          </w:p>
        </w:tc>
        <w:tc>
          <w:tcPr>
            <w:tcW w:w="3240" w:type="dxa"/>
            <w:vAlign w:val="bottom"/>
          </w:tcPr>
          <w:p>
            <w:pPr>
              <w:ind w:left="180"/>
              <w:spacing w:after="0"/>
              <w:rPr>
                <w:sz w:val="20"/>
                <w:szCs w:val="20"/>
                <w:color w:val="auto"/>
              </w:rPr>
            </w:pPr>
            <w:r>
              <w:rPr>
                <w:rFonts w:ascii="Courier New" w:cs="Courier New" w:eastAsia="Courier New" w:hAnsi="Courier New"/>
                <w:sz w:val="16"/>
                <w:szCs w:val="16"/>
                <w:color w:val="auto"/>
              </w:rPr>
              <w:t>Austin, Texas</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114</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Leased</w:t>
            </w: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w w:val="98"/>
              </w:rPr>
              <w:t>The Meadows Psychiatric Center.....</w:t>
            </w:r>
          </w:p>
        </w:tc>
        <w:tc>
          <w:tcPr>
            <w:tcW w:w="3240" w:type="dxa"/>
            <w:vAlign w:val="bottom"/>
          </w:tcPr>
          <w:p>
            <w:pPr>
              <w:ind w:left="180"/>
              <w:spacing w:after="0"/>
              <w:rPr>
                <w:sz w:val="20"/>
                <w:szCs w:val="20"/>
                <w:color w:val="auto"/>
              </w:rPr>
            </w:pPr>
            <w:r>
              <w:rPr>
                <w:rFonts w:ascii="Courier New" w:cs="Courier New" w:eastAsia="Courier New" w:hAnsi="Courier New"/>
                <w:sz w:val="16"/>
                <w:szCs w:val="16"/>
                <w:color w:val="auto"/>
              </w:rPr>
              <w:t>Centre Hall, Pennsylvania</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101</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Acquisition</w:t>
            </w:r>
          </w:p>
        </w:tc>
      </w:tr>
      <w:tr>
        <w:trPr>
          <w:trHeight w:val="183"/>
        </w:trPr>
        <w:tc>
          <w:tcPr>
            <w:tcW w:w="334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Pending</w:t>
            </w: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w w:val="98"/>
              </w:rPr>
              <w:t>The Pavilion.......................</w:t>
            </w:r>
          </w:p>
        </w:tc>
        <w:tc>
          <w:tcPr>
            <w:tcW w:w="3240" w:type="dxa"/>
            <w:vAlign w:val="bottom"/>
          </w:tcPr>
          <w:p>
            <w:pPr>
              <w:ind w:left="180"/>
              <w:spacing w:after="0"/>
              <w:rPr>
                <w:sz w:val="20"/>
                <w:szCs w:val="20"/>
                <w:color w:val="auto"/>
              </w:rPr>
            </w:pPr>
            <w:r>
              <w:rPr>
                <w:rFonts w:ascii="Courier New" w:cs="Courier New" w:eastAsia="Courier New" w:hAnsi="Courier New"/>
                <w:sz w:val="16"/>
                <w:szCs w:val="16"/>
                <w:color w:val="auto"/>
              </w:rPr>
              <w:t>Champaign, Illinois</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46</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Owned</w:t>
            </w: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w w:val="98"/>
              </w:rPr>
              <w:t>River Crest Hospital...............</w:t>
            </w:r>
          </w:p>
        </w:tc>
        <w:tc>
          <w:tcPr>
            <w:tcW w:w="3240" w:type="dxa"/>
            <w:vAlign w:val="bottom"/>
          </w:tcPr>
          <w:p>
            <w:pPr>
              <w:ind w:left="180"/>
              <w:spacing w:after="0"/>
              <w:rPr>
                <w:sz w:val="20"/>
                <w:szCs w:val="20"/>
                <w:color w:val="auto"/>
              </w:rPr>
            </w:pPr>
            <w:r>
              <w:rPr>
                <w:rFonts w:ascii="Courier New" w:cs="Courier New" w:eastAsia="Courier New" w:hAnsi="Courier New"/>
                <w:sz w:val="16"/>
                <w:szCs w:val="16"/>
                <w:color w:val="auto"/>
              </w:rPr>
              <w:t>San Angelo, Texas</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80</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Owned</w:t>
            </w: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w w:val="98"/>
              </w:rPr>
              <w:t>River Oaks Hospital................</w:t>
            </w:r>
          </w:p>
        </w:tc>
        <w:tc>
          <w:tcPr>
            <w:tcW w:w="3240" w:type="dxa"/>
            <w:vAlign w:val="bottom"/>
          </w:tcPr>
          <w:p>
            <w:pPr>
              <w:ind w:left="180"/>
              <w:spacing w:after="0"/>
              <w:rPr>
                <w:sz w:val="20"/>
                <w:szCs w:val="20"/>
                <w:color w:val="auto"/>
              </w:rPr>
            </w:pPr>
            <w:r>
              <w:rPr>
                <w:rFonts w:ascii="Courier New" w:cs="Courier New" w:eastAsia="Courier New" w:hAnsi="Courier New"/>
                <w:sz w:val="16"/>
                <w:szCs w:val="16"/>
                <w:color w:val="auto"/>
              </w:rPr>
              <w:t>New Orleans, Louisiana</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126</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Owned</w:t>
            </w: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w w:val="98"/>
              </w:rPr>
              <w:t>Roxbury Psychiatric Center.........</w:t>
            </w:r>
          </w:p>
        </w:tc>
        <w:tc>
          <w:tcPr>
            <w:tcW w:w="3240" w:type="dxa"/>
            <w:vAlign w:val="bottom"/>
          </w:tcPr>
          <w:p>
            <w:pPr>
              <w:ind w:left="180"/>
              <w:spacing w:after="0"/>
              <w:rPr>
                <w:sz w:val="20"/>
                <w:szCs w:val="20"/>
                <w:color w:val="auto"/>
              </w:rPr>
            </w:pPr>
            <w:r>
              <w:rPr>
                <w:rFonts w:ascii="Courier New" w:cs="Courier New" w:eastAsia="Courier New" w:hAnsi="Courier New"/>
                <w:sz w:val="16"/>
                <w:szCs w:val="16"/>
                <w:color w:val="auto"/>
              </w:rPr>
              <w:t>Shippensburg, Pennsylvania</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71</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Acquisition</w:t>
            </w:r>
          </w:p>
        </w:tc>
      </w:tr>
      <w:tr>
        <w:trPr>
          <w:trHeight w:val="183"/>
        </w:trPr>
        <w:tc>
          <w:tcPr>
            <w:tcW w:w="334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Pending</w:t>
            </w: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w w:val="98"/>
              </w:rPr>
              <w:t>Turning Point Hospital(6)..........</w:t>
            </w:r>
          </w:p>
        </w:tc>
        <w:tc>
          <w:tcPr>
            <w:tcW w:w="3240" w:type="dxa"/>
            <w:vAlign w:val="bottom"/>
          </w:tcPr>
          <w:p>
            <w:pPr>
              <w:ind w:left="180"/>
              <w:spacing w:after="0"/>
              <w:rPr>
                <w:sz w:val="20"/>
                <w:szCs w:val="20"/>
                <w:color w:val="auto"/>
              </w:rPr>
            </w:pPr>
            <w:r>
              <w:rPr>
                <w:rFonts w:ascii="Courier New" w:cs="Courier New" w:eastAsia="Courier New" w:hAnsi="Courier New"/>
                <w:sz w:val="16"/>
                <w:szCs w:val="16"/>
                <w:color w:val="auto"/>
              </w:rPr>
              <w:t>Moultrie, Georgia</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59</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Owned</w:t>
            </w: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w w:val="98"/>
              </w:rPr>
              <w:t>Two Rivers Psychiatric Hospital....</w:t>
            </w:r>
          </w:p>
        </w:tc>
        <w:tc>
          <w:tcPr>
            <w:tcW w:w="3240" w:type="dxa"/>
            <w:vAlign w:val="bottom"/>
          </w:tcPr>
          <w:p>
            <w:pPr>
              <w:ind w:left="180"/>
              <w:spacing w:after="0"/>
              <w:rPr>
                <w:sz w:val="20"/>
                <w:szCs w:val="20"/>
                <w:color w:val="auto"/>
              </w:rPr>
            </w:pPr>
            <w:r>
              <w:rPr>
                <w:rFonts w:ascii="Courier New" w:cs="Courier New" w:eastAsia="Courier New" w:hAnsi="Courier New"/>
                <w:sz w:val="16"/>
                <w:szCs w:val="16"/>
                <w:color w:val="auto"/>
              </w:rPr>
              <w:t>Kansas City, Missouri</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80</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Owned</w:t>
            </w:r>
          </w:p>
        </w:tc>
      </w:tr>
      <w:tr>
        <w:trPr>
          <w:trHeight w:val="734"/>
        </w:trPr>
        <w:tc>
          <w:tcPr>
            <w:tcW w:w="3340" w:type="dxa"/>
            <w:vAlign w:val="bottom"/>
          </w:tcPr>
          <w:p>
            <w:pPr>
              <w:spacing w:after="0"/>
              <w:rPr>
                <w:sz w:val="24"/>
                <w:szCs w:val="24"/>
                <w:color w:val="auto"/>
              </w:rPr>
            </w:pPr>
          </w:p>
        </w:tc>
        <w:tc>
          <w:tcPr>
            <w:tcW w:w="3240" w:type="dxa"/>
            <w:vAlign w:val="bottom"/>
          </w:tcPr>
          <w:p>
            <w:pPr>
              <w:ind w:left="380"/>
              <w:spacing w:after="0"/>
              <w:rPr>
                <w:sz w:val="20"/>
                <w:szCs w:val="20"/>
                <w:color w:val="auto"/>
              </w:rPr>
            </w:pPr>
            <w:r>
              <w:rPr>
                <w:rFonts w:ascii="Courier New" w:cs="Courier New" w:eastAsia="Courier New" w:hAnsi="Courier New"/>
                <w:sz w:val="16"/>
                <w:szCs w:val="16"/>
                <w:color w:val="auto"/>
              </w:rPr>
              <w:t>36</w:t>
            </w:r>
          </w:p>
        </w:tc>
        <w:tc>
          <w:tcPr>
            <w:tcW w:w="124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0219"/>
          </w:cols>
          <w:pgMar w:left="240" w:top="481" w:right="1440" w:bottom="1440" w:gutter="0" w:footer="0" w:header="0"/>
        </w:sectPr>
      </w:pPr>
    </w:p>
    <w:bookmarkStart w:id="43" w:name="page44"/>
    <w:bookmarkEnd w:id="43"/>
    <w:p>
      <w:pPr>
        <w:ind w:left="2582"/>
        <w:spacing w:after="0"/>
        <w:rPr>
          <w:sz w:val="20"/>
          <w:szCs w:val="20"/>
          <w:color w:val="auto"/>
        </w:rPr>
      </w:pPr>
      <w:r>
        <w:rPr>
          <w:rFonts w:ascii="Courier New" w:cs="Courier New" w:eastAsia="Courier New" w:hAnsi="Courier New"/>
          <w:sz w:val="15"/>
          <w:szCs w:val="15"/>
          <w:color w:val="auto"/>
        </w:rPr>
        <w:t>AMBULATORY SURGERY CENTERS</w:t>
      </w:r>
    </w:p>
    <w:p>
      <w:pPr>
        <w:sectPr>
          <w:pgSz w:w="11900" w:h="16838" w:orient="portrait"/>
          <w:cols w:equalWidth="0" w:num="1">
            <w:col w:w="10221"/>
          </w:cols>
          <w:pgMar w:left="238" w:top="48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242"/>
        <w:spacing w:after="0"/>
        <w:rPr>
          <w:sz w:val="20"/>
          <w:szCs w:val="20"/>
          <w:color w:val="auto"/>
        </w:rPr>
      </w:pPr>
      <w:r>
        <w:rPr>
          <w:rFonts w:ascii="Courier New" w:cs="Courier New" w:eastAsia="Courier New" w:hAnsi="Courier New"/>
          <w:sz w:val="15"/>
          <w:szCs w:val="15"/>
          <w:color w:val="auto"/>
        </w:rPr>
        <w:t>NAME OF FACILITY(8)</w:t>
      </w:r>
    </w:p>
    <w:p>
      <w:pPr>
        <w:spacing w:after="0" w:line="13" w:lineRule="exact"/>
        <w:rPr>
          <w:sz w:val="20"/>
          <w:szCs w:val="20"/>
          <w:color w:val="auto"/>
        </w:rPr>
      </w:pPr>
    </w:p>
    <w:p>
      <w:pPr>
        <w:ind w:left="1242"/>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LOCATION</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94" w:lineRule="exact"/>
        <w:rPr>
          <w:sz w:val="20"/>
          <w:szCs w:val="20"/>
          <w:color w:val="auto"/>
        </w:rPr>
      </w:pPr>
    </w:p>
    <w:p>
      <w:pPr>
        <w:sectPr>
          <w:pgSz w:w="11900" w:h="16838" w:orient="portrait"/>
          <w:cols w:equalWidth="0" w:num="2">
            <w:col w:w="5482" w:space="720"/>
            <w:col w:w="4019"/>
          </w:cols>
          <w:pgMar w:left="238" w:top="484" w:right="1440" w:bottom="0" w:gutter="0" w:footer="0" w:header="0"/>
          <w:type w:val="continuous"/>
        </w:sectPr>
      </w:pPr>
    </w:p>
    <w:p>
      <w:pPr>
        <w:ind w:left="2"/>
        <w:spacing w:after="0"/>
        <w:rPr>
          <w:sz w:val="20"/>
          <w:szCs w:val="20"/>
          <w:color w:val="auto"/>
        </w:rPr>
      </w:pPr>
      <w:r>
        <w:rPr>
          <w:rFonts w:ascii="Courier New" w:cs="Courier New" w:eastAsia="Courier New" w:hAnsi="Courier New"/>
          <w:sz w:val="16"/>
          <w:szCs w:val="16"/>
          <w:color w:val="auto"/>
        </w:rPr>
        <w:t>Arkansas Surgery Center of Fayetteville</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Goldring Surgical and Diagnostic Center</w:t>
      </w:r>
    </w:p>
    <w:p>
      <w:pPr>
        <w:spacing w:after="0" w:line="5"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M.D. Physicians Surgicenter of Midwest City</w:t>
      </w:r>
    </w:p>
    <w:p>
      <w:pPr>
        <w:spacing w:after="0" w:line="11"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Outpatient Surgical Center of Ponca City</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St. George Surgical Center</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Seacoast Outpatient Surgical Center</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Surgery Centers of the Desert</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The Surgery Center of Chalmette</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Surgery Center of Littleton</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Surgery Center of Springfield</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Surgery Center of Texas</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Surgical Center of New Albany</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Surgery Center of Corona</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Surgery Center of Waltham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Fayetteville, Arkansas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Las Vegas, Nevada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Midwest City, Oklahoma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Ponca City, Oklahoma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 George, Utah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Somersworth, New Hampshire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Rancho Mirage, California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Palm Springs, California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Chalmette, Louisiana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Littleton, Colorado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Springfield, Missouri</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Odessa, Texas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Albany, Indiana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Corona, California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Waltham, Massachusetts</w:t>
      </w:r>
    </w:p>
    <w:p>
      <w:pPr>
        <w:spacing w:after="0" w:line="200" w:lineRule="exact"/>
        <w:rPr>
          <w:sz w:val="20"/>
          <w:szCs w:val="20"/>
          <w:color w:val="auto"/>
        </w:rPr>
      </w:pPr>
    </w:p>
    <w:p>
      <w:pPr>
        <w:sectPr>
          <w:pgSz w:w="11900" w:h="16838" w:orient="portrait"/>
          <w:cols w:equalWidth="0" w:num="2">
            <w:col w:w="4102" w:space="380"/>
            <w:col w:w="5739"/>
          </w:cols>
          <w:pgMar w:left="238" w:top="484" w:right="1440" w:bottom="0" w:gutter="0" w:footer="0" w:header="0"/>
          <w:type w:val="continuous"/>
        </w:sectPr>
      </w:pPr>
    </w:p>
    <w:p>
      <w:pPr>
        <w:spacing w:after="0" w:line="355" w:lineRule="exact"/>
        <w:rPr>
          <w:sz w:val="20"/>
          <w:szCs w:val="20"/>
          <w:color w:val="auto"/>
        </w:rPr>
      </w:pPr>
    </w:p>
    <w:p>
      <w:pPr>
        <w:ind w:left="2582"/>
        <w:spacing w:after="0"/>
        <w:rPr>
          <w:sz w:val="20"/>
          <w:szCs w:val="20"/>
          <w:color w:val="auto"/>
        </w:rPr>
      </w:pPr>
      <w:r>
        <w:rPr>
          <w:rFonts w:ascii="Courier New" w:cs="Courier New" w:eastAsia="Courier New" w:hAnsi="Courier New"/>
          <w:sz w:val="15"/>
          <w:szCs w:val="15"/>
          <w:color w:val="auto"/>
        </w:rPr>
        <w:t>RADIATION ONCOLOGY CENTERS</w:t>
      </w:r>
    </w:p>
    <w:p>
      <w:pPr>
        <w:sectPr>
          <w:pgSz w:w="11900" w:h="16838" w:orient="portrait"/>
          <w:cols w:equalWidth="0" w:num="1">
            <w:col w:w="10221"/>
          </w:cols>
          <w:pgMar w:left="238" w:top="484"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342"/>
        <w:spacing w:after="0"/>
        <w:rPr>
          <w:sz w:val="20"/>
          <w:szCs w:val="20"/>
          <w:color w:val="auto"/>
        </w:rPr>
      </w:pPr>
      <w:r>
        <w:rPr>
          <w:rFonts w:ascii="Courier New" w:cs="Courier New" w:eastAsia="Courier New" w:hAnsi="Courier New"/>
          <w:sz w:val="15"/>
          <w:szCs w:val="15"/>
          <w:color w:val="auto"/>
        </w:rPr>
        <w:t>NAME OF FACILITY</w:t>
      </w:r>
    </w:p>
    <w:p>
      <w:pPr>
        <w:spacing w:after="0" w:line="13" w:lineRule="exact"/>
        <w:rPr>
          <w:sz w:val="20"/>
          <w:szCs w:val="20"/>
          <w:color w:val="auto"/>
        </w:rPr>
      </w:pPr>
    </w:p>
    <w:p>
      <w:pPr>
        <w:ind w:left="1342"/>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LOCATION</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94" w:lineRule="exact"/>
        <w:rPr>
          <w:sz w:val="20"/>
          <w:szCs w:val="20"/>
          <w:color w:val="auto"/>
        </w:rPr>
      </w:pPr>
    </w:p>
    <w:p>
      <w:pPr>
        <w:sectPr>
          <w:pgSz w:w="11900" w:h="16838" w:orient="portrait"/>
          <w:cols w:equalWidth="0" w:num="2">
            <w:col w:w="5482" w:space="720"/>
            <w:col w:w="4019"/>
          </w:cols>
          <w:pgMar w:left="238" w:top="484" w:right="1440" w:bottom="0" w:gutter="0" w:footer="0" w:header="0"/>
          <w:type w:val="continuous"/>
        </w:sectPr>
      </w:pPr>
    </w:p>
    <w:p>
      <w:pPr>
        <w:spacing w:after="0" w:line="3" w:lineRule="exact"/>
        <w:rPr>
          <w:sz w:val="20"/>
          <w:szCs w:val="20"/>
          <w:color w:val="auto"/>
        </w:rPr>
      </w:pPr>
    </w:p>
    <w:p>
      <w:pPr>
        <w:ind w:left="2" w:right="140"/>
        <w:spacing w:after="0" w:line="239" w:lineRule="auto"/>
        <w:rPr>
          <w:sz w:val="20"/>
          <w:szCs w:val="20"/>
          <w:color w:val="auto"/>
        </w:rPr>
      </w:pPr>
      <w:r>
        <w:rPr>
          <w:rFonts w:ascii="Courier New" w:cs="Courier New" w:eastAsia="Courier New" w:hAnsi="Courier New"/>
          <w:sz w:val="16"/>
          <w:szCs w:val="16"/>
          <w:color w:val="auto"/>
        </w:rPr>
        <w:t>Auburn Regional Center for Cancer Care Bowling Green Radiation Oncology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Auburn, Washington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Bowling Green, Kentucky</w:t>
      </w:r>
    </w:p>
    <w:p>
      <w:pPr>
        <w:spacing w:after="0" w:line="13" w:lineRule="exact"/>
        <w:rPr>
          <w:sz w:val="20"/>
          <w:szCs w:val="20"/>
          <w:color w:val="auto"/>
        </w:rPr>
      </w:pPr>
    </w:p>
    <w:p>
      <w:pPr>
        <w:sectPr>
          <w:pgSz w:w="11900" w:h="16838" w:orient="portrait"/>
          <w:cols w:equalWidth="0" w:num="2">
            <w:col w:w="3762" w:space="720"/>
            <w:col w:w="5739"/>
          </w:cols>
          <w:pgMar w:left="238" w:top="484" w:right="1440" w:bottom="0" w:gutter="0" w:footer="0" w:header="0"/>
          <w:type w:val="continuous"/>
        </w:sectPr>
      </w:pPr>
    </w:p>
    <w:p>
      <w:pPr>
        <w:ind w:left="182"/>
        <w:spacing w:after="0"/>
        <w:rPr>
          <w:sz w:val="20"/>
          <w:szCs w:val="20"/>
          <w:color w:val="auto"/>
        </w:rPr>
      </w:pPr>
      <w:r>
        <w:rPr>
          <w:rFonts w:ascii="Courier New" w:cs="Courier New" w:eastAsia="Courier New" w:hAnsi="Courier New"/>
          <w:sz w:val="15"/>
          <w:szCs w:val="15"/>
          <w:color w:val="auto"/>
        </w:rPr>
        <w:t>Associates(7)</w:t>
      </w:r>
    </w:p>
    <w:p>
      <w:pPr>
        <w:sectPr>
          <w:pgSz w:w="11900" w:h="16838" w:orient="portrait"/>
          <w:cols w:equalWidth="0" w:num="1">
            <w:col w:w="10221"/>
          </w:cols>
          <w:pgMar w:left="238" w:top="484" w:right="1440" w:bottom="0" w:gutter="0" w:footer="0" w:header="0"/>
          <w:type w:val="continuous"/>
        </w:sectPr>
      </w:pPr>
    </w:p>
    <w:p>
      <w:pPr>
        <w:spacing w:after="0" w:line="11"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Blue Grass Regional Cancer Center(7)</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Columbia Radiation Oncology</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Danville Radiation Therapy Center(7)</w:t>
      </w:r>
    </w:p>
    <w:p>
      <w:pPr>
        <w:spacing w:after="0" w:line="5"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Glasgow Radiation Oncology Associates(7)</w:t>
      </w:r>
    </w:p>
    <w:p>
      <w:pPr>
        <w:spacing w:after="0" w:line="11"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Louisville Radiation Oncology(7)</w:t>
      </w:r>
    </w:p>
    <w:p>
      <w:pPr>
        <w:spacing w:after="0" w:line="5"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Madison Radiation Oncology Associates(9)</w:t>
      </w:r>
    </w:p>
    <w:p>
      <w:pPr>
        <w:spacing w:after="0" w:line="11"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McAllen Medical Center Cancer Institute</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Regional Cancer Center at Wellington</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Southern Indiana Radiation Therapy(9)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Frankfort, Kentucky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Washington, D.C.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Danville, Kentucky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Glasgow, Kentucky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Louisville, Kentucky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Madison, Indiana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McAllen, Texas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West Palm Beach, Florida</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Jeffersonville, Indiana</w:t>
      </w:r>
    </w:p>
    <w:p>
      <w:pPr>
        <w:spacing w:after="0" w:line="200" w:lineRule="exact"/>
        <w:rPr>
          <w:sz w:val="20"/>
          <w:szCs w:val="20"/>
          <w:color w:val="auto"/>
        </w:rPr>
      </w:pPr>
    </w:p>
    <w:p>
      <w:pPr>
        <w:sectPr>
          <w:pgSz w:w="11900" w:h="16838" w:orient="portrait"/>
          <w:cols w:equalWidth="0" w:num="2">
            <w:col w:w="3822" w:space="660"/>
            <w:col w:w="5739"/>
          </w:cols>
          <w:pgMar w:left="238" w:top="484" w:right="1440" w:bottom="0" w:gutter="0" w:footer="0" w:header="0"/>
          <w:type w:val="continuous"/>
        </w:sectPr>
      </w:pPr>
    </w:p>
    <w:p>
      <w:pPr>
        <w:spacing w:after="0" w:line="35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p>
      <w:pPr>
        <w:ind w:left="382" w:right="2879" w:hanging="382"/>
        <w:spacing w:after="0"/>
        <w:tabs>
          <w:tab w:leader="none" w:pos="382"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Real property leased from Universal Health Realty Income Trust, a real estate investment trust, for which the Company provides advisory services ("UHT").</w:t>
      </w:r>
    </w:p>
    <w:p>
      <w:pPr>
        <w:spacing w:after="0" w:line="187" w:lineRule="exact"/>
        <w:rPr>
          <w:rFonts w:ascii="Courier New" w:cs="Courier New" w:eastAsia="Courier New" w:hAnsi="Courier New"/>
          <w:sz w:val="16"/>
          <w:szCs w:val="16"/>
          <w:color w:val="auto"/>
        </w:rPr>
      </w:pPr>
    </w:p>
    <w:p>
      <w:pPr>
        <w:ind w:left="382" w:hanging="382"/>
        <w:spacing w:after="0"/>
        <w:tabs>
          <w:tab w:leader="none" w:pos="382"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Real property leased with an option to purchase.</w:t>
      </w:r>
    </w:p>
    <w:p>
      <w:pPr>
        <w:spacing w:after="0" w:line="185" w:lineRule="exact"/>
        <w:rPr>
          <w:rFonts w:ascii="Courier New" w:cs="Courier New" w:eastAsia="Courier New" w:hAnsi="Courier New"/>
          <w:sz w:val="16"/>
          <w:szCs w:val="16"/>
          <w:color w:val="auto"/>
        </w:rPr>
      </w:pPr>
    </w:p>
    <w:p>
      <w:pPr>
        <w:ind w:left="382" w:hanging="382"/>
        <w:spacing w:after="0"/>
        <w:tabs>
          <w:tab w:leader="none" w:pos="382"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partnership interest in limited partnership.</w:t>
      </w:r>
    </w:p>
    <w:p>
      <w:pPr>
        <w:spacing w:after="0" w:line="368" w:lineRule="exact"/>
        <w:rPr>
          <w:rFonts w:ascii="Courier New" w:cs="Courier New" w:eastAsia="Courier New" w:hAnsi="Courier New"/>
          <w:sz w:val="16"/>
          <w:szCs w:val="16"/>
          <w:color w:val="auto"/>
        </w:rPr>
      </w:pPr>
    </w:p>
    <w:p>
      <w:pPr>
        <w:ind w:left="382" w:hanging="382"/>
        <w:spacing w:after="0"/>
        <w:tabs>
          <w:tab w:leader="none" w:pos="382"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88% of stock owned by the Company.</w:t>
      </w:r>
    </w:p>
    <w:p>
      <w:pPr>
        <w:spacing w:after="0" w:line="200" w:lineRule="exact"/>
        <w:rPr>
          <w:rFonts w:ascii="Courier New" w:cs="Courier New" w:eastAsia="Courier New" w:hAnsi="Courier New"/>
          <w:sz w:val="16"/>
          <w:szCs w:val="16"/>
          <w:color w:val="auto"/>
        </w:rPr>
      </w:pPr>
    </w:p>
    <w:p>
      <w:pPr>
        <w:spacing w:after="0" w:line="355" w:lineRule="exact"/>
        <w:rPr>
          <w:rFonts w:ascii="Courier New" w:cs="Courier New" w:eastAsia="Courier New" w:hAnsi="Courier New"/>
          <w:sz w:val="16"/>
          <w:szCs w:val="16"/>
          <w:color w:val="auto"/>
        </w:rPr>
      </w:pPr>
    </w:p>
    <w:p>
      <w:pPr>
        <w:jc w:val="both"/>
        <w:ind w:left="382" w:right="2779" w:hanging="382"/>
        <w:spacing w:after="0"/>
        <w:tabs>
          <w:tab w:leader="none" w:pos="382"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Chalmette Hospital, a 73-bed rehabilitation facility. The Company owns the LaPlace real property and leases the Chalmette real property from UHT.</w:t>
      </w:r>
    </w:p>
    <w:p>
      <w:pPr>
        <w:spacing w:after="0" w:line="200" w:lineRule="exact"/>
        <w:rPr>
          <w:rFonts w:ascii="Courier New" w:cs="Courier New" w:eastAsia="Courier New" w:hAnsi="Courier New"/>
          <w:sz w:val="16"/>
          <w:szCs w:val="16"/>
          <w:color w:val="auto"/>
        </w:rPr>
      </w:pPr>
    </w:p>
    <w:p>
      <w:pPr>
        <w:spacing w:after="0" w:line="353" w:lineRule="exact"/>
        <w:rPr>
          <w:rFonts w:ascii="Courier New" w:cs="Courier New" w:eastAsia="Courier New" w:hAnsi="Courier New"/>
          <w:sz w:val="16"/>
          <w:szCs w:val="16"/>
          <w:color w:val="auto"/>
        </w:rPr>
      </w:pPr>
    </w:p>
    <w:p>
      <w:pPr>
        <w:ind w:left="382" w:hanging="382"/>
        <w:spacing w:after="0"/>
        <w:tabs>
          <w:tab w:leader="none" w:pos="382"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Addictive disease facility.</w:t>
      </w:r>
    </w:p>
    <w:p>
      <w:pPr>
        <w:spacing w:after="0" w:line="200" w:lineRule="exact"/>
        <w:rPr>
          <w:rFonts w:ascii="Courier New" w:cs="Courier New" w:eastAsia="Courier New" w:hAnsi="Courier New"/>
          <w:sz w:val="16"/>
          <w:szCs w:val="16"/>
          <w:color w:val="auto"/>
        </w:rPr>
      </w:pPr>
    </w:p>
    <w:p>
      <w:pPr>
        <w:spacing w:after="0" w:line="355" w:lineRule="exact"/>
        <w:rPr>
          <w:rFonts w:ascii="Courier New" w:cs="Courier New" w:eastAsia="Courier New" w:hAnsi="Courier New"/>
          <w:sz w:val="16"/>
          <w:szCs w:val="16"/>
          <w:color w:val="auto"/>
        </w:rPr>
      </w:pPr>
    </w:p>
    <w:p>
      <w:pPr>
        <w:ind w:left="382" w:right="3359" w:hanging="382"/>
        <w:spacing w:after="0" w:line="239" w:lineRule="auto"/>
        <w:tabs>
          <w:tab w:leader="none" w:pos="382"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Managed Facility. A partnership, in which the Company is the general partner, owns the real property.</w:t>
      </w:r>
    </w:p>
    <w:p>
      <w:pPr>
        <w:spacing w:after="0" w:line="200" w:lineRule="exact"/>
        <w:rPr>
          <w:rFonts w:ascii="Courier New" w:cs="Courier New" w:eastAsia="Courier New" w:hAnsi="Courier New"/>
          <w:sz w:val="16"/>
          <w:szCs w:val="16"/>
          <w:color w:val="auto"/>
        </w:rPr>
      </w:pPr>
    </w:p>
    <w:p>
      <w:pPr>
        <w:spacing w:after="0" w:line="356" w:lineRule="exact"/>
        <w:rPr>
          <w:rFonts w:ascii="Courier New" w:cs="Courier New" w:eastAsia="Courier New" w:hAnsi="Courier New"/>
          <w:sz w:val="16"/>
          <w:szCs w:val="16"/>
          <w:color w:val="auto"/>
        </w:rPr>
      </w:pPr>
    </w:p>
    <w:p>
      <w:pPr>
        <w:ind w:left="382" w:right="2779" w:hanging="382"/>
        <w:spacing w:after="0" w:line="241" w:lineRule="auto"/>
        <w:tabs>
          <w:tab w:leader="none" w:pos="382"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facility other than Goldring Surgical and Diagnostic Center and The Surgery Center of Chalmette are owned in partnership form with the Company owning general and limited partnership interests in a limited partnership. The real property is leased from third parties.</w:t>
      </w:r>
    </w:p>
    <w:p>
      <w:pPr>
        <w:spacing w:after="0" w:line="200" w:lineRule="exact"/>
        <w:rPr>
          <w:rFonts w:ascii="Courier New" w:cs="Courier New" w:eastAsia="Courier New" w:hAnsi="Courier New"/>
          <w:sz w:val="16"/>
          <w:szCs w:val="16"/>
          <w:color w:val="auto"/>
        </w:rPr>
      </w:pPr>
    </w:p>
    <w:p>
      <w:pPr>
        <w:spacing w:after="0" w:line="355" w:lineRule="exact"/>
        <w:rPr>
          <w:rFonts w:ascii="Courier New" w:cs="Courier New" w:eastAsia="Courier New" w:hAnsi="Courier New"/>
          <w:sz w:val="16"/>
          <w:szCs w:val="16"/>
          <w:color w:val="auto"/>
        </w:rPr>
      </w:pPr>
    </w:p>
    <w:p>
      <w:pPr>
        <w:ind w:left="382" w:right="3059" w:hanging="382"/>
        <w:spacing w:after="0" w:line="239" w:lineRule="auto"/>
        <w:tabs>
          <w:tab w:leader="none" w:pos="382"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partnership in which the Company is the general partner owns the real property.</w:t>
      </w:r>
    </w:p>
    <w:p>
      <w:pPr>
        <w:sectPr>
          <w:pgSz w:w="11900" w:h="16838" w:orient="portrait"/>
          <w:cols w:equalWidth="0" w:num="1">
            <w:col w:w="10221"/>
          </w:cols>
          <w:pgMar w:left="238" w:top="484" w:right="1440" w:bottom="0" w:gutter="0" w:footer="0" w:header="0"/>
          <w:type w:val="continuous"/>
        </w:sectPr>
      </w:pPr>
    </w:p>
    <w:bookmarkStart w:id="44" w:name="page45"/>
    <w:bookmarkEnd w:id="44"/>
    <w:p>
      <w:pPr>
        <w:ind w:left="252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9019"/>
          </w:cols>
          <w:pgMar w:left="1440" w:top="508" w:right="1440" w:bottom="1440" w:gutter="0" w:footer="0" w:header="0"/>
        </w:sectPr>
      </w:pPr>
    </w:p>
    <w:bookmarkStart w:id="45" w:name="page46"/>
    <w:bookmarkEnd w:id="45"/>
    <w:p>
      <w:pPr>
        <w:ind w:left="2"/>
        <w:spacing w:after="0"/>
        <w:rPr>
          <w:sz w:val="20"/>
          <w:szCs w:val="20"/>
          <w:color w:val="auto"/>
        </w:rPr>
      </w:pPr>
      <w:r>
        <w:rPr>
          <w:rFonts w:ascii="Courier New" w:cs="Courier New" w:eastAsia="Courier New" w:hAnsi="Courier New"/>
          <w:sz w:val="16"/>
          <w:szCs w:val="16"/>
          <w:color w:val="auto"/>
        </w:rPr>
        <w:t>BED UTILIZATION AND OCCUPANCY RATES</w:t>
      </w:r>
    </w:p>
    <w:p>
      <w:pPr>
        <w:spacing w:after="0" w:line="188" w:lineRule="exact"/>
        <w:rPr>
          <w:sz w:val="20"/>
          <w:szCs w:val="20"/>
          <w:color w:val="auto"/>
        </w:rPr>
      </w:pPr>
    </w:p>
    <w:p>
      <w:pPr>
        <w:ind w:left="2" w:right="3440" w:firstLine="382"/>
        <w:spacing w:after="0" w:line="242" w:lineRule="auto"/>
        <w:rPr>
          <w:sz w:val="20"/>
          <w:szCs w:val="20"/>
          <w:color w:val="auto"/>
        </w:rPr>
      </w:pPr>
      <w:r>
        <w:rPr>
          <w:rFonts w:ascii="Courier New" w:cs="Courier New" w:eastAsia="Courier New" w:hAnsi="Courier New"/>
          <w:sz w:val="16"/>
          <w:szCs w:val="16"/>
          <w:color w:val="auto"/>
        </w:rPr>
        <w:t>The following table shows the bed utilization and occupancy rates for the hospitals operated by the Company as of March 31, 1996, for the periods indicated. Accordingly, the information is presented on a basis different from that used in preparing the historical financial information included or incorporated by reference in this Prospectus. 1995 (Pro forma) and the three months ended March 31, 1996 (pro forma) assumes the effect of the Adjustments as if they occurred on the first day of the period presented.</w:t>
      </w:r>
    </w:p>
    <w:p>
      <w:pPr>
        <w:spacing w:after="0" w:line="200" w:lineRule="exact"/>
        <w:rPr>
          <w:sz w:val="20"/>
          <w:szCs w:val="20"/>
          <w:color w:val="auto"/>
        </w:rPr>
      </w:pPr>
    </w:p>
    <w:p>
      <w:pPr>
        <w:spacing w:after="0" w:line="352"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2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140" w:type="dxa"/>
            <w:vAlign w:val="bottom"/>
            <w:gridSpan w:val="2"/>
          </w:tcPr>
          <w:p>
            <w:pPr>
              <w:jc w:val="right"/>
              <w:ind w:right="881"/>
              <w:spacing w:after="0"/>
              <w:rPr>
                <w:sz w:val="20"/>
                <w:szCs w:val="20"/>
                <w:color w:val="auto"/>
              </w:rPr>
            </w:pPr>
            <w:r>
              <w:rPr>
                <w:rFonts w:ascii="Courier New" w:cs="Courier New" w:eastAsia="Courier New" w:hAnsi="Courier New"/>
                <w:sz w:val="16"/>
                <w:szCs w:val="16"/>
                <w:color w:val="auto"/>
              </w:rPr>
              <w:t>(UNAUDITED)</w:t>
            </w:r>
          </w:p>
        </w:tc>
      </w:tr>
      <w:tr>
        <w:trPr>
          <w:trHeight w:val="183"/>
        </w:trPr>
        <w:tc>
          <w:tcPr>
            <w:tcW w:w="2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100" w:type="dxa"/>
            <w:vAlign w:val="bottom"/>
            <w:gridSpan w:val="3"/>
          </w:tcPr>
          <w:p>
            <w:pPr>
              <w:jc w:val="right"/>
              <w:ind w:right="581"/>
              <w:spacing w:after="0"/>
              <w:rPr>
                <w:sz w:val="20"/>
                <w:szCs w:val="20"/>
                <w:color w:val="auto"/>
              </w:rPr>
            </w:pPr>
            <w:r>
              <w:rPr>
                <w:rFonts w:ascii="Courier New" w:cs="Courier New" w:eastAsia="Courier New" w:hAnsi="Courier New"/>
                <w:sz w:val="16"/>
                <w:szCs w:val="16"/>
                <w:color w:val="auto"/>
              </w:rPr>
              <w:t>THREE MONTHS ENDED</w:t>
            </w:r>
          </w:p>
        </w:tc>
      </w:tr>
      <w:tr>
        <w:trPr>
          <w:trHeight w:val="183"/>
        </w:trPr>
        <w:tc>
          <w:tcPr>
            <w:tcW w:w="2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ind w:left="240"/>
              <w:spacing w:after="0"/>
              <w:rPr>
                <w:sz w:val="20"/>
                <w:szCs w:val="20"/>
                <w:color w:val="auto"/>
              </w:rPr>
            </w:pPr>
            <w:r>
              <w:rPr>
                <w:rFonts w:ascii="Courier New" w:cs="Courier New" w:eastAsia="Courier New" w:hAnsi="Courier New"/>
                <w:sz w:val="16"/>
                <w:szCs w:val="16"/>
                <w:color w:val="auto"/>
                <w:w w:val="97"/>
              </w:rPr>
              <w:t>MARCH 31,</w:t>
            </w:r>
          </w:p>
        </w:tc>
        <w:tc>
          <w:tcPr>
            <w:tcW w:w="1040" w:type="dxa"/>
            <w:vAlign w:val="bottom"/>
          </w:tcPr>
          <w:p>
            <w:pPr>
              <w:spacing w:after="0"/>
              <w:rPr>
                <w:sz w:val="15"/>
                <w:szCs w:val="15"/>
                <w:color w:val="auto"/>
              </w:rPr>
            </w:pPr>
          </w:p>
        </w:tc>
      </w:tr>
      <w:tr>
        <w:trPr>
          <w:trHeight w:val="183"/>
        </w:trPr>
        <w:tc>
          <w:tcPr>
            <w:tcW w:w="2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1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2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1995</w:t>
            </w: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1996</w:t>
            </w:r>
          </w:p>
        </w:tc>
      </w:tr>
      <w:tr>
        <w:trPr>
          <w:trHeight w:val="183"/>
        </w:trPr>
        <w:tc>
          <w:tcPr>
            <w:tcW w:w="2860" w:type="dxa"/>
            <w:vAlign w:val="bottom"/>
          </w:tcPr>
          <w:p>
            <w:pPr>
              <w:spacing w:after="0"/>
              <w:rPr>
                <w:sz w:val="15"/>
                <w:szCs w:val="15"/>
                <w:color w:val="auto"/>
              </w:rPr>
            </w:pPr>
          </w:p>
        </w:tc>
        <w:tc>
          <w:tcPr>
            <w:tcW w:w="9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1992</w:t>
            </w:r>
          </w:p>
        </w:tc>
        <w:tc>
          <w:tcPr>
            <w:tcW w:w="9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1993</w:t>
            </w:r>
          </w:p>
        </w:tc>
        <w:tc>
          <w:tcPr>
            <w:tcW w:w="9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1994</w:t>
            </w:r>
          </w:p>
        </w:tc>
        <w:tc>
          <w:tcPr>
            <w:tcW w:w="9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1995</w:t>
            </w:r>
          </w:p>
        </w:tc>
        <w:tc>
          <w:tcPr>
            <w:tcW w:w="13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(PRO FORMA)</w:t>
            </w:r>
          </w:p>
        </w:tc>
        <w:tc>
          <w:tcPr>
            <w:tcW w:w="9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1995</w:t>
            </w:r>
          </w:p>
        </w:tc>
        <w:tc>
          <w:tcPr>
            <w:tcW w:w="1100" w:type="dxa"/>
            <w:vAlign w:val="bottom"/>
          </w:tcPr>
          <w:p>
            <w:pPr>
              <w:ind w:left="240"/>
              <w:spacing w:after="0"/>
              <w:rPr>
                <w:sz w:val="20"/>
                <w:szCs w:val="20"/>
                <w:color w:val="auto"/>
              </w:rPr>
            </w:pPr>
            <w:r>
              <w:rPr>
                <w:rFonts w:ascii="Courier New" w:cs="Courier New" w:eastAsia="Courier New" w:hAnsi="Courier New"/>
                <w:sz w:val="16"/>
                <w:szCs w:val="16"/>
                <w:color w:val="auto"/>
              </w:rPr>
              <w:t>1996</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w w:val="96"/>
              </w:rPr>
              <w:t>(PRO FORMA)</w:t>
            </w:r>
          </w:p>
        </w:tc>
      </w:tr>
      <w:tr>
        <w:trPr>
          <w:trHeight w:val="183"/>
        </w:trPr>
        <w:tc>
          <w:tcPr>
            <w:tcW w:w="286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w w:val="96"/>
              </w:rPr>
              <w:t>-----------</w:t>
            </w:r>
          </w:p>
        </w:tc>
      </w:tr>
      <w:tr>
        <w:trPr>
          <w:trHeight w:val="367"/>
        </w:trPr>
        <w:tc>
          <w:tcPr>
            <w:tcW w:w="2860" w:type="dxa"/>
            <w:vAlign w:val="bottom"/>
          </w:tcPr>
          <w:p>
            <w:pPr>
              <w:spacing w:after="0"/>
              <w:rPr>
                <w:sz w:val="20"/>
                <w:szCs w:val="20"/>
                <w:color w:val="auto"/>
              </w:rPr>
            </w:pPr>
            <w:r>
              <w:rPr>
                <w:rFonts w:ascii="Courier New" w:cs="Courier New" w:eastAsia="Courier New" w:hAnsi="Courier New"/>
                <w:sz w:val="16"/>
                <w:szCs w:val="16"/>
                <w:color w:val="auto"/>
              </w:rPr>
              <w:t>Average Licensed Beds</w:t>
            </w: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3"/>
        </w:trPr>
        <w:tc>
          <w:tcPr>
            <w:tcW w:w="2860" w:type="dxa"/>
            <w:vAlign w:val="bottom"/>
          </w:tcPr>
          <w:p>
            <w:pPr>
              <w:ind w:left="100"/>
              <w:spacing w:after="0"/>
              <w:rPr>
                <w:sz w:val="20"/>
                <w:szCs w:val="20"/>
                <w:color w:val="auto"/>
              </w:rPr>
            </w:pPr>
            <w:r>
              <w:rPr>
                <w:rFonts w:ascii="Courier New" w:cs="Courier New" w:eastAsia="Courier New" w:hAnsi="Courier New"/>
                <w:sz w:val="16"/>
                <w:szCs w:val="16"/>
                <w:color w:val="auto"/>
              </w:rPr>
              <w:t>Acute Care Hospitals........</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2,645</w:t>
            </w:r>
          </w:p>
        </w:tc>
        <w:tc>
          <w:tcPr>
            <w:tcW w:w="9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2,730</w:t>
            </w:r>
          </w:p>
        </w:tc>
        <w:tc>
          <w:tcPr>
            <w:tcW w:w="9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2,791</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2,808</w:t>
            </w:r>
          </w:p>
        </w:tc>
        <w:tc>
          <w:tcPr>
            <w:tcW w:w="13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3,168</w:t>
            </w:r>
          </w:p>
        </w:tc>
        <w:tc>
          <w:tcPr>
            <w:tcW w:w="9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2,789</w:t>
            </w:r>
          </w:p>
        </w:tc>
        <w:tc>
          <w:tcPr>
            <w:tcW w:w="11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2,797</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3,154</w:t>
            </w:r>
          </w:p>
        </w:tc>
      </w:tr>
      <w:tr>
        <w:trPr>
          <w:trHeight w:val="183"/>
        </w:trPr>
        <w:tc>
          <w:tcPr>
            <w:tcW w:w="2860" w:type="dxa"/>
            <w:vAlign w:val="bottom"/>
          </w:tcPr>
          <w:p>
            <w:pPr>
              <w:ind w:left="100"/>
              <w:spacing w:after="0"/>
              <w:rPr>
                <w:sz w:val="20"/>
                <w:szCs w:val="20"/>
                <w:color w:val="auto"/>
              </w:rPr>
            </w:pPr>
            <w:r>
              <w:rPr>
                <w:rFonts w:ascii="Courier New" w:cs="Courier New" w:eastAsia="Courier New" w:hAnsi="Courier New"/>
                <w:sz w:val="16"/>
                <w:szCs w:val="16"/>
                <w:color w:val="auto"/>
              </w:rPr>
              <w:t>Behavioral Health Centers...</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1,206</w:t>
            </w:r>
          </w:p>
        </w:tc>
        <w:tc>
          <w:tcPr>
            <w:tcW w:w="9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1,216</w:t>
            </w:r>
          </w:p>
        </w:tc>
        <w:tc>
          <w:tcPr>
            <w:tcW w:w="9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1,224</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1,256</w:t>
            </w:r>
          </w:p>
        </w:tc>
        <w:tc>
          <w:tcPr>
            <w:tcW w:w="13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1,631</w:t>
            </w:r>
          </w:p>
        </w:tc>
        <w:tc>
          <w:tcPr>
            <w:tcW w:w="9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1,265</w:t>
            </w:r>
          </w:p>
        </w:tc>
        <w:tc>
          <w:tcPr>
            <w:tcW w:w="11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1,267</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1,633</w:t>
            </w:r>
          </w:p>
        </w:tc>
      </w:tr>
      <w:tr>
        <w:trPr>
          <w:trHeight w:val="183"/>
        </w:trPr>
        <w:tc>
          <w:tcPr>
            <w:tcW w:w="2860" w:type="dxa"/>
            <w:vAlign w:val="bottom"/>
          </w:tcPr>
          <w:p>
            <w:pPr>
              <w:spacing w:after="0"/>
              <w:rPr>
                <w:sz w:val="20"/>
                <w:szCs w:val="20"/>
                <w:color w:val="auto"/>
              </w:rPr>
            </w:pPr>
            <w:r>
              <w:rPr>
                <w:rFonts w:ascii="Courier New" w:cs="Courier New" w:eastAsia="Courier New" w:hAnsi="Courier New"/>
                <w:sz w:val="16"/>
                <w:szCs w:val="16"/>
                <w:color w:val="auto"/>
              </w:rPr>
              <w:t>Hospital Admissions</w:t>
            </w: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2860" w:type="dxa"/>
            <w:vAlign w:val="bottom"/>
          </w:tcPr>
          <w:p>
            <w:pPr>
              <w:ind w:left="100"/>
              <w:spacing w:after="0"/>
              <w:rPr>
                <w:sz w:val="20"/>
                <w:szCs w:val="20"/>
                <w:color w:val="auto"/>
              </w:rPr>
            </w:pPr>
            <w:r>
              <w:rPr>
                <w:rFonts w:ascii="Courier New" w:cs="Courier New" w:eastAsia="Courier New" w:hAnsi="Courier New"/>
                <w:sz w:val="16"/>
                <w:szCs w:val="16"/>
                <w:color w:val="auto"/>
              </w:rPr>
              <w:t>Acute Care Hospitals........</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83,826</w:t>
            </w:r>
          </w:p>
        </w:tc>
        <w:tc>
          <w:tcPr>
            <w:tcW w:w="9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87,174</w:t>
            </w:r>
          </w:p>
        </w:tc>
        <w:tc>
          <w:tcPr>
            <w:tcW w:w="9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92,911</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100,004</w:t>
            </w:r>
          </w:p>
        </w:tc>
        <w:tc>
          <w:tcPr>
            <w:tcW w:w="13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113,476</w:t>
            </w:r>
          </w:p>
        </w:tc>
        <w:tc>
          <w:tcPr>
            <w:tcW w:w="9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25,704</w:t>
            </w:r>
          </w:p>
        </w:tc>
        <w:tc>
          <w:tcPr>
            <w:tcW w:w="11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27,551</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30,887</w:t>
            </w:r>
          </w:p>
        </w:tc>
      </w:tr>
      <w:tr>
        <w:trPr>
          <w:trHeight w:val="183"/>
        </w:trPr>
        <w:tc>
          <w:tcPr>
            <w:tcW w:w="2860" w:type="dxa"/>
            <w:vAlign w:val="bottom"/>
          </w:tcPr>
          <w:p>
            <w:pPr>
              <w:ind w:left="100"/>
              <w:spacing w:after="0"/>
              <w:rPr>
                <w:sz w:val="20"/>
                <w:szCs w:val="20"/>
                <w:color w:val="auto"/>
              </w:rPr>
            </w:pPr>
            <w:r>
              <w:rPr>
                <w:rFonts w:ascii="Courier New" w:cs="Courier New" w:eastAsia="Courier New" w:hAnsi="Courier New"/>
                <w:sz w:val="16"/>
                <w:szCs w:val="16"/>
                <w:color w:val="auto"/>
              </w:rPr>
              <w:t>Behavioral Health Centers...</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13,505</w:t>
            </w:r>
          </w:p>
        </w:tc>
        <w:tc>
          <w:tcPr>
            <w:tcW w:w="9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15,560</w:t>
            </w:r>
          </w:p>
        </w:tc>
        <w:tc>
          <w:tcPr>
            <w:tcW w:w="9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16,804</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17,888</w:t>
            </w:r>
          </w:p>
        </w:tc>
        <w:tc>
          <w:tcPr>
            <w:tcW w:w="13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24,848</w:t>
            </w:r>
          </w:p>
        </w:tc>
        <w:tc>
          <w:tcPr>
            <w:tcW w:w="9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4,197</w:t>
            </w:r>
          </w:p>
        </w:tc>
        <w:tc>
          <w:tcPr>
            <w:tcW w:w="11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4,298</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6,019</w:t>
            </w:r>
          </w:p>
        </w:tc>
      </w:tr>
      <w:tr>
        <w:trPr>
          <w:trHeight w:val="183"/>
        </w:trPr>
        <w:tc>
          <w:tcPr>
            <w:tcW w:w="2860" w:type="dxa"/>
            <w:vAlign w:val="bottom"/>
          </w:tcPr>
          <w:p>
            <w:pPr>
              <w:spacing w:after="0"/>
              <w:rPr>
                <w:sz w:val="20"/>
                <w:szCs w:val="20"/>
                <w:color w:val="auto"/>
              </w:rPr>
            </w:pPr>
            <w:r>
              <w:rPr>
                <w:rFonts w:ascii="Courier New" w:cs="Courier New" w:eastAsia="Courier New" w:hAnsi="Courier New"/>
                <w:sz w:val="16"/>
                <w:szCs w:val="16"/>
                <w:color w:val="auto"/>
              </w:rPr>
              <w:t>Average Length of Patient</w:t>
            </w: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2860" w:type="dxa"/>
            <w:vAlign w:val="bottom"/>
          </w:tcPr>
          <w:p>
            <w:pPr>
              <w:ind w:left="100"/>
              <w:spacing w:after="0"/>
              <w:rPr>
                <w:sz w:val="20"/>
                <w:szCs w:val="20"/>
                <w:color w:val="auto"/>
              </w:rPr>
            </w:pPr>
            <w:r>
              <w:rPr>
                <w:rFonts w:ascii="Courier New" w:cs="Courier New" w:eastAsia="Courier New" w:hAnsi="Courier New"/>
                <w:sz w:val="16"/>
                <w:szCs w:val="16"/>
                <w:color w:val="auto"/>
              </w:rPr>
              <w:t>Stay (Days)</w:t>
            </w: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2860" w:type="dxa"/>
            <w:vAlign w:val="bottom"/>
          </w:tcPr>
          <w:p>
            <w:pPr>
              <w:spacing w:after="0"/>
              <w:rPr>
                <w:sz w:val="20"/>
                <w:szCs w:val="20"/>
                <w:color w:val="auto"/>
              </w:rPr>
            </w:pPr>
            <w:r>
              <w:rPr>
                <w:rFonts w:ascii="Courier New" w:cs="Courier New" w:eastAsia="Courier New" w:hAnsi="Courier New"/>
                <w:sz w:val="16"/>
                <w:szCs w:val="16"/>
                <w:color w:val="auto"/>
              </w:rPr>
              <w:t>Acute Care Hospitals.........</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5.8</w:t>
            </w:r>
          </w:p>
        </w:tc>
        <w:tc>
          <w:tcPr>
            <w:tcW w:w="9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5.6</w:t>
            </w:r>
          </w:p>
        </w:tc>
        <w:tc>
          <w:tcPr>
            <w:tcW w:w="9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5.3</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5.1</w:t>
            </w:r>
          </w:p>
        </w:tc>
        <w:tc>
          <w:tcPr>
            <w:tcW w:w="13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5.2</w:t>
            </w:r>
          </w:p>
        </w:tc>
        <w:tc>
          <w:tcPr>
            <w:tcW w:w="9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5.2</w:t>
            </w:r>
          </w:p>
        </w:tc>
        <w:tc>
          <w:tcPr>
            <w:tcW w:w="11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5.1</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5.1</w:t>
            </w:r>
          </w:p>
        </w:tc>
      </w:tr>
      <w:tr>
        <w:trPr>
          <w:trHeight w:val="183"/>
        </w:trPr>
        <w:tc>
          <w:tcPr>
            <w:tcW w:w="2860" w:type="dxa"/>
            <w:vAlign w:val="bottom"/>
          </w:tcPr>
          <w:p>
            <w:pPr>
              <w:ind w:left="100"/>
              <w:spacing w:after="0"/>
              <w:rPr>
                <w:sz w:val="20"/>
                <w:szCs w:val="20"/>
                <w:color w:val="auto"/>
              </w:rPr>
            </w:pPr>
            <w:r>
              <w:rPr>
                <w:rFonts w:ascii="Courier New" w:cs="Courier New" w:eastAsia="Courier New" w:hAnsi="Courier New"/>
                <w:sz w:val="16"/>
                <w:szCs w:val="16"/>
                <w:color w:val="auto"/>
              </w:rPr>
              <w:t>Behavioral Health Centers...</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15.6</w:t>
            </w:r>
          </w:p>
        </w:tc>
        <w:tc>
          <w:tcPr>
            <w:tcW w:w="9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13.0</w:t>
            </w:r>
          </w:p>
        </w:tc>
        <w:tc>
          <w:tcPr>
            <w:tcW w:w="9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11.6</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11.2</w:t>
            </w:r>
          </w:p>
        </w:tc>
        <w:tc>
          <w:tcPr>
            <w:tcW w:w="13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12.3</w:t>
            </w:r>
          </w:p>
        </w:tc>
        <w:tc>
          <w:tcPr>
            <w:tcW w:w="9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12.0</w:t>
            </w:r>
          </w:p>
        </w:tc>
        <w:tc>
          <w:tcPr>
            <w:tcW w:w="11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12.1</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13.1</w:t>
            </w:r>
          </w:p>
        </w:tc>
      </w:tr>
      <w:tr>
        <w:trPr>
          <w:trHeight w:val="183"/>
        </w:trPr>
        <w:tc>
          <w:tcPr>
            <w:tcW w:w="2860" w:type="dxa"/>
            <w:vAlign w:val="bottom"/>
          </w:tcPr>
          <w:p>
            <w:pPr>
              <w:spacing w:after="0"/>
              <w:rPr>
                <w:sz w:val="20"/>
                <w:szCs w:val="20"/>
                <w:color w:val="auto"/>
              </w:rPr>
            </w:pPr>
            <w:r>
              <w:rPr>
                <w:rFonts w:ascii="Courier New" w:cs="Courier New" w:eastAsia="Courier New" w:hAnsi="Courier New"/>
                <w:sz w:val="16"/>
                <w:szCs w:val="16"/>
                <w:color w:val="auto"/>
              </w:rPr>
              <w:t>Patient Days (1)</w:t>
            </w: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2860" w:type="dxa"/>
            <w:vAlign w:val="bottom"/>
          </w:tcPr>
          <w:p>
            <w:pPr>
              <w:ind w:left="100"/>
              <w:spacing w:after="0"/>
              <w:rPr>
                <w:sz w:val="20"/>
                <w:szCs w:val="20"/>
                <w:color w:val="auto"/>
              </w:rPr>
            </w:pPr>
            <w:r>
              <w:rPr>
                <w:rFonts w:ascii="Courier New" w:cs="Courier New" w:eastAsia="Courier New" w:hAnsi="Courier New"/>
                <w:sz w:val="16"/>
                <w:szCs w:val="16"/>
                <w:color w:val="auto"/>
              </w:rPr>
              <w:t>Acute Care Hospitals........</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485,015</w:t>
            </w:r>
          </w:p>
        </w:tc>
        <w:tc>
          <w:tcPr>
            <w:tcW w:w="9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486,291</w:t>
            </w:r>
          </w:p>
        </w:tc>
        <w:tc>
          <w:tcPr>
            <w:tcW w:w="9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496,462</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511,487</w:t>
            </w:r>
          </w:p>
        </w:tc>
        <w:tc>
          <w:tcPr>
            <w:tcW w:w="13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595,328</w:t>
            </w:r>
          </w:p>
        </w:tc>
        <w:tc>
          <w:tcPr>
            <w:tcW w:w="9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134,470</w:t>
            </w:r>
          </w:p>
        </w:tc>
        <w:tc>
          <w:tcPr>
            <w:tcW w:w="11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140,088</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158,726</w:t>
            </w:r>
          </w:p>
        </w:tc>
      </w:tr>
      <w:tr>
        <w:trPr>
          <w:trHeight w:val="183"/>
        </w:trPr>
        <w:tc>
          <w:tcPr>
            <w:tcW w:w="2860" w:type="dxa"/>
            <w:vAlign w:val="bottom"/>
          </w:tcPr>
          <w:p>
            <w:pPr>
              <w:ind w:left="100"/>
              <w:spacing w:after="0"/>
              <w:rPr>
                <w:sz w:val="20"/>
                <w:szCs w:val="20"/>
                <w:color w:val="auto"/>
              </w:rPr>
            </w:pPr>
            <w:r>
              <w:rPr>
                <w:rFonts w:ascii="Courier New" w:cs="Courier New" w:eastAsia="Courier New" w:hAnsi="Courier New"/>
                <w:sz w:val="16"/>
                <w:szCs w:val="16"/>
                <w:color w:val="auto"/>
              </w:rPr>
              <w:t>Behavioral Health Centers...</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211,390</w:t>
            </w:r>
          </w:p>
        </w:tc>
        <w:tc>
          <w:tcPr>
            <w:tcW w:w="9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202,047</w:t>
            </w:r>
          </w:p>
        </w:tc>
        <w:tc>
          <w:tcPr>
            <w:tcW w:w="9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195,004</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200,857</w:t>
            </w:r>
          </w:p>
        </w:tc>
        <w:tc>
          <w:tcPr>
            <w:tcW w:w="13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304,800</w:t>
            </w:r>
          </w:p>
        </w:tc>
        <w:tc>
          <w:tcPr>
            <w:tcW w:w="9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50,553</w:t>
            </w:r>
          </w:p>
        </w:tc>
        <w:tc>
          <w:tcPr>
            <w:tcW w:w="11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52,083</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78,659</w:t>
            </w:r>
          </w:p>
        </w:tc>
      </w:tr>
    </w:tbl>
    <w:p>
      <w:pPr>
        <w:spacing w:after="0" w:line="369"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382" w:right="3620" w:hanging="382"/>
        <w:spacing w:after="0" w:line="239" w:lineRule="auto"/>
        <w:tabs>
          <w:tab w:leader="none" w:pos="382"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"Patient Days" is the aggregate sum for all patients of the number of days that hospital care is provided to each patient.</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SOURCES OF REVENUE</w:t>
      </w:r>
    </w:p>
    <w:p>
      <w:pPr>
        <w:spacing w:after="0" w:line="188" w:lineRule="exact"/>
        <w:rPr>
          <w:sz w:val="20"/>
          <w:szCs w:val="20"/>
          <w:color w:val="auto"/>
        </w:rPr>
      </w:pPr>
    </w:p>
    <w:p>
      <w:pPr>
        <w:ind w:left="2" w:right="3440" w:firstLine="382"/>
        <w:spacing w:after="0" w:line="242" w:lineRule="auto"/>
        <w:rPr>
          <w:sz w:val="20"/>
          <w:szCs w:val="20"/>
          <w:color w:val="auto"/>
        </w:rPr>
      </w:pPr>
      <w:r>
        <w:rPr>
          <w:rFonts w:ascii="Courier New" w:cs="Courier New" w:eastAsia="Courier New" w:hAnsi="Courier New"/>
          <w:sz w:val="16"/>
          <w:szCs w:val="16"/>
          <w:color w:val="auto"/>
        </w:rPr>
        <w:t>The Company receives payment for services rendered from private insurers, including managed care plans, the Federal government under the Medicare program, state governments under their respective Medicaid programs and directly from patients. All of the Company's acute care hospitals and most of the Company's behavioral health centers are certified as providers of Medicare and Medicaid services by the appropriate governmental authorities. The requirements for certification are subject to change and, in order to remain qualified for such programs, it may be necessary for the Company to make changes from time to time in its facilities, equipment, personnel and services. Although the Company intends to continue in such programs, there is no assurance that it will continue to qualify for participation.</w:t>
      </w:r>
    </w:p>
    <w:p>
      <w:pPr>
        <w:spacing w:after="0" w:line="191" w:lineRule="exact"/>
        <w:rPr>
          <w:sz w:val="20"/>
          <w:szCs w:val="20"/>
          <w:color w:val="auto"/>
        </w:rPr>
      </w:pPr>
    </w:p>
    <w:p>
      <w:pPr>
        <w:ind w:left="2" w:right="3440" w:firstLine="382"/>
        <w:spacing w:after="0" w:line="260" w:lineRule="auto"/>
        <w:rPr>
          <w:sz w:val="20"/>
          <w:szCs w:val="20"/>
          <w:color w:val="auto"/>
        </w:rPr>
      </w:pPr>
      <w:r>
        <w:rPr>
          <w:rFonts w:ascii="Courier New" w:cs="Courier New" w:eastAsia="Courier New" w:hAnsi="Courier New"/>
          <w:sz w:val="15"/>
          <w:szCs w:val="15"/>
          <w:color w:val="auto"/>
        </w:rPr>
        <w:t>The sources of the Company's hospital revenues are charges related to the services provided by the hospitals and their staffs, such as radiology, operating rooms, pharmacy, physiotherapy and laboratory procedures, and basic charges for the hospital room and related services such as general nursing care, meals, maintenance and housekeeping. Hospital revenues depend upon the occupancy for inpatient routine services, the extent to which ancillary services and therapy programs are ordered by physicians and provided to patients, the volume of out-patient procedures and the charges or negotiated payment rates for such services. Charges and reimbursement rates for inpatient routine services vary depending on the type of bed occupied (e.g., medical/surgical, intensive care or psychiatric) and the geographic location of the hospital.</w:t>
      </w:r>
    </w:p>
    <w:p>
      <w:pPr>
        <w:spacing w:after="0" w:line="176" w:lineRule="exact"/>
        <w:rPr>
          <w:sz w:val="20"/>
          <w:szCs w:val="20"/>
          <w:color w:val="auto"/>
        </w:rPr>
      </w:pPr>
    </w:p>
    <w:p>
      <w:pPr>
        <w:ind w:left="2" w:right="3440" w:firstLine="382"/>
        <w:spacing w:after="0" w:line="241" w:lineRule="auto"/>
        <w:rPr>
          <w:sz w:val="20"/>
          <w:szCs w:val="20"/>
          <w:color w:val="auto"/>
        </w:rPr>
      </w:pPr>
      <w:r>
        <w:rPr>
          <w:rFonts w:ascii="Courier New" w:cs="Courier New" w:eastAsia="Courier New" w:hAnsi="Courier New"/>
          <w:sz w:val="16"/>
          <w:szCs w:val="16"/>
          <w:color w:val="auto"/>
        </w:rPr>
        <w:t>The following table shows the approximate percentages of net patient revenue derived by the Company's hospitals owned as of December 31, 1995, since their respective dates of acquisition by the Company, from third party sources excluding the effect of special Medicaid reimbursements received at</w:t>
      </w:r>
    </w:p>
    <w:p>
      <w:pPr>
        <w:spacing w:after="0" w:line="186"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11062"/>
          </w:cols>
          <w:pgMar w:left="238" w:top="481" w:right="599" w:bottom="1440" w:gutter="0" w:footer="0" w:header="0"/>
        </w:sectPr>
      </w:pPr>
    </w:p>
    <w:bookmarkStart w:id="46" w:name="page47"/>
    <w:bookmarkEnd w:id="46"/>
    <w:p>
      <w:pPr>
        <w:ind w:right="2599"/>
        <w:spacing w:after="0" w:line="242" w:lineRule="auto"/>
        <w:rPr>
          <w:sz w:val="20"/>
          <w:szCs w:val="20"/>
          <w:color w:val="auto"/>
        </w:rPr>
      </w:pPr>
      <w:r>
        <w:rPr>
          <w:rFonts w:ascii="Courier New" w:cs="Courier New" w:eastAsia="Courier New" w:hAnsi="Courier New"/>
          <w:sz w:val="16"/>
          <w:szCs w:val="16"/>
          <w:color w:val="auto"/>
        </w:rPr>
        <w:t>the Company's Texas acute care hospitals of $12.6 million in 1995, $12.7 million in 1994, $13.5 million in 1993 and $29.8 million in 1992, and from all other sources during the five years ended December 31, 1995. 1995 (Pro forma) assumes the following transactions occurred on January 1, 1995: (i) Northwest Texas Health acquisition (acquired in May 1996); (ii) First Hospital Properties acquisition (expected to be completed in June 1996 subject to regulatory approval); (iii) acquisition of Manatee (acquired in August 1995); (iv) the acquisition of Aiken and the divestiture of Dallas Family Hospital and Westlake Medical Center (transaction completed in July 1995); and (v) the disposition of Universal Medical Center (disposed of in October 1995).</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5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Percentage of Net Patient Revenues</w:t>
            </w:r>
          </w:p>
        </w:tc>
        <w:tc>
          <w:tcPr>
            <w:tcW w:w="1040" w:type="dxa"/>
            <w:vAlign w:val="bottom"/>
          </w:tcPr>
          <w:p>
            <w:pPr>
              <w:spacing w:after="0"/>
              <w:rPr>
                <w:sz w:val="15"/>
                <w:szCs w:val="15"/>
                <w:color w:val="auto"/>
              </w:rPr>
            </w:pPr>
          </w:p>
        </w:tc>
      </w:tr>
      <w:tr>
        <w:trPr>
          <w:trHeight w:val="183"/>
        </w:trPr>
        <w:tc>
          <w:tcPr>
            <w:tcW w:w="4240" w:type="dxa"/>
            <w:vAlign w:val="bottom"/>
          </w:tcPr>
          <w:p>
            <w:pPr>
              <w:spacing w:after="0"/>
              <w:rPr>
                <w:sz w:val="15"/>
                <w:szCs w:val="15"/>
                <w:color w:val="auto"/>
              </w:rPr>
            </w:pPr>
          </w:p>
        </w:tc>
        <w:tc>
          <w:tcPr>
            <w:tcW w:w="5480" w:type="dxa"/>
            <w:vAlign w:val="bottom"/>
            <w:gridSpan w:val="6"/>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1995</w:t>
            </w:r>
          </w:p>
        </w:tc>
      </w:tr>
      <w:tr>
        <w:trPr>
          <w:trHeight w:val="183"/>
        </w:trPr>
        <w:tc>
          <w:tcPr>
            <w:tcW w:w="4240" w:type="dxa"/>
            <w:vAlign w:val="bottom"/>
          </w:tcPr>
          <w:p>
            <w:pPr>
              <w:spacing w:after="0"/>
              <w:rPr>
                <w:sz w:val="15"/>
                <w:szCs w:val="15"/>
                <w:color w:val="auto"/>
              </w:rPr>
            </w:pPr>
          </w:p>
        </w:tc>
        <w:tc>
          <w:tcPr>
            <w:tcW w:w="8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1991</w:t>
            </w:r>
          </w:p>
        </w:tc>
        <w:tc>
          <w:tcPr>
            <w:tcW w:w="8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1992</w:t>
            </w:r>
          </w:p>
        </w:tc>
        <w:tc>
          <w:tcPr>
            <w:tcW w:w="8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1993</w:t>
            </w:r>
          </w:p>
        </w:tc>
        <w:tc>
          <w:tcPr>
            <w:tcW w:w="8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1994</w:t>
            </w:r>
          </w:p>
        </w:tc>
        <w:tc>
          <w:tcPr>
            <w:tcW w:w="10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1995</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w w:val="96"/>
              </w:rPr>
              <w:t>(Pro forma)</w:t>
            </w:r>
          </w:p>
        </w:tc>
      </w:tr>
      <w:tr>
        <w:trPr>
          <w:trHeight w:val="183"/>
        </w:trPr>
        <w:tc>
          <w:tcPr>
            <w:tcW w:w="4240" w:type="dxa"/>
            <w:vAlign w:val="bottom"/>
          </w:tcPr>
          <w:p>
            <w:pPr>
              <w:spacing w:after="0"/>
              <w:rPr>
                <w:sz w:val="15"/>
                <w:szCs w:val="15"/>
                <w:color w:val="auto"/>
              </w:rPr>
            </w:pPr>
          </w:p>
        </w:tc>
        <w:tc>
          <w:tcPr>
            <w:tcW w:w="8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w w:val="96"/>
              </w:rPr>
              <w:t>-----------</w:t>
            </w:r>
          </w:p>
        </w:tc>
      </w:tr>
      <w:tr>
        <w:trPr>
          <w:trHeight w:val="367"/>
        </w:trPr>
        <w:tc>
          <w:tcPr>
            <w:tcW w:w="4240" w:type="dxa"/>
            <w:vAlign w:val="bottom"/>
          </w:tcPr>
          <w:p>
            <w:pPr>
              <w:jc w:val="right"/>
              <w:ind w:right="2361"/>
              <w:spacing w:after="0"/>
              <w:rPr>
                <w:sz w:val="20"/>
                <w:szCs w:val="20"/>
                <w:color w:val="auto"/>
              </w:rPr>
            </w:pPr>
            <w:r>
              <w:rPr>
                <w:rFonts w:ascii="Courier New" w:cs="Courier New" w:eastAsia="Courier New" w:hAnsi="Courier New"/>
                <w:sz w:val="16"/>
                <w:szCs w:val="16"/>
                <w:color w:val="auto"/>
                <w:w w:val="97"/>
              </w:rPr>
              <w:t>Third Party Payors:</w:t>
            </w: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3"/>
        </w:trPr>
        <w:tc>
          <w:tcPr>
            <w:tcW w:w="424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Medicare...................................</w:t>
            </w: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29.7%</w:t>
            </w: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32.2%</w:t>
            </w: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32.1%</w:t>
            </w: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32.7%</w:t>
            </w: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35.0%</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33.7%</w:t>
            </w:r>
          </w:p>
        </w:tc>
      </w:tr>
      <w:tr>
        <w:trPr>
          <w:trHeight w:val="183"/>
        </w:trPr>
        <w:tc>
          <w:tcPr>
            <w:tcW w:w="424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Medicaid...................................</w:t>
            </w: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4.9%</w:t>
            </w: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7.1%</w:t>
            </w: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10.4%</w:t>
            </w: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11.8%</w:t>
            </w: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12.5%</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15.3%</w:t>
            </w:r>
          </w:p>
        </w:tc>
      </w:tr>
      <w:tr>
        <w:trPr>
          <w:trHeight w:val="183"/>
        </w:trPr>
        <w:tc>
          <w:tcPr>
            <w:tcW w:w="424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Other Sources (including Blue Cross).......</w:t>
            </w: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65.4%</w:t>
            </w: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60.7%</w:t>
            </w: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57.5%</w:t>
            </w: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55.5%</w:t>
            </w: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52.5%</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51.0%</w:t>
            </w:r>
          </w:p>
        </w:tc>
      </w:tr>
      <w:tr>
        <w:trPr>
          <w:trHeight w:val="183"/>
        </w:trPr>
        <w:tc>
          <w:tcPr>
            <w:tcW w:w="4240" w:type="dxa"/>
            <w:vAlign w:val="bottom"/>
          </w:tcPr>
          <w:p>
            <w:pPr>
              <w:spacing w:after="0"/>
              <w:rPr>
                <w:sz w:val="15"/>
                <w:szCs w:val="15"/>
                <w:color w:val="auto"/>
              </w:rPr>
            </w:pPr>
          </w:p>
        </w:tc>
        <w:tc>
          <w:tcPr>
            <w:tcW w:w="8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3"/>
        </w:trPr>
        <w:tc>
          <w:tcPr>
            <w:tcW w:w="4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Total................................</w:t>
            </w: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100.0%</w:t>
            </w: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100.0%</w:t>
            </w: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100.0%</w:t>
            </w: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100.0%</w:t>
            </w: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100.0%</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100.0%</w:t>
            </w:r>
          </w:p>
        </w:tc>
      </w:tr>
      <w:tr>
        <w:trPr>
          <w:trHeight w:val="183"/>
        </w:trPr>
        <w:tc>
          <w:tcPr>
            <w:tcW w:w="4240" w:type="dxa"/>
            <w:vAlign w:val="bottom"/>
          </w:tcPr>
          <w:p>
            <w:pPr>
              <w:spacing w:after="0"/>
              <w:rPr>
                <w:sz w:val="15"/>
                <w:szCs w:val="15"/>
                <w:color w:val="auto"/>
              </w:rPr>
            </w:pPr>
          </w:p>
        </w:tc>
        <w:tc>
          <w:tcPr>
            <w:tcW w:w="8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bl>
    <w:p>
      <w:pPr>
        <w:spacing w:after="0" w:line="372" w:lineRule="exact"/>
        <w:rPr>
          <w:sz w:val="20"/>
          <w:szCs w:val="20"/>
          <w:color w:val="auto"/>
        </w:rPr>
      </w:pPr>
    </w:p>
    <w:p>
      <w:pPr>
        <w:ind w:right="2679" w:firstLine="382"/>
        <w:spacing w:after="0" w:line="241" w:lineRule="auto"/>
        <w:rPr>
          <w:sz w:val="20"/>
          <w:szCs w:val="20"/>
          <w:color w:val="auto"/>
        </w:rPr>
      </w:pPr>
      <w:r>
        <w:rPr>
          <w:rFonts w:ascii="Courier New" w:cs="Courier New" w:eastAsia="Courier New" w:hAnsi="Courier New"/>
          <w:sz w:val="16"/>
          <w:szCs w:val="16"/>
          <w:color w:val="auto"/>
        </w:rPr>
        <w:t>Net revenues of the Company are reported at the estimated net realizable amounts from patients, third-party payors, and others for services rendered, including estimated retroactive adjustments under reimbursement agreements with third-party payors.</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10219"/>
          </w:cols>
          <w:pgMar w:left="240" w:top="484" w:right="1440" w:bottom="1440" w:gutter="0" w:footer="0" w:header="0"/>
        </w:sectPr>
      </w:pPr>
    </w:p>
    <w:bookmarkStart w:id="47" w:name="page48"/>
    <w:bookmarkEnd w:id="47"/>
    <w:p>
      <w:pPr>
        <w:ind w:left="2862"/>
        <w:spacing w:after="0"/>
        <w:rPr>
          <w:sz w:val="20"/>
          <w:szCs w:val="20"/>
          <w:color w:val="auto"/>
        </w:rPr>
      </w:pPr>
      <w:r>
        <w:rPr>
          <w:rFonts w:ascii="Courier New" w:cs="Courier New" w:eastAsia="Courier New" w:hAnsi="Courier New"/>
          <w:sz w:val="15"/>
          <w:szCs w:val="15"/>
          <w:color w:val="auto"/>
        </w:rPr>
        <w:t>SELLING STOCKHOLDER</w:t>
      </w:r>
    </w:p>
    <w:p>
      <w:pPr>
        <w:sectPr>
          <w:pgSz w:w="11900" w:h="16838" w:orient="portrait"/>
          <w:cols w:equalWidth="0" w:num="1">
            <w:col w:w="10402"/>
          </w:cols>
          <w:pgMar w:left="238" w:top="484"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82"/>
        <w:spacing w:after="0"/>
        <w:rPr>
          <w:sz w:val="20"/>
          <w:szCs w:val="20"/>
          <w:color w:val="auto"/>
        </w:rPr>
      </w:pPr>
      <w:r>
        <w:rPr>
          <w:rFonts w:ascii="Courier New" w:cs="Courier New" w:eastAsia="Courier New" w:hAnsi="Courier New"/>
          <w:sz w:val="16"/>
          <w:szCs w:val="16"/>
          <w:color w:val="auto"/>
        </w:rPr>
        <w:t>NAME OF SELLING STOCKHOLDER</w:t>
      </w:r>
    </w:p>
    <w:p>
      <w:pPr>
        <w:spacing w:after="0" w:line="5"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SHARES BENEFICIALLY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OWNED BEFORE OFFERING</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NUMBER OF SHARES OF</w:t>
      </w:r>
    </w:p>
    <w:p>
      <w:pPr>
        <w:spacing w:after="0" w:line="2"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COMMON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OFFERED FOR SALE</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SHARES BENEFICIALLY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OWNED AFTER OFFERING</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94" w:lineRule="exact"/>
        <w:rPr>
          <w:sz w:val="20"/>
          <w:szCs w:val="20"/>
          <w:color w:val="auto"/>
        </w:rPr>
      </w:pPr>
    </w:p>
    <w:p>
      <w:pPr>
        <w:sectPr>
          <w:pgSz w:w="11900" w:h="16838" w:orient="portrait"/>
          <w:cols w:equalWidth="0" w:num="4">
            <w:col w:w="3242" w:space="100"/>
            <w:col w:w="2280" w:space="200"/>
            <w:col w:w="2280" w:space="200"/>
            <w:col w:w="2100"/>
          </w:cols>
          <w:pgMar w:left="238" w:top="484" w:right="1259" w:bottom="1440" w:gutter="0" w:footer="0" w:header="0"/>
          <w:type w:val="continuous"/>
        </w:sectPr>
      </w:pPr>
    </w:p>
    <w:p>
      <w:pPr>
        <w:ind w:left="3442"/>
        <w:spacing w:after="0"/>
        <w:rPr>
          <w:sz w:val="20"/>
          <w:szCs w:val="20"/>
          <w:color w:val="auto"/>
        </w:rPr>
      </w:pPr>
      <w:r>
        <w:rPr>
          <w:rFonts w:ascii="Courier New" w:cs="Courier New" w:eastAsia="Courier New" w:hAnsi="Courier New"/>
          <w:sz w:val="16"/>
          <w:szCs w:val="16"/>
          <w:color w:val="auto"/>
        </w:rPr>
        <w:t>NUMBER</w:t>
      </w:r>
    </w:p>
    <w:p>
      <w:pPr>
        <w:spacing w:after="0" w:line="5" w:lineRule="exact"/>
        <w:rPr>
          <w:sz w:val="20"/>
          <w:szCs w:val="20"/>
          <w:color w:val="auto"/>
        </w:rPr>
      </w:pPr>
    </w:p>
    <w:p>
      <w:pPr>
        <w:ind w:left="3342"/>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PERCENT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6"/>
          <w:szCs w:val="16"/>
          <w:color w:val="auto"/>
        </w:rPr>
        <w:t>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both"/>
        <w:ind w:right="200"/>
        <w:spacing w:after="0" w:line="271" w:lineRule="auto"/>
        <w:rPr>
          <w:sz w:val="20"/>
          <w:szCs w:val="20"/>
          <w:color w:val="auto"/>
        </w:rPr>
      </w:pPr>
      <w:r>
        <w:rPr>
          <w:rFonts w:ascii="Courier New" w:cs="Courier New" w:eastAsia="Courier New" w:hAnsi="Courier New"/>
          <w:sz w:val="15"/>
          <w:szCs w:val="15"/>
          <w:color w:val="auto"/>
        </w:rPr>
        <w:t>PERCENT -------</w:t>
      </w:r>
    </w:p>
    <w:p>
      <w:pPr>
        <w:spacing w:after="0" w:line="200" w:lineRule="exact"/>
        <w:rPr>
          <w:sz w:val="20"/>
          <w:szCs w:val="20"/>
          <w:color w:val="auto"/>
        </w:rPr>
      </w:pPr>
    </w:p>
    <w:p>
      <w:pPr>
        <w:sectPr>
          <w:pgSz w:w="11900" w:h="16838" w:orient="portrait"/>
          <w:cols w:equalWidth="0" w:num="4">
            <w:col w:w="4202" w:space="560"/>
            <w:col w:w="2820" w:space="720"/>
            <w:col w:w="860" w:space="380"/>
            <w:col w:w="860"/>
          </w:cols>
          <w:pgMar w:left="238" w:top="484" w:right="1259" w:bottom="1440" w:gutter="0" w:footer="0" w:header="0"/>
          <w:type w:val="continuous"/>
        </w:sectPr>
      </w:pPr>
    </w:p>
    <w:p>
      <w:pPr>
        <w:spacing w:after="0" w:line="333"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Alan B. Miller</w:t>
      </w:r>
    </w:p>
    <w:p>
      <w:pPr>
        <w:sectPr>
          <w:pgSz w:w="11900" w:h="16838" w:orient="portrait"/>
          <w:cols w:equalWidth="0" w:num="1">
            <w:col w:w="10402"/>
          </w:cols>
          <w:pgMar w:left="238" w:top="484" w:right="1259" w:bottom="1440" w:gutter="0" w:footer="0" w:header="0"/>
          <w:type w:val="continuous"/>
        </w:sectPr>
      </w:pPr>
    </w:p>
    <w:p>
      <w:pPr>
        <w:spacing w:after="0" w:line="13" w:lineRule="exact"/>
        <w:rPr>
          <w:sz w:val="20"/>
          <w:szCs w:val="20"/>
          <w:color w:val="auto"/>
        </w:rPr>
      </w:pPr>
    </w:p>
    <w:p>
      <w:pPr>
        <w:ind w:left="182"/>
        <w:spacing w:after="0"/>
        <w:rPr>
          <w:sz w:val="20"/>
          <w:szCs w:val="20"/>
          <w:color w:val="auto"/>
        </w:rPr>
      </w:pPr>
      <w:r>
        <w:rPr>
          <w:rFonts w:ascii="Courier New" w:cs="Courier New" w:eastAsia="Courier New" w:hAnsi="Courier New"/>
          <w:sz w:val="15"/>
          <w:szCs w:val="15"/>
          <w:color w:val="auto"/>
        </w:rPr>
        <w:t>Class A Common Stock(1)(3)....</w:t>
      </w:r>
    </w:p>
    <w:p>
      <w:pPr>
        <w:spacing w:after="0" w:line="13" w:lineRule="exact"/>
        <w:rPr>
          <w:sz w:val="20"/>
          <w:szCs w:val="20"/>
          <w:color w:val="auto"/>
        </w:rPr>
      </w:pPr>
    </w:p>
    <w:p>
      <w:pPr>
        <w:ind w:left="182"/>
        <w:spacing w:after="0"/>
        <w:rPr>
          <w:sz w:val="20"/>
          <w:szCs w:val="20"/>
          <w:color w:val="auto"/>
        </w:rPr>
      </w:pPr>
      <w:r>
        <w:rPr>
          <w:rFonts w:ascii="Courier New" w:cs="Courier New" w:eastAsia="Courier New" w:hAnsi="Courier New"/>
          <w:sz w:val="15"/>
          <w:szCs w:val="15"/>
          <w:color w:val="auto"/>
        </w:rPr>
        <w:t>Class B Common Stock(2).......</w:t>
      </w:r>
    </w:p>
    <w:p>
      <w:pPr>
        <w:spacing w:after="0" w:line="13" w:lineRule="exact"/>
        <w:rPr>
          <w:sz w:val="20"/>
          <w:szCs w:val="20"/>
          <w:color w:val="auto"/>
        </w:rPr>
      </w:pPr>
    </w:p>
    <w:p>
      <w:pPr>
        <w:ind w:left="182"/>
        <w:spacing w:after="0"/>
        <w:rPr>
          <w:sz w:val="20"/>
          <w:szCs w:val="20"/>
          <w:color w:val="auto"/>
        </w:rPr>
      </w:pPr>
      <w:r>
        <w:rPr>
          <w:rFonts w:ascii="Courier New" w:cs="Courier New" w:eastAsia="Courier New" w:hAnsi="Courier New"/>
          <w:sz w:val="15"/>
          <w:szCs w:val="15"/>
          <w:color w:val="auto"/>
        </w:rPr>
        <w:t>Class C Common Stock(1)(3)....</w:t>
      </w:r>
    </w:p>
    <w:p>
      <w:pPr>
        <w:spacing w:after="0" w:line="13" w:lineRule="exact"/>
        <w:rPr>
          <w:sz w:val="20"/>
          <w:szCs w:val="20"/>
          <w:color w:val="auto"/>
        </w:rPr>
      </w:pPr>
    </w:p>
    <w:p>
      <w:pPr>
        <w:ind w:left="182"/>
        <w:spacing w:after="0"/>
        <w:rPr>
          <w:sz w:val="20"/>
          <w:szCs w:val="20"/>
          <w:color w:val="auto"/>
        </w:rPr>
      </w:pPr>
      <w:r>
        <w:rPr>
          <w:rFonts w:ascii="Courier New" w:cs="Courier New" w:eastAsia="Courier New" w:hAnsi="Courier New"/>
          <w:sz w:val="15"/>
          <w:szCs w:val="15"/>
          <w:color w:val="auto"/>
        </w:rPr>
        <w:t>Class D Common Stock..........</w:t>
      </w:r>
    </w:p>
    <w:p>
      <w:pPr>
        <w:spacing w:after="0" w:line="20" w:lineRule="exact"/>
        <w:rPr>
          <w:sz w:val="20"/>
          <w:szCs w:val="20"/>
          <w:color w:val="auto"/>
        </w:rPr>
      </w:pPr>
      <w:r>
        <w:rPr>
          <w:sz w:val="20"/>
          <w:szCs w:val="20"/>
          <w:color w:val="auto"/>
        </w:rPr>
        <w:br w:type="column"/>
      </w:r>
    </w:p>
    <w:p>
      <w:pPr>
        <w:ind w:hanging="190"/>
        <w:spacing w:after="0" w:line="241" w:lineRule="auto"/>
        <w:rPr>
          <w:sz w:val="20"/>
          <w:szCs w:val="20"/>
          <w:color w:val="auto"/>
        </w:rPr>
      </w:pPr>
      <w:r>
        <w:rPr>
          <w:rFonts w:ascii="Courier New" w:cs="Courier New" w:eastAsia="Courier New" w:hAnsi="Courier New"/>
          <w:sz w:val="16"/>
          <w:szCs w:val="16"/>
          <w:color w:val="auto"/>
        </w:rPr>
        <w:t>2,035,016 215,020(2) 203,460 0</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5"/>
          <w:szCs w:val="15"/>
          <w:color w:val="auto"/>
        </w:rPr>
        <w:t>93%</w:t>
      </w:r>
    </w:p>
    <w:p>
      <w:pPr>
        <w:spacing w:after="0" w:line="13"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1%</w:t>
      </w:r>
    </w:p>
    <w:p>
      <w:pPr>
        <w:spacing w:after="0" w:line="1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93%</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313,482(1)</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55,170</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31,348(1)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1,721,534</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159,850(2)</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172,112</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6"/>
          <w:szCs w:val="16"/>
          <w:color w:val="auto"/>
        </w:rPr>
        <w:t>92%</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1%</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92%</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7">
            <w:col w:w="3042" w:space="480"/>
            <w:col w:w="960" w:space="380"/>
            <w:col w:w="800" w:space="720"/>
            <w:col w:w="200" w:space="0"/>
            <w:col w:w="1000" w:space="720"/>
            <w:col w:w="1140" w:space="200"/>
            <w:col w:w="760"/>
          </w:cols>
          <w:pgMar w:left="238" w:top="484" w:right="1259" w:bottom="1440" w:gutter="0" w:footer="0" w:header="0"/>
          <w:type w:val="continuous"/>
        </w:sectPr>
      </w:pPr>
    </w:p>
    <w:p>
      <w:pPr>
        <w:spacing w:after="0" w:line="35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372" w:lineRule="exact"/>
        <w:rPr>
          <w:sz w:val="20"/>
          <w:szCs w:val="20"/>
          <w:color w:val="auto"/>
        </w:rPr>
      </w:pPr>
    </w:p>
    <w:p>
      <w:pPr>
        <w:ind w:left="382" w:right="2860" w:hanging="382"/>
        <w:spacing w:after="0" w:line="241" w:lineRule="auto"/>
        <w:tabs>
          <w:tab w:leader="none" w:pos="382"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of Class A and Class C Common Stock are convertible on a share-for-share basis into Class B Common Stock. Mr. Miller will convert 313,482 shares of Class A Common Stock and 31,348 shares of Class C Common Stock into 313,482 and 31,348 shares of Class B Common Stock, respectively, immediately prior to the Offering.</w:t>
      </w:r>
    </w:p>
    <w:p>
      <w:pPr>
        <w:spacing w:after="0" w:line="373" w:lineRule="exact"/>
        <w:rPr>
          <w:rFonts w:ascii="Courier New" w:cs="Courier New" w:eastAsia="Courier New" w:hAnsi="Courier New"/>
          <w:sz w:val="16"/>
          <w:szCs w:val="16"/>
          <w:color w:val="auto"/>
        </w:rPr>
      </w:pPr>
    </w:p>
    <w:p>
      <w:pPr>
        <w:ind w:left="382" w:right="2960" w:hanging="382"/>
        <w:spacing w:after="0" w:line="239" w:lineRule="auto"/>
        <w:tabs>
          <w:tab w:leader="none" w:pos="382"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150,000 shares of Class B Common Stock issuable upon the exercise of stock options exercisable within 60 days of the date hereof.</w:t>
      </w:r>
    </w:p>
    <w:p>
      <w:pPr>
        <w:spacing w:after="0" w:line="372" w:lineRule="exact"/>
        <w:rPr>
          <w:rFonts w:ascii="Courier New" w:cs="Courier New" w:eastAsia="Courier New" w:hAnsi="Courier New"/>
          <w:sz w:val="16"/>
          <w:szCs w:val="16"/>
          <w:color w:val="auto"/>
        </w:rPr>
      </w:pPr>
    </w:p>
    <w:p>
      <w:pPr>
        <w:jc w:val="both"/>
        <w:ind w:left="382" w:right="2780" w:hanging="382"/>
        <w:spacing w:after="0" w:line="241" w:lineRule="auto"/>
        <w:tabs>
          <w:tab w:leader="none" w:pos="382"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Does not include 126,138 shares of Class A Common Stock and 12,724 shares of Class C Common Stock owned by two directors of the Company which Mr. Miller, pursuant to the terms of a Stockholders' Agreement, has the right to vote in certain circumstances.</w:t>
      </w:r>
    </w:p>
    <w:p>
      <w:pPr>
        <w:spacing w:after="0" w:line="370" w:lineRule="exact"/>
        <w:rPr>
          <w:sz w:val="20"/>
          <w:szCs w:val="20"/>
          <w:color w:val="auto"/>
        </w:rPr>
      </w:pPr>
    </w:p>
    <w:p>
      <w:pPr>
        <w:jc w:val="center"/>
        <w:ind w:right="2858"/>
        <w:spacing w:after="0"/>
        <w:rPr>
          <w:sz w:val="20"/>
          <w:szCs w:val="20"/>
          <w:color w:val="auto"/>
        </w:rPr>
      </w:pPr>
      <w:r>
        <w:rPr>
          <w:rFonts w:ascii="Courier New" w:cs="Courier New" w:eastAsia="Courier New" w:hAnsi="Courier New"/>
          <w:sz w:val="16"/>
          <w:szCs w:val="16"/>
          <w:color w:val="auto"/>
        </w:rPr>
        <w:t>DESCRIPTION OF COMMON STOCK</w:t>
      </w:r>
    </w:p>
    <w:p>
      <w:pPr>
        <w:spacing w:after="0" w:line="188" w:lineRule="exact"/>
        <w:rPr>
          <w:sz w:val="20"/>
          <w:szCs w:val="20"/>
          <w:color w:val="auto"/>
        </w:rPr>
      </w:pPr>
    </w:p>
    <w:p>
      <w:pPr>
        <w:ind w:left="2" w:right="2960" w:firstLine="382"/>
        <w:spacing w:after="0" w:line="241" w:lineRule="auto"/>
        <w:rPr>
          <w:sz w:val="20"/>
          <w:szCs w:val="20"/>
          <w:color w:val="auto"/>
        </w:rPr>
      </w:pPr>
      <w:r>
        <w:rPr>
          <w:rFonts w:ascii="Courier New" w:cs="Courier New" w:eastAsia="Courier New" w:hAnsi="Courier New"/>
          <w:sz w:val="16"/>
          <w:szCs w:val="16"/>
          <w:color w:val="auto"/>
        </w:rPr>
        <w:t>The Company's authorized capital stock consists of 12,000,000 shares of Class A Common Stock, $.01 par value per share, 50,000,000 shares of Class B Common Stock, $.01 par value per share, 1,200,000 shares of Class C Common Stock, $.01 par value per share, and 5,000,000 shares of Class D Common Stock, $.01 par value per share.</w:t>
      </w:r>
    </w:p>
    <w:p>
      <w:pPr>
        <w:spacing w:after="0" w:line="190" w:lineRule="exact"/>
        <w:rPr>
          <w:sz w:val="20"/>
          <w:szCs w:val="20"/>
          <w:color w:val="auto"/>
        </w:rPr>
      </w:pPr>
    </w:p>
    <w:p>
      <w:pPr>
        <w:ind w:left="2" w:right="2780" w:firstLine="382"/>
        <w:spacing w:after="0" w:line="242" w:lineRule="auto"/>
        <w:rPr>
          <w:sz w:val="20"/>
          <w:szCs w:val="20"/>
          <w:color w:val="auto"/>
        </w:rPr>
      </w:pPr>
      <w:r>
        <w:rPr>
          <w:rFonts w:ascii="Courier New" w:cs="Courier New" w:eastAsia="Courier New" w:hAnsi="Courier New"/>
          <w:sz w:val="16"/>
          <w:szCs w:val="16"/>
          <w:color w:val="auto"/>
        </w:rPr>
        <w:t>Class A Common Stock, Class B Common Stock, Class C Common Stock and Class D Common Stock are substantially similar except that each class has different voting rights. Each share of Class A Common Stock has one vote per share; each share of Class B Common Stock has one-tenth vote per share; each share of Class C Common Stock has one hundred votes per share; and each share of Class D Common Stock has ten votes per share. Notwithstanding the foregoing, if a holder of Class C or Class D Common Stock holds a number of shares of Class A or Class B Common Stock, respectively, which is less than ten times the number of shares of Class C or Class D Common Stock, respectively, that such holder holds, then such holder will only be entitled to one vote per share of Class C Common Stock and one-tenth vote per share of Class D Common Stock.</w:t>
      </w:r>
    </w:p>
    <w:p>
      <w:pPr>
        <w:spacing w:after="0" w:line="374" w:lineRule="exact"/>
        <w:rPr>
          <w:sz w:val="20"/>
          <w:szCs w:val="20"/>
          <w:color w:val="auto"/>
        </w:rPr>
      </w:pPr>
    </w:p>
    <w:p>
      <w:pPr>
        <w:ind w:left="2" w:right="2860" w:firstLine="382"/>
        <w:spacing w:after="0" w:line="260" w:lineRule="auto"/>
        <w:rPr>
          <w:sz w:val="20"/>
          <w:szCs w:val="20"/>
          <w:color w:val="auto"/>
        </w:rPr>
      </w:pPr>
      <w:r>
        <w:rPr>
          <w:rFonts w:ascii="Courier New" w:cs="Courier New" w:eastAsia="Courier New" w:hAnsi="Courier New"/>
          <w:sz w:val="15"/>
          <w:szCs w:val="15"/>
          <w:color w:val="auto"/>
        </w:rPr>
        <w:t>The holders of Class B and Class D Common Stock, voting together, with each share of Class B and Class D Common Stock having one vote per share, are entitled to elect the greater of 20% of the Company's Board of Directors or one director. The holders of Class B and Class D Common Stock are also permitted to vote together as a separate class with respect to certain other matters or as required by applicable law. Holders of Class A and Class C Common Stock, voting as a single class, elect the remaining directors and vote together with the holders of Class B and Class D Common Stock on all other matters.</w:t>
      </w:r>
    </w:p>
    <w:p>
      <w:pPr>
        <w:spacing w:after="0" w:line="359"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40</w:t>
      </w:r>
    </w:p>
    <w:p>
      <w:pPr>
        <w:sectPr>
          <w:pgSz w:w="11900" w:h="16838" w:orient="portrait"/>
          <w:cols w:equalWidth="0" w:num="1">
            <w:col w:w="10402"/>
          </w:cols>
          <w:pgMar w:left="238" w:top="484" w:right="1259" w:bottom="1440" w:gutter="0" w:footer="0" w:header="0"/>
          <w:type w:val="continuous"/>
        </w:sectPr>
      </w:pPr>
    </w:p>
    <w:bookmarkStart w:id="48" w:name="page49"/>
    <w:bookmarkEnd w:id="48"/>
    <w:p>
      <w:pPr>
        <w:ind w:left="3240"/>
        <w:spacing w:after="0"/>
        <w:rPr>
          <w:sz w:val="20"/>
          <w:szCs w:val="20"/>
          <w:color w:val="auto"/>
        </w:rPr>
      </w:pPr>
      <w:r>
        <w:rPr>
          <w:rFonts w:ascii="Courier New" w:cs="Courier New" w:eastAsia="Courier New" w:hAnsi="Courier New"/>
          <w:sz w:val="16"/>
          <w:szCs w:val="16"/>
          <w:color w:val="auto"/>
        </w:rPr>
        <w:t>UNDERWRITING</w:t>
      </w:r>
    </w:p>
    <w:p>
      <w:pPr>
        <w:spacing w:after="0" w:line="188" w:lineRule="exact"/>
        <w:rPr>
          <w:sz w:val="20"/>
          <w:szCs w:val="20"/>
          <w:color w:val="auto"/>
        </w:rPr>
      </w:pPr>
    </w:p>
    <w:p>
      <w:pPr>
        <w:ind w:right="2679" w:firstLine="382"/>
        <w:spacing w:after="0" w:line="241" w:lineRule="auto"/>
        <w:rPr>
          <w:sz w:val="20"/>
          <w:szCs w:val="20"/>
          <w:color w:val="auto"/>
        </w:rPr>
      </w:pPr>
      <w:r>
        <w:rPr>
          <w:rFonts w:ascii="Courier New" w:cs="Courier New" w:eastAsia="Courier New" w:hAnsi="Courier New"/>
          <w:sz w:val="16"/>
          <w:szCs w:val="16"/>
          <w:color w:val="auto"/>
        </w:rPr>
        <w:t>Upon the terms and subject to conditions stated in the Underwriting Agreement dated the date hereof, each Underwriter named below has severally agreed to purchase, and the Company and the Selling Stockholder have agreed to sell to such Underwriter, shares of Class B Common Stock which equal the number of shares set forth opposite the name of such Underwriter below.</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540" w:type="dxa"/>
            <w:vAlign w:val="bottom"/>
          </w:tcPr>
          <w:p>
            <w:pPr>
              <w:spacing w:after="0"/>
              <w:rPr>
                <w:sz w:val="15"/>
                <w:szCs w:val="15"/>
                <w:color w:val="auto"/>
              </w:rPr>
            </w:pPr>
          </w:p>
        </w:tc>
        <w:tc>
          <w:tcPr>
            <w:tcW w:w="1000" w:type="dxa"/>
            <w:vAlign w:val="bottom"/>
          </w:tcPr>
          <w:p>
            <w:pPr>
              <w:ind w:left="140"/>
              <w:spacing w:after="0"/>
              <w:rPr>
                <w:sz w:val="20"/>
                <w:szCs w:val="20"/>
                <w:color w:val="auto"/>
              </w:rPr>
            </w:pPr>
            <w:r>
              <w:rPr>
                <w:rFonts w:ascii="Courier New" w:cs="Courier New" w:eastAsia="Courier New" w:hAnsi="Courier New"/>
                <w:sz w:val="16"/>
                <w:szCs w:val="16"/>
                <w:color w:val="auto"/>
                <w:w w:val="97"/>
              </w:rPr>
              <w:t>NUMBER OF</w:t>
            </w:r>
          </w:p>
        </w:tc>
      </w:tr>
      <w:tr>
        <w:trPr>
          <w:trHeight w:val="183"/>
        </w:trPr>
        <w:tc>
          <w:tcPr>
            <w:tcW w:w="6540" w:type="dxa"/>
            <w:vAlign w:val="bottom"/>
          </w:tcPr>
          <w:p>
            <w:pPr>
              <w:jc w:val="right"/>
              <w:ind w:right="5041"/>
              <w:spacing w:after="0"/>
              <w:rPr>
                <w:sz w:val="20"/>
                <w:szCs w:val="20"/>
                <w:color w:val="auto"/>
              </w:rPr>
            </w:pPr>
            <w:r>
              <w:rPr>
                <w:rFonts w:ascii="Courier New" w:cs="Courier New" w:eastAsia="Courier New" w:hAnsi="Courier New"/>
                <w:sz w:val="16"/>
                <w:szCs w:val="16"/>
                <w:color w:val="auto"/>
              </w:rPr>
              <w:t>UNDERWRITER</w:t>
            </w:r>
          </w:p>
        </w:tc>
        <w:tc>
          <w:tcPr>
            <w:tcW w:w="1000" w:type="dxa"/>
            <w:vAlign w:val="bottom"/>
          </w:tcPr>
          <w:p>
            <w:pPr>
              <w:ind w:left="220"/>
              <w:spacing w:after="0"/>
              <w:rPr>
                <w:sz w:val="20"/>
                <w:szCs w:val="20"/>
                <w:color w:val="auto"/>
              </w:rPr>
            </w:pPr>
            <w:r>
              <w:rPr>
                <w:rFonts w:ascii="Courier New" w:cs="Courier New" w:eastAsia="Courier New" w:hAnsi="Courier New"/>
                <w:sz w:val="16"/>
                <w:szCs w:val="16"/>
                <w:color w:val="auto"/>
              </w:rPr>
              <w:t>SHARES</w:t>
            </w:r>
          </w:p>
        </w:tc>
      </w:tr>
      <w:tr>
        <w:trPr>
          <w:trHeight w:val="183"/>
        </w:trPr>
        <w:tc>
          <w:tcPr>
            <w:tcW w:w="6540" w:type="dxa"/>
            <w:vAlign w:val="bottom"/>
          </w:tcPr>
          <w:p>
            <w:pPr>
              <w:spacing w:after="0"/>
              <w:rPr>
                <w:sz w:val="15"/>
                <w:szCs w:val="15"/>
                <w:color w:val="auto"/>
              </w:rPr>
            </w:pPr>
          </w:p>
        </w:tc>
        <w:tc>
          <w:tcPr>
            <w:tcW w:w="1000" w:type="dxa"/>
            <w:vAlign w:val="bottom"/>
          </w:tcPr>
          <w:p>
            <w:pPr>
              <w:ind w:left="140"/>
              <w:spacing w:after="0"/>
              <w:rPr>
                <w:sz w:val="20"/>
                <w:szCs w:val="20"/>
                <w:color w:val="auto"/>
              </w:rPr>
            </w:pPr>
            <w:r>
              <w:rPr>
                <w:rFonts w:ascii="Courier New" w:cs="Courier New" w:eastAsia="Courier New" w:hAnsi="Courier New"/>
                <w:sz w:val="16"/>
                <w:szCs w:val="16"/>
                <w:color w:val="auto"/>
                <w:w w:val="97"/>
              </w:rPr>
              <w:t>---------</w:t>
            </w:r>
          </w:p>
        </w:tc>
      </w:tr>
      <w:tr>
        <w:trPr>
          <w:trHeight w:val="183"/>
        </w:trPr>
        <w:tc>
          <w:tcPr>
            <w:tcW w:w="6540" w:type="dxa"/>
            <w:vAlign w:val="bottom"/>
          </w:tcPr>
          <w:p>
            <w:pPr>
              <w:jc w:val="right"/>
              <w:ind w:right="81"/>
              <w:spacing w:after="0"/>
              <w:rPr>
                <w:sz w:val="20"/>
                <w:szCs w:val="20"/>
                <w:color w:val="auto"/>
              </w:rPr>
            </w:pPr>
            <w:r>
              <w:rPr>
                <w:rFonts w:ascii="Courier New" w:cs="Courier New" w:eastAsia="Courier New" w:hAnsi="Courier New"/>
                <w:sz w:val="16"/>
                <w:szCs w:val="16"/>
                <w:color w:val="auto"/>
                <w:w w:val="98"/>
              </w:rPr>
              <w:t>Smith Barney Inc...................................................</w:t>
            </w:r>
          </w:p>
        </w:tc>
        <w:tc>
          <w:tcPr>
            <w:tcW w:w="1000" w:type="dxa"/>
            <w:vAlign w:val="bottom"/>
          </w:tcPr>
          <w:p>
            <w:pPr>
              <w:spacing w:after="0"/>
              <w:rPr>
                <w:sz w:val="15"/>
                <w:szCs w:val="15"/>
                <w:color w:val="auto"/>
              </w:rPr>
            </w:pPr>
          </w:p>
        </w:tc>
      </w:tr>
      <w:tr>
        <w:trPr>
          <w:trHeight w:val="183"/>
        </w:trPr>
        <w:tc>
          <w:tcPr>
            <w:tcW w:w="6540" w:type="dxa"/>
            <w:vAlign w:val="bottom"/>
          </w:tcPr>
          <w:p>
            <w:pPr>
              <w:jc w:val="right"/>
              <w:ind w:right="81"/>
              <w:spacing w:after="0"/>
              <w:rPr>
                <w:sz w:val="20"/>
                <w:szCs w:val="20"/>
                <w:color w:val="auto"/>
              </w:rPr>
            </w:pPr>
            <w:r>
              <w:rPr>
                <w:rFonts w:ascii="Courier New" w:cs="Courier New" w:eastAsia="Courier New" w:hAnsi="Courier New"/>
                <w:sz w:val="16"/>
                <w:szCs w:val="16"/>
                <w:color w:val="auto"/>
                <w:w w:val="98"/>
              </w:rPr>
              <w:t>Bear, Stearns &amp; Co. Inc............................................</w:t>
            </w:r>
          </w:p>
        </w:tc>
        <w:tc>
          <w:tcPr>
            <w:tcW w:w="1000" w:type="dxa"/>
            <w:vAlign w:val="bottom"/>
          </w:tcPr>
          <w:p>
            <w:pPr>
              <w:spacing w:after="0"/>
              <w:rPr>
                <w:sz w:val="15"/>
                <w:szCs w:val="15"/>
                <w:color w:val="auto"/>
              </w:rPr>
            </w:pPr>
          </w:p>
        </w:tc>
      </w:tr>
      <w:tr>
        <w:trPr>
          <w:trHeight w:val="183"/>
        </w:trPr>
        <w:tc>
          <w:tcPr>
            <w:tcW w:w="6540" w:type="dxa"/>
            <w:vAlign w:val="bottom"/>
          </w:tcPr>
          <w:p>
            <w:pPr>
              <w:jc w:val="right"/>
              <w:ind w:right="81"/>
              <w:spacing w:after="0"/>
              <w:rPr>
                <w:sz w:val="20"/>
                <w:szCs w:val="20"/>
                <w:color w:val="auto"/>
              </w:rPr>
            </w:pPr>
            <w:r>
              <w:rPr>
                <w:rFonts w:ascii="Courier New" w:cs="Courier New" w:eastAsia="Courier New" w:hAnsi="Courier New"/>
                <w:sz w:val="16"/>
                <w:szCs w:val="16"/>
                <w:color w:val="auto"/>
                <w:w w:val="98"/>
              </w:rPr>
              <w:t>Dillon, Read &amp; Co. Inc.............................................</w:t>
            </w:r>
          </w:p>
        </w:tc>
        <w:tc>
          <w:tcPr>
            <w:tcW w:w="1000" w:type="dxa"/>
            <w:vAlign w:val="bottom"/>
          </w:tcPr>
          <w:p>
            <w:pPr>
              <w:spacing w:after="0"/>
              <w:rPr>
                <w:sz w:val="15"/>
                <w:szCs w:val="15"/>
                <w:color w:val="auto"/>
              </w:rPr>
            </w:pPr>
          </w:p>
        </w:tc>
      </w:tr>
      <w:tr>
        <w:trPr>
          <w:trHeight w:val="183"/>
        </w:trPr>
        <w:tc>
          <w:tcPr>
            <w:tcW w:w="6540" w:type="dxa"/>
            <w:vAlign w:val="bottom"/>
          </w:tcPr>
          <w:p>
            <w:pPr>
              <w:jc w:val="right"/>
              <w:ind w:right="81"/>
              <w:spacing w:after="0"/>
              <w:rPr>
                <w:sz w:val="20"/>
                <w:szCs w:val="20"/>
                <w:color w:val="auto"/>
              </w:rPr>
            </w:pPr>
            <w:r>
              <w:rPr>
                <w:rFonts w:ascii="Courier New" w:cs="Courier New" w:eastAsia="Courier New" w:hAnsi="Courier New"/>
                <w:sz w:val="16"/>
                <w:szCs w:val="16"/>
                <w:color w:val="auto"/>
                <w:w w:val="98"/>
              </w:rPr>
              <w:t>Donaldson, Lufkin &amp; Jenrette Securities Corporation................</w:t>
            </w:r>
          </w:p>
        </w:tc>
        <w:tc>
          <w:tcPr>
            <w:tcW w:w="1000" w:type="dxa"/>
            <w:vAlign w:val="bottom"/>
          </w:tcPr>
          <w:p>
            <w:pPr>
              <w:spacing w:after="0"/>
              <w:rPr>
                <w:sz w:val="15"/>
                <w:szCs w:val="15"/>
                <w:color w:val="auto"/>
              </w:rPr>
            </w:pPr>
          </w:p>
        </w:tc>
      </w:tr>
      <w:tr>
        <w:trPr>
          <w:trHeight w:val="183"/>
        </w:trPr>
        <w:tc>
          <w:tcPr>
            <w:tcW w:w="6540" w:type="dxa"/>
            <w:vAlign w:val="bottom"/>
          </w:tcPr>
          <w:p>
            <w:pPr>
              <w:jc w:val="right"/>
              <w:ind w:right="81"/>
              <w:spacing w:after="0"/>
              <w:rPr>
                <w:sz w:val="20"/>
                <w:szCs w:val="20"/>
                <w:color w:val="auto"/>
              </w:rPr>
            </w:pPr>
            <w:r>
              <w:rPr>
                <w:rFonts w:ascii="Courier New" w:cs="Courier New" w:eastAsia="Courier New" w:hAnsi="Courier New"/>
                <w:sz w:val="16"/>
                <w:szCs w:val="16"/>
                <w:color w:val="auto"/>
                <w:w w:val="98"/>
              </w:rPr>
              <w:t>J.P. Morgan Securities Inc.........................................</w:t>
            </w:r>
          </w:p>
        </w:tc>
        <w:tc>
          <w:tcPr>
            <w:tcW w:w="1000" w:type="dxa"/>
            <w:vAlign w:val="bottom"/>
          </w:tcPr>
          <w:p>
            <w:pPr>
              <w:spacing w:after="0"/>
              <w:rPr>
                <w:sz w:val="15"/>
                <w:szCs w:val="15"/>
                <w:color w:val="auto"/>
              </w:rPr>
            </w:pPr>
          </w:p>
        </w:tc>
      </w:tr>
      <w:tr>
        <w:trPr>
          <w:trHeight w:val="367"/>
        </w:trPr>
        <w:tc>
          <w:tcPr>
            <w:tcW w:w="6540" w:type="dxa"/>
            <w:vAlign w:val="bottom"/>
          </w:tcPr>
          <w:p>
            <w:pPr>
              <w:spacing w:after="0"/>
              <w:rPr>
                <w:sz w:val="24"/>
                <w:szCs w:val="24"/>
                <w:color w:val="auto"/>
              </w:rPr>
            </w:pPr>
          </w:p>
        </w:tc>
        <w:tc>
          <w:tcPr>
            <w:tcW w:w="1000" w:type="dxa"/>
            <w:vAlign w:val="bottom"/>
          </w:tcPr>
          <w:p>
            <w:pPr>
              <w:ind w:left="140"/>
              <w:spacing w:after="0"/>
              <w:rPr>
                <w:sz w:val="20"/>
                <w:szCs w:val="20"/>
                <w:color w:val="auto"/>
              </w:rPr>
            </w:pPr>
            <w:r>
              <w:rPr>
                <w:rFonts w:ascii="Courier New" w:cs="Courier New" w:eastAsia="Courier New" w:hAnsi="Courier New"/>
                <w:sz w:val="16"/>
                <w:szCs w:val="16"/>
                <w:color w:val="auto"/>
                <w:w w:val="97"/>
              </w:rPr>
              <w:t>---------</w:t>
            </w:r>
          </w:p>
        </w:tc>
      </w:tr>
      <w:tr>
        <w:trPr>
          <w:trHeight w:val="183"/>
        </w:trPr>
        <w:tc>
          <w:tcPr>
            <w:tcW w:w="65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Total........................................................</w:t>
            </w:r>
          </w:p>
        </w:tc>
        <w:tc>
          <w:tcPr>
            <w:tcW w:w="1000" w:type="dxa"/>
            <w:vAlign w:val="bottom"/>
          </w:tcPr>
          <w:p>
            <w:pPr>
              <w:ind w:left="140"/>
              <w:spacing w:after="0"/>
              <w:rPr>
                <w:sz w:val="20"/>
                <w:szCs w:val="20"/>
                <w:color w:val="auto"/>
              </w:rPr>
            </w:pPr>
            <w:r>
              <w:rPr>
                <w:rFonts w:ascii="Courier New" w:cs="Courier New" w:eastAsia="Courier New" w:hAnsi="Courier New"/>
                <w:sz w:val="16"/>
                <w:szCs w:val="16"/>
                <w:color w:val="auto"/>
                <w:w w:val="97"/>
              </w:rPr>
              <w:t>4,400,000</w:t>
            </w:r>
          </w:p>
        </w:tc>
      </w:tr>
      <w:tr>
        <w:trPr>
          <w:trHeight w:val="183"/>
        </w:trPr>
        <w:tc>
          <w:tcPr>
            <w:tcW w:w="6540" w:type="dxa"/>
            <w:vAlign w:val="bottom"/>
          </w:tcPr>
          <w:p>
            <w:pPr>
              <w:spacing w:after="0"/>
              <w:rPr>
                <w:sz w:val="15"/>
                <w:szCs w:val="15"/>
                <w:color w:val="auto"/>
              </w:rPr>
            </w:pPr>
          </w:p>
        </w:tc>
        <w:tc>
          <w:tcPr>
            <w:tcW w:w="1000" w:type="dxa"/>
            <w:vAlign w:val="bottom"/>
          </w:tcPr>
          <w:p>
            <w:pPr>
              <w:ind w:left="140"/>
              <w:spacing w:after="0"/>
              <w:rPr>
                <w:sz w:val="20"/>
                <w:szCs w:val="20"/>
                <w:color w:val="auto"/>
              </w:rPr>
            </w:pPr>
            <w:r>
              <w:rPr>
                <w:rFonts w:ascii="Courier New" w:cs="Courier New" w:eastAsia="Courier New" w:hAnsi="Courier New"/>
                <w:sz w:val="16"/>
                <w:szCs w:val="16"/>
                <w:color w:val="auto"/>
                <w:w w:val="97"/>
              </w:rPr>
              <w:t>---------</w:t>
            </w:r>
          </w:p>
        </w:tc>
      </w:tr>
      <w:tr>
        <w:trPr>
          <w:trHeight w:val="183"/>
        </w:trPr>
        <w:tc>
          <w:tcPr>
            <w:tcW w:w="6540" w:type="dxa"/>
            <w:vAlign w:val="bottom"/>
          </w:tcPr>
          <w:p>
            <w:pPr>
              <w:spacing w:after="0"/>
              <w:rPr>
                <w:sz w:val="15"/>
                <w:szCs w:val="15"/>
                <w:color w:val="auto"/>
              </w:rPr>
            </w:pPr>
          </w:p>
        </w:tc>
        <w:tc>
          <w:tcPr>
            <w:tcW w:w="1000" w:type="dxa"/>
            <w:vAlign w:val="bottom"/>
          </w:tcPr>
          <w:p>
            <w:pPr>
              <w:ind w:left="140"/>
              <w:spacing w:after="0"/>
              <w:rPr>
                <w:sz w:val="20"/>
                <w:szCs w:val="20"/>
                <w:color w:val="auto"/>
              </w:rPr>
            </w:pPr>
            <w:r>
              <w:rPr>
                <w:rFonts w:ascii="Courier New" w:cs="Courier New" w:eastAsia="Courier New" w:hAnsi="Courier New"/>
                <w:sz w:val="16"/>
                <w:szCs w:val="16"/>
                <w:color w:val="auto"/>
                <w:w w:val="97"/>
              </w:rPr>
              <w:t>---------</w:t>
            </w:r>
          </w:p>
        </w:tc>
      </w:tr>
    </w:tbl>
    <w:p>
      <w:pPr>
        <w:spacing w:after="0" w:line="188"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The Underwriting Agreement provides that the obligations of the several Underwriters to pay for and accept delivery of the Class B Common Stock are subject to the approval of certain legal matters by counsel and to certain other conditions. The Underwriters are obligated to take and pay for all of the shares offered hereby if any are taken (other than those covered by the overallotment option described below).</w:t>
      </w:r>
    </w:p>
    <w:p>
      <w:pPr>
        <w:spacing w:after="0" w:line="187" w:lineRule="exact"/>
        <w:rPr>
          <w:sz w:val="20"/>
          <w:szCs w:val="20"/>
          <w:color w:val="auto"/>
        </w:rPr>
      </w:pPr>
    </w:p>
    <w:p>
      <w:pPr>
        <w:ind w:right="2599" w:firstLine="382"/>
        <w:spacing w:after="0" w:line="259" w:lineRule="auto"/>
        <w:rPr>
          <w:sz w:val="20"/>
          <w:szCs w:val="20"/>
          <w:color w:val="auto"/>
        </w:rPr>
      </w:pPr>
      <w:r>
        <w:rPr>
          <w:rFonts w:ascii="Courier New" w:cs="Courier New" w:eastAsia="Courier New" w:hAnsi="Courier New"/>
          <w:sz w:val="15"/>
          <w:szCs w:val="15"/>
          <w:color w:val="auto"/>
        </w:rPr>
        <w:t>The Underwriters, for whom Smith Barney Inc., Bear, Stearns &amp; Co. Inc., Dillon, Read &amp; Co. Inc., Donaldson, Lufkin &amp; Jenrette Securities Corporation and J.P. Morgan Securities Inc., are acting as representatives propose to offer part of the shares directly to the public at the public offering price set forth on the cover page hereof and part to certain dealers at a price which represents a</w:t>
      </w:r>
    </w:p>
    <w:p>
      <w:pPr>
        <w:spacing w:after="0"/>
        <w:tabs>
          <w:tab w:leader="none" w:pos="3600" w:val="left"/>
        </w:tabs>
        <w:rPr>
          <w:sz w:val="20"/>
          <w:szCs w:val="20"/>
          <w:color w:val="auto"/>
        </w:rPr>
      </w:pPr>
      <w:r>
        <w:rPr>
          <w:rFonts w:ascii="Courier New" w:cs="Courier New" w:eastAsia="Courier New" w:hAnsi="Courier New"/>
          <w:sz w:val="16"/>
          <w:szCs w:val="16"/>
          <w:color w:val="auto"/>
        </w:rPr>
        <w:t>concession not in excess of $</w:t>
      </w:r>
      <w:r>
        <w:rPr>
          <w:sz w:val="20"/>
          <w:szCs w:val="20"/>
          <w:color w:val="auto"/>
        </w:rPr>
        <w:tab/>
      </w:r>
      <w:r>
        <w:rPr>
          <w:rFonts w:ascii="Courier New" w:cs="Courier New" w:eastAsia="Courier New" w:hAnsi="Courier New"/>
          <w:sz w:val="15"/>
          <w:szCs w:val="15"/>
          <w:color w:val="auto"/>
        </w:rPr>
        <w:t>per share. The Underwriters may allow, and</w:t>
      </w:r>
    </w:p>
    <w:p>
      <w:pPr>
        <w:spacing w:after="0" w:line="5" w:lineRule="exact"/>
        <w:rPr>
          <w:sz w:val="20"/>
          <w:szCs w:val="20"/>
          <w:color w:val="auto"/>
        </w:rPr>
      </w:pPr>
    </w:p>
    <w:p>
      <w:pPr>
        <w:ind w:right="2979"/>
        <w:spacing w:after="0" w:line="239" w:lineRule="auto"/>
        <w:rPr>
          <w:sz w:val="20"/>
          <w:szCs w:val="20"/>
          <w:color w:val="auto"/>
        </w:rPr>
      </w:pPr>
      <w:r>
        <w:rPr>
          <w:rFonts w:ascii="Courier New" w:cs="Courier New" w:eastAsia="Courier New" w:hAnsi="Courier New"/>
          <w:sz w:val="16"/>
          <w:szCs w:val="16"/>
          <w:color w:val="auto"/>
        </w:rPr>
        <w:t>such dealers may reallow, a discount of not more than $ per share to other Underwriters or certain other dealers.</w:t>
      </w:r>
    </w:p>
    <w:p>
      <w:pPr>
        <w:spacing w:after="0" w:line="189"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The Company has granted to the Underwriters a 30-day option to purchase up to 660,000 additional shares of Class B Common Stock at the price to the public all as set forth on the cover page of this Prospectus less the underwriting discounts and commissions. The Underwriters may exercise such option solely for the purpose of covering over allotments made in connection with the sale of shares offered hereby. To the extent that such option is exercised, each Underwriter will be obligated, subject to certain conditions, to purchase approximately the same percentage of such additional shares as the number of shares set forth opposite each Underwriter's name in the preceding table bears to the total number of shares listed in such table.</w:t>
      </w:r>
    </w:p>
    <w:p>
      <w:pPr>
        <w:spacing w:after="0" w:line="190"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The Company and its executive officers and directors have agreed that, for a period of 90 days from the date of this Prospectus, they will not, without the prior written consent of Smith Barney Inc., offer, sell, contract to sell, or otherwise dispose of, any shares of Class B Common Stock of the Company or any securities convertible into, or exercisable or exchangeable for Class B Common Stock of the Company, except in the case of the Company in connection with certain permitted issuances described in the Underwriting Agreement.</w:t>
      </w:r>
    </w:p>
    <w:p>
      <w:pPr>
        <w:spacing w:after="0" w:line="188" w:lineRule="exact"/>
        <w:rPr>
          <w:sz w:val="20"/>
          <w:szCs w:val="20"/>
          <w:color w:val="auto"/>
        </w:rPr>
      </w:pPr>
    </w:p>
    <w:p>
      <w:pPr>
        <w:ind w:right="2679" w:firstLine="382"/>
        <w:spacing w:after="0"/>
        <w:rPr>
          <w:sz w:val="20"/>
          <w:szCs w:val="20"/>
          <w:color w:val="auto"/>
        </w:rPr>
      </w:pPr>
      <w:r>
        <w:rPr>
          <w:rFonts w:ascii="Courier New" w:cs="Courier New" w:eastAsia="Courier New" w:hAnsi="Courier New"/>
          <w:sz w:val="16"/>
          <w:szCs w:val="16"/>
          <w:color w:val="auto"/>
        </w:rPr>
        <w:t>In connection with the repayment of debt with a portion of the proceeds of the Offering, see "Use of Proceeds," more than 10% of the net offering proceeds will be paid to or for the beneficial interest of</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41</w:t>
      </w:r>
    </w:p>
    <w:p>
      <w:pPr>
        <w:sectPr>
          <w:pgSz w:w="11900" w:h="16838" w:orient="portrait"/>
          <w:cols w:equalWidth="0" w:num="1">
            <w:col w:w="10219"/>
          </w:cols>
          <w:pgMar w:left="240" w:top="481" w:right="1440" w:bottom="1440" w:gutter="0" w:footer="0" w:header="0"/>
        </w:sectPr>
      </w:pPr>
    </w:p>
    <w:bookmarkStart w:id="49" w:name="page50"/>
    <w:bookmarkEnd w:id="49"/>
    <w:p>
      <w:pPr>
        <w:ind w:right="2879"/>
        <w:spacing w:after="0" w:line="241" w:lineRule="auto"/>
        <w:rPr>
          <w:sz w:val="20"/>
          <w:szCs w:val="20"/>
          <w:color w:val="auto"/>
        </w:rPr>
      </w:pPr>
      <w:r>
        <w:rPr>
          <w:rFonts w:ascii="Courier New" w:cs="Courier New" w:eastAsia="Courier New" w:hAnsi="Courier New"/>
          <w:sz w:val="16"/>
          <w:szCs w:val="16"/>
          <w:color w:val="auto"/>
        </w:rPr>
        <w:t>members of the National Association of Securities Dealers, Inc. ("NASD") and affiliated and associated persons of NASD members. Therefore, the Offering is being made in compliance with subsection (c)(8) of the NASD's Corporate Financing Rule.</w:t>
      </w:r>
    </w:p>
    <w:p>
      <w:pPr>
        <w:spacing w:after="0" w:line="189" w:lineRule="exact"/>
        <w:rPr>
          <w:sz w:val="20"/>
          <w:szCs w:val="20"/>
          <w:color w:val="auto"/>
        </w:rPr>
      </w:pPr>
    </w:p>
    <w:p>
      <w:pPr>
        <w:ind w:right="2679" w:firstLine="382"/>
        <w:spacing w:after="0" w:line="241" w:lineRule="auto"/>
        <w:rPr>
          <w:sz w:val="20"/>
          <w:szCs w:val="20"/>
          <w:color w:val="auto"/>
        </w:rPr>
      </w:pPr>
      <w:r>
        <w:rPr>
          <w:rFonts w:ascii="Courier New" w:cs="Courier New" w:eastAsia="Courier New" w:hAnsi="Courier New"/>
          <w:sz w:val="16"/>
          <w:szCs w:val="16"/>
          <w:color w:val="auto"/>
        </w:rPr>
        <w:t>Robert H. Hotz, a director of the Company, is a Managing Director and Co-Head of Corporate Finance at Dillon, Read &amp; Co. Inc., a managing underwriter of this Offering. The Company has engaged and intends in the future to engage Dillon, Read &amp; Co. Inc. in connection with such financial matters as it deems appropriate.</w:t>
      </w:r>
    </w:p>
    <w:p>
      <w:pPr>
        <w:spacing w:after="0" w:line="190" w:lineRule="exact"/>
        <w:rPr>
          <w:sz w:val="20"/>
          <w:szCs w:val="20"/>
          <w:color w:val="auto"/>
        </w:rPr>
      </w:pPr>
    </w:p>
    <w:p>
      <w:pPr>
        <w:ind w:right="3259" w:firstLine="382"/>
        <w:spacing w:after="0"/>
        <w:rPr>
          <w:sz w:val="20"/>
          <w:szCs w:val="20"/>
          <w:color w:val="auto"/>
        </w:rPr>
      </w:pPr>
      <w:r>
        <w:rPr>
          <w:rFonts w:ascii="Courier New" w:cs="Courier New" w:eastAsia="Courier New" w:hAnsi="Courier New"/>
          <w:sz w:val="16"/>
          <w:szCs w:val="16"/>
          <w:color w:val="auto"/>
        </w:rPr>
        <w:t>The Company and the Selling Stockholder have agreed to indemnify the Underwriters against certain liabilities, including liabilities under the Securities Act.</w:t>
      </w:r>
    </w:p>
    <w:p>
      <w:pPr>
        <w:spacing w:after="0" w:line="187"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LEGAL MATTERS</w:t>
      </w:r>
    </w:p>
    <w:p>
      <w:pPr>
        <w:spacing w:after="0" w:line="188"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The validity of the Class B Common Stock offered hereby will be passed upon for the Company and the Selling Stockholder by Fulbright &amp; Jaworski L.L.P., 666 Fifth Avenue, New York, New York 10103. Anthony Pantaleoni, a director of the Company who owns less than one percent of the outstanding capital stock of the Company, is a partner in Fulbright &amp; Jaworski L.L.P. The validity of the Class B Common Stock offered hereby will be passed upon for the Underwriters by Dewey Ballantine, 1301 Avenue of the Americas, New York, New York 10019.</w:t>
      </w:r>
    </w:p>
    <w:p>
      <w:pPr>
        <w:spacing w:after="0" w:line="185"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EXPERTS</w:t>
      </w:r>
    </w:p>
    <w:p>
      <w:pPr>
        <w:spacing w:after="0" w:line="188" w:lineRule="exact"/>
        <w:rPr>
          <w:sz w:val="20"/>
          <w:szCs w:val="20"/>
          <w:color w:val="auto"/>
        </w:rPr>
      </w:pPr>
    </w:p>
    <w:p>
      <w:pPr>
        <w:ind w:right="2779" w:firstLine="382"/>
        <w:spacing w:after="0" w:line="242" w:lineRule="auto"/>
        <w:rPr>
          <w:sz w:val="20"/>
          <w:szCs w:val="20"/>
          <w:color w:val="auto"/>
        </w:rPr>
      </w:pPr>
      <w:r>
        <w:rPr>
          <w:rFonts w:ascii="Courier New" w:cs="Courier New" w:eastAsia="Courier New" w:hAnsi="Courier New"/>
          <w:sz w:val="16"/>
          <w:szCs w:val="16"/>
          <w:color w:val="auto"/>
        </w:rPr>
        <w:t>The consolidated financial statements and schedule of Universal Health Services, Inc. and subsidiaries as of December 31, 1994 and 1995, and for each of the three years in the period ended December 31, 1995, and the financial statements of Aiken Regional Medical Centers as of and for the year ended December 31, 1994, included or incorporated by reference in this Registration Statement have been audited by Arthur Andersen LLP, independent public accountants, as indicated in their reports with respect thereto, and are included or incorporated by reference herein in reliance upon the authority of said firm as experts in giving said reports.</w:t>
      </w:r>
    </w:p>
    <w:p>
      <w:pPr>
        <w:spacing w:after="0" w:line="373" w:lineRule="exact"/>
        <w:rPr>
          <w:sz w:val="20"/>
          <w:szCs w:val="20"/>
          <w:color w:val="auto"/>
        </w:rPr>
      </w:pPr>
    </w:p>
    <w:p>
      <w:pPr>
        <w:ind w:right="2779" w:firstLine="382"/>
        <w:spacing w:after="0" w:line="261" w:lineRule="auto"/>
        <w:rPr>
          <w:sz w:val="20"/>
          <w:szCs w:val="20"/>
          <w:color w:val="auto"/>
        </w:rPr>
      </w:pPr>
      <w:r>
        <w:rPr>
          <w:rFonts w:ascii="Courier New" w:cs="Courier New" w:eastAsia="Courier New" w:hAnsi="Courier New"/>
          <w:sz w:val="15"/>
          <w:szCs w:val="15"/>
          <w:color w:val="auto"/>
        </w:rPr>
        <w:t>The combined financial statements of Manatee Hospitals and Health Systems, Inc. at August 31, 1993 and 1994, and for the years then ended incorporated by reference in this Prospectus and Registration Statement have been audited by Ernst &amp; Young LLP, independent Certified Public Accountants, as set forth in their report thereon, and are included in reliance upon such report given upon the authority of such firm as experts in accounting and auditing.</w:t>
      </w:r>
    </w:p>
    <w:p>
      <w:pPr>
        <w:spacing w:after="0" w:line="359"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The financial statements of Northwest Texas Healthcare System as of September 30, 1995, and for the year then ended appearing in this Prospectus and Registration Statement have been audited by Clifton, Gunderson &amp; Co., independent Certified Public Accountants, as set forth in their report thereon appearing elsewhere herein and in the Registration Statement, and are included in reliance upon such report given upon the authority of such firm as experts in accounting and auditing. The report of Clifton, Gunderson &amp; Co. covering the September 30, 1995 financial statements refers to an emphasis of the accounting reporting entity and to a change in accounting for investment securities.</w:t>
      </w:r>
    </w:p>
    <w:p>
      <w:pPr>
        <w:spacing w:after="0" w:line="189"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The financial statements of Northwest Texas Healthcare System as of September 30, 1994, and for the year then ended appearing in this Prospectus and Registration Statement have been audited by KPMG Peat Marwick LLP, independent Certified Public Accountants, as set forth in their report thereon appearing elsewhere herein and in the Registration Statement, and are included in reliance upon such report given upon the authority of such firm as experts in accounting and auditing. The report of KPMG Peat Marwick LLP, covering the September 30, 1994 financial statements refers to an emphasis of the financial reporting entity and to a change in accounting for investment securities.</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42</w:t>
      </w:r>
    </w:p>
    <w:p>
      <w:pPr>
        <w:sectPr>
          <w:pgSz w:w="11900" w:h="16838" w:orient="portrait"/>
          <w:cols w:equalWidth="0" w:num="1">
            <w:col w:w="10219"/>
          </w:cols>
          <w:pgMar w:left="240" w:top="484" w:right="1440"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81"/>
        </w:trPr>
        <w:tc>
          <w:tcPr>
            <w:tcW w:w="8240" w:type="dxa"/>
            <w:vAlign w:val="bottom"/>
          </w:tcPr>
          <w:p>
            <w:pPr>
              <w:ind w:left="2380"/>
              <w:spacing w:after="0"/>
              <w:rPr>
                <w:sz w:val="20"/>
                <w:szCs w:val="20"/>
                <w:color w:val="auto"/>
              </w:rPr>
            </w:pPr>
            <w:r>
              <w:rPr>
                <w:rFonts w:ascii="Courier New" w:cs="Courier New" w:eastAsia="Courier New" w:hAnsi="Courier New"/>
                <w:sz w:val="16"/>
                <w:szCs w:val="16"/>
                <w:color w:val="auto"/>
              </w:rPr>
              <w:t>INDEX TO FINANCIAL STATEMENTS</w:t>
            </w:r>
          </w:p>
        </w:tc>
        <w:tc>
          <w:tcPr>
            <w:tcW w:w="540" w:type="dxa"/>
            <w:vAlign w:val="bottom"/>
          </w:tcPr>
          <w:p>
            <w:pPr>
              <w:spacing w:after="0"/>
              <w:rPr>
                <w:sz w:val="15"/>
                <w:szCs w:val="15"/>
                <w:color w:val="auto"/>
              </w:rPr>
            </w:pPr>
          </w:p>
        </w:tc>
      </w:tr>
      <w:tr>
        <w:trPr>
          <w:trHeight w:val="734"/>
        </w:trPr>
        <w:tc>
          <w:tcPr>
            <w:tcW w:w="8240" w:type="dxa"/>
            <w:vAlign w:val="bottom"/>
          </w:tcPr>
          <w:p>
            <w:pPr>
              <w:spacing w:after="0"/>
              <w:rPr>
                <w:sz w:val="20"/>
                <w:szCs w:val="20"/>
                <w:color w:val="auto"/>
              </w:rPr>
            </w:pPr>
            <w:r>
              <w:rPr>
                <w:rFonts w:ascii="Courier New" w:cs="Courier New" w:eastAsia="Courier New" w:hAnsi="Courier New"/>
                <w:sz w:val="16"/>
                <w:szCs w:val="16"/>
                <w:color w:val="auto"/>
              </w:rPr>
              <w:t>Consolidated Financial Statements:</w:t>
            </w:r>
          </w:p>
        </w:tc>
        <w:tc>
          <w:tcPr>
            <w:tcW w:w="540" w:type="dxa"/>
            <w:vAlign w:val="bottom"/>
          </w:tcPr>
          <w:p>
            <w:pPr>
              <w:spacing w:after="0"/>
              <w:rPr>
                <w:sz w:val="24"/>
                <w:szCs w:val="24"/>
                <w:color w:val="auto"/>
              </w:rPr>
            </w:pPr>
          </w:p>
        </w:tc>
      </w:tr>
      <w:tr>
        <w:trPr>
          <w:trHeight w:val="183"/>
        </w:trPr>
        <w:tc>
          <w:tcPr>
            <w:tcW w:w="8240" w:type="dxa"/>
            <w:vAlign w:val="bottom"/>
          </w:tcPr>
          <w:p>
            <w:pPr>
              <w:ind w:left="180"/>
              <w:spacing w:after="0"/>
              <w:rPr>
                <w:sz w:val="20"/>
                <w:szCs w:val="20"/>
                <w:color w:val="auto"/>
              </w:rPr>
            </w:pPr>
            <w:r>
              <w:rPr>
                <w:rFonts w:ascii="Courier New" w:cs="Courier New" w:eastAsia="Courier New" w:hAnsi="Courier New"/>
                <w:sz w:val="16"/>
                <w:szCs w:val="16"/>
                <w:color w:val="auto"/>
              </w:rPr>
              <w:t>Report of Independent Public Accountants...........................................</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F-2</w:t>
            </w:r>
          </w:p>
        </w:tc>
      </w:tr>
      <w:tr>
        <w:trPr>
          <w:trHeight w:val="183"/>
        </w:trPr>
        <w:tc>
          <w:tcPr>
            <w:tcW w:w="8240" w:type="dxa"/>
            <w:vAlign w:val="bottom"/>
          </w:tcPr>
          <w:p>
            <w:pPr>
              <w:ind w:left="180"/>
              <w:spacing w:after="0"/>
              <w:rPr>
                <w:sz w:val="20"/>
                <w:szCs w:val="20"/>
                <w:color w:val="auto"/>
              </w:rPr>
            </w:pPr>
            <w:r>
              <w:rPr>
                <w:rFonts w:ascii="Courier New" w:cs="Courier New" w:eastAsia="Courier New" w:hAnsi="Courier New"/>
                <w:sz w:val="16"/>
                <w:szCs w:val="16"/>
                <w:color w:val="auto"/>
              </w:rPr>
              <w:t>Consolidated Statements of Income for the Three Years Ended December 31, 1995......</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F-3</w:t>
            </w:r>
          </w:p>
        </w:tc>
      </w:tr>
      <w:tr>
        <w:trPr>
          <w:trHeight w:val="183"/>
        </w:trPr>
        <w:tc>
          <w:tcPr>
            <w:tcW w:w="8240" w:type="dxa"/>
            <w:vAlign w:val="bottom"/>
          </w:tcPr>
          <w:p>
            <w:pPr>
              <w:ind w:left="180"/>
              <w:spacing w:after="0"/>
              <w:rPr>
                <w:sz w:val="20"/>
                <w:szCs w:val="20"/>
                <w:color w:val="auto"/>
              </w:rPr>
            </w:pPr>
            <w:r>
              <w:rPr>
                <w:rFonts w:ascii="Courier New" w:cs="Courier New" w:eastAsia="Courier New" w:hAnsi="Courier New"/>
                <w:sz w:val="16"/>
                <w:szCs w:val="16"/>
                <w:color w:val="auto"/>
              </w:rPr>
              <w:t>Consolidated Balance Sheets as of December 31, 1994 and 1995.......................</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F-4</w:t>
            </w:r>
          </w:p>
        </w:tc>
      </w:tr>
      <w:tr>
        <w:trPr>
          <w:trHeight w:val="183"/>
        </w:trPr>
        <w:tc>
          <w:tcPr>
            <w:tcW w:w="8240" w:type="dxa"/>
            <w:vAlign w:val="bottom"/>
          </w:tcPr>
          <w:p>
            <w:pPr>
              <w:ind w:left="180"/>
              <w:spacing w:after="0"/>
              <w:rPr>
                <w:sz w:val="20"/>
                <w:szCs w:val="20"/>
                <w:color w:val="auto"/>
              </w:rPr>
            </w:pPr>
            <w:r>
              <w:rPr>
                <w:rFonts w:ascii="Courier New" w:cs="Courier New" w:eastAsia="Courier New" w:hAnsi="Courier New"/>
                <w:sz w:val="16"/>
                <w:szCs w:val="16"/>
                <w:color w:val="auto"/>
              </w:rPr>
              <w:t>Consolidated Statements of Common Stockholders' Equity for the Three Years Ended</w:t>
            </w:r>
          </w:p>
        </w:tc>
        <w:tc>
          <w:tcPr>
            <w:tcW w:w="540" w:type="dxa"/>
            <w:vAlign w:val="bottom"/>
          </w:tcPr>
          <w:p>
            <w:pPr>
              <w:spacing w:after="0"/>
              <w:rPr>
                <w:sz w:val="15"/>
                <w:szCs w:val="15"/>
                <w:color w:val="auto"/>
              </w:rPr>
            </w:pPr>
          </w:p>
        </w:tc>
      </w:tr>
      <w:tr>
        <w:trPr>
          <w:trHeight w:val="183"/>
        </w:trPr>
        <w:tc>
          <w:tcPr>
            <w:tcW w:w="8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December 31, 1995................................................................</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F-5</w:t>
            </w:r>
          </w:p>
        </w:tc>
      </w:tr>
      <w:tr>
        <w:trPr>
          <w:trHeight w:val="183"/>
        </w:trPr>
        <w:tc>
          <w:tcPr>
            <w:tcW w:w="8240" w:type="dxa"/>
            <w:vAlign w:val="bottom"/>
          </w:tcPr>
          <w:p>
            <w:pPr>
              <w:ind w:left="180"/>
              <w:spacing w:after="0"/>
              <w:rPr>
                <w:sz w:val="20"/>
                <w:szCs w:val="20"/>
                <w:color w:val="auto"/>
              </w:rPr>
            </w:pPr>
            <w:r>
              <w:rPr>
                <w:rFonts w:ascii="Courier New" w:cs="Courier New" w:eastAsia="Courier New" w:hAnsi="Courier New"/>
                <w:sz w:val="16"/>
                <w:szCs w:val="16"/>
                <w:color w:val="auto"/>
              </w:rPr>
              <w:t>Consolidated Statements of Cash Flows for the Three Years Ended December 31,</w:t>
            </w:r>
          </w:p>
        </w:tc>
        <w:tc>
          <w:tcPr>
            <w:tcW w:w="540" w:type="dxa"/>
            <w:vAlign w:val="bottom"/>
          </w:tcPr>
          <w:p>
            <w:pPr>
              <w:spacing w:after="0"/>
              <w:rPr>
                <w:sz w:val="15"/>
                <w:szCs w:val="15"/>
                <w:color w:val="auto"/>
              </w:rPr>
            </w:pPr>
          </w:p>
        </w:tc>
      </w:tr>
      <w:tr>
        <w:trPr>
          <w:trHeight w:val="183"/>
        </w:trPr>
        <w:tc>
          <w:tcPr>
            <w:tcW w:w="8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1995.............................................................................</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F-6</w:t>
            </w:r>
          </w:p>
        </w:tc>
      </w:tr>
      <w:tr>
        <w:trPr>
          <w:trHeight w:val="183"/>
        </w:trPr>
        <w:tc>
          <w:tcPr>
            <w:tcW w:w="8240" w:type="dxa"/>
            <w:vAlign w:val="bottom"/>
          </w:tcPr>
          <w:p>
            <w:pPr>
              <w:ind w:left="180"/>
              <w:spacing w:after="0"/>
              <w:rPr>
                <w:sz w:val="20"/>
                <w:szCs w:val="20"/>
                <w:color w:val="auto"/>
              </w:rPr>
            </w:pPr>
            <w:r>
              <w:rPr>
                <w:rFonts w:ascii="Courier New" w:cs="Courier New" w:eastAsia="Courier New" w:hAnsi="Courier New"/>
                <w:sz w:val="16"/>
                <w:szCs w:val="16"/>
                <w:color w:val="auto"/>
              </w:rPr>
              <w:t>Notes to Consolidated Financial Statements.........................................</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F-7</w:t>
            </w:r>
          </w:p>
        </w:tc>
      </w:tr>
      <w:tr>
        <w:trPr>
          <w:trHeight w:val="183"/>
        </w:trPr>
        <w:tc>
          <w:tcPr>
            <w:tcW w:w="8240" w:type="dxa"/>
            <w:vAlign w:val="bottom"/>
          </w:tcPr>
          <w:p>
            <w:pPr>
              <w:ind w:left="180"/>
              <w:spacing w:after="0"/>
              <w:rPr>
                <w:sz w:val="20"/>
                <w:szCs w:val="20"/>
                <w:color w:val="auto"/>
              </w:rPr>
            </w:pPr>
            <w:r>
              <w:rPr>
                <w:rFonts w:ascii="Courier New" w:cs="Courier New" w:eastAsia="Courier New" w:hAnsi="Courier New"/>
                <w:sz w:val="16"/>
                <w:szCs w:val="16"/>
                <w:color w:val="auto"/>
              </w:rPr>
              <w:t>Consolidated Statements of Income for the Three Months Ended March 31, 1995 and</w:t>
            </w:r>
          </w:p>
        </w:tc>
        <w:tc>
          <w:tcPr>
            <w:tcW w:w="540" w:type="dxa"/>
            <w:vAlign w:val="bottom"/>
          </w:tcPr>
          <w:p>
            <w:pPr>
              <w:spacing w:after="0"/>
              <w:rPr>
                <w:sz w:val="15"/>
                <w:szCs w:val="15"/>
                <w:color w:val="auto"/>
              </w:rPr>
            </w:pPr>
          </w:p>
        </w:tc>
      </w:tr>
      <w:tr>
        <w:trPr>
          <w:trHeight w:val="183"/>
        </w:trPr>
        <w:tc>
          <w:tcPr>
            <w:tcW w:w="8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1996 (unaudited).................................................................</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F-22</w:t>
            </w:r>
          </w:p>
        </w:tc>
      </w:tr>
      <w:tr>
        <w:trPr>
          <w:trHeight w:val="183"/>
        </w:trPr>
        <w:tc>
          <w:tcPr>
            <w:tcW w:w="8240" w:type="dxa"/>
            <w:vAlign w:val="bottom"/>
          </w:tcPr>
          <w:p>
            <w:pPr>
              <w:ind w:left="180"/>
              <w:spacing w:after="0"/>
              <w:rPr>
                <w:sz w:val="20"/>
                <w:szCs w:val="20"/>
                <w:color w:val="auto"/>
              </w:rPr>
            </w:pPr>
            <w:r>
              <w:rPr>
                <w:rFonts w:ascii="Courier New" w:cs="Courier New" w:eastAsia="Courier New" w:hAnsi="Courier New"/>
                <w:sz w:val="16"/>
                <w:szCs w:val="16"/>
                <w:color w:val="auto"/>
              </w:rPr>
              <w:t>Condensed Consolidated Balance Sheets as of December 31, 1995 and as of March 31,</w:t>
            </w:r>
          </w:p>
        </w:tc>
        <w:tc>
          <w:tcPr>
            <w:tcW w:w="540" w:type="dxa"/>
            <w:vAlign w:val="bottom"/>
          </w:tcPr>
          <w:p>
            <w:pPr>
              <w:spacing w:after="0"/>
              <w:rPr>
                <w:sz w:val="15"/>
                <w:szCs w:val="15"/>
                <w:color w:val="auto"/>
              </w:rPr>
            </w:pPr>
          </w:p>
        </w:tc>
      </w:tr>
      <w:tr>
        <w:trPr>
          <w:trHeight w:val="183"/>
        </w:trPr>
        <w:tc>
          <w:tcPr>
            <w:tcW w:w="8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1996 (unaudited).................................................................</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F-23</w:t>
            </w:r>
          </w:p>
        </w:tc>
      </w:tr>
      <w:tr>
        <w:trPr>
          <w:trHeight w:val="183"/>
        </w:trPr>
        <w:tc>
          <w:tcPr>
            <w:tcW w:w="8240" w:type="dxa"/>
            <w:vAlign w:val="bottom"/>
          </w:tcPr>
          <w:p>
            <w:pPr>
              <w:ind w:left="180"/>
              <w:spacing w:after="0"/>
              <w:rPr>
                <w:sz w:val="20"/>
                <w:szCs w:val="20"/>
                <w:color w:val="auto"/>
              </w:rPr>
            </w:pPr>
            <w:r>
              <w:rPr>
                <w:rFonts w:ascii="Courier New" w:cs="Courier New" w:eastAsia="Courier New" w:hAnsi="Courier New"/>
                <w:sz w:val="16"/>
                <w:szCs w:val="16"/>
                <w:color w:val="auto"/>
              </w:rPr>
              <w:t>Condensed Consolidated Statements of Cash Flows for the Three Months Ended March</w:t>
            </w:r>
          </w:p>
        </w:tc>
        <w:tc>
          <w:tcPr>
            <w:tcW w:w="540" w:type="dxa"/>
            <w:vAlign w:val="bottom"/>
          </w:tcPr>
          <w:p>
            <w:pPr>
              <w:spacing w:after="0"/>
              <w:rPr>
                <w:sz w:val="15"/>
                <w:szCs w:val="15"/>
                <w:color w:val="auto"/>
              </w:rPr>
            </w:pPr>
          </w:p>
        </w:tc>
      </w:tr>
      <w:tr>
        <w:trPr>
          <w:trHeight w:val="183"/>
        </w:trPr>
        <w:tc>
          <w:tcPr>
            <w:tcW w:w="8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31, 1995 and 1996 (unaudited)....................................................</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F-24</w:t>
            </w:r>
          </w:p>
        </w:tc>
      </w:tr>
      <w:tr>
        <w:trPr>
          <w:trHeight w:val="183"/>
        </w:trPr>
        <w:tc>
          <w:tcPr>
            <w:tcW w:w="8240" w:type="dxa"/>
            <w:vAlign w:val="bottom"/>
          </w:tcPr>
          <w:p>
            <w:pPr>
              <w:ind w:left="180"/>
              <w:spacing w:after="0"/>
              <w:rPr>
                <w:sz w:val="20"/>
                <w:szCs w:val="20"/>
                <w:color w:val="auto"/>
              </w:rPr>
            </w:pPr>
            <w:r>
              <w:rPr>
                <w:rFonts w:ascii="Courier New" w:cs="Courier New" w:eastAsia="Courier New" w:hAnsi="Courier New"/>
                <w:sz w:val="16"/>
                <w:szCs w:val="16"/>
                <w:color w:val="auto"/>
              </w:rPr>
              <w:t>Notes to Condensed Consolidated Financial Statements (unaudited)...................</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F-25</w:t>
            </w:r>
          </w:p>
        </w:tc>
      </w:tr>
      <w:tr>
        <w:trPr>
          <w:trHeight w:val="367"/>
        </w:trPr>
        <w:tc>
          <w:tcPr>
            <w:tcW w:w="8240" w:type="dxa"/>
            <w:vAlign w:val="bottom"/>
          </w:tcPr>
          <w:p>
            <w:pPr>
              <w:ind w:left="180"/>
              <w:spacing w:after="0"/>
              <w:rPr>
                <w:sz w:val="20"/>
                <w:szCs w:val="20"/>
                <w:color w:val="auto"/>
              </w:rPr>
            </w:pPr>
            <w:r>
              <w:rPr>
                <w:rFonts w:ascii="Courier New" w:cs="Courier New" w:eastAsia="Courier New" w:hAnsi="Courier New"/>
                <w:sz w:val="16"/>
                <w:szCs w:val="16"/>
                <w:color w:val="auto"/>
              </w:rPr>
              <w:t>NORTHWEST TEXAS HEALTHCARE SYSTEM</w:t>
            </w:r>
          </w:p>
        </w:tc>
        <w:tc>
          <w:tcPr>
            <w:tcW w:w="540" w:type="dxa"/>
            <w:vAlign w:val="bottom"/>
          </w:tcPr>
          <w:p>
            <w:pPr>
              <w:spacing w:after="0"/>
              <w:rPr>
                <w:sz w:val="24"/>
                <w:szCs w:val="24"/>
                <w:color w:val="auto"/>
              </w:rPr>
            </w:pPr>
          </w:p>
        </w:tc>
      </w:tr>
      <w:tr>
        <w:trPr>
          <w:trHeight w:val="183"/>
        </w:trPr>
        <w:tc>
          <w:tcPr>
            <w:tcW w:w="8240" w:type="dxa"/>
            <w:vAlign w:val="bottom"/>
          </w:tcPr>
          <w:p>
            <w:pPr>
              <w:ind w:left="180"/>
              <w:spacing w:after="0"/>
              <w:rPr>
                <w:sz w:val="20"/>
                <w:szCs w:val="20"/>
                <w:color w:val="auto"/>
              </w:rPr>
            </w:pPr>
            <w:r>
              <w:rPr>
                <w:rFonts w:ascii="Courier New" w:cs="Courier New" w:eastAsia="Courier New" w:hAnsi="Courier New"/>
                <w:sz w:val="16"/>
                <w:szCs w:val="16"/>
                <w:color w:val="auto"/>
              </w:rPr>
              <w:t>Reports of Independent Auditors....................................................</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F-27</w:t>
            </w:r>
          </w:p>
        </w:tc>
      </w:tr>
      <w:tr>
        <w:trPr>
          <w:trHeight w:val="183"/>
        </w:trPr>
        <w:tc>
          <w:tcPr>
            <w:tcW w:w="8240" w:type="dxa"/>
            <w:vAlign w:val="bottom"/>
          </w:tcPr>
          <w:p>
            <w:pPr>
              <w:ind w:left="180"/>
              <w:spacing w:after="0"/>
              <w:rPr>
                <w:sz w:val="20"/>
                <w:szCs w:val="20"/>
                <w:color w:val="auto"/>
              </w:rPr>
            </w:pPr>
            <w:r>
              <w:rPr>
                <w:rFonts w:ascii="Courier New" w:cs="Courier New" w:eastAsia="Courier New" w:hAnsi="Courier New"/>
                <w:sz w:val="16"/>
                <w:szCs w:val="16"/>
                <w:color w:val="auto"/>
              </w:rPr>
              <w:t>Balance Sheets as of September 30, 1994 and 1995 and March 31, 1996 (unaudited)....</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F-29</w:t>
            </w:r>
          </w:p>
        </w:tc>
      </w:tr>
      <w:tr>
        <w:trPr>
          <w:trHeight w:val="183"/>
        </w:trPr>
        <w:tc>
          <w:tcPr>
            <w:tcW w:w="8240" w:type="dxa"/>
            <w:vAlign w:val="bottom"/>
          </w:tcPr>
          <w:p>
            <w:pPr>
              <w:ind w:left="180"/>
              <w:spacing w:after="0"/>
              <w:rPr>
                <w:sz w:val="20"/>
                <w:szCs w:val="20"/>
                <w:color w:val="auto"/>
              </w:rPr>
            </w:pPr>
            <w:r>
              <w:rPr>
                <w:rFonts w:ascii="Courier New" w:cs="Courier New" w:eastAsia="Courier New" w:hAnsi="Courier New"/>
                <w:sz w:val="16"/>
                <w:szCs w:val="16"/>
                <w:color w:val="auto"/>
              </w:rPr>
              <w:t>Statements of Revenue and Expenses for the Years Ended September 30, 1994 and 1995</w:t>
            </w:r>
          </w:p>
        </w:tc>
        <w:tc>
          <w:tcPr>
            <w:tcW w:w="540" w:type="dxa"/>
            <w:vAlign w:val="bottom"/>
          </w:tcPr>
          <w:p>
            <w:pPr>
              <w:spacing w:after="0"/>
              <w:rPr>
                <w:sz w:val="15"/>
                <w:szCs w:val="15"/>
                <w:color w:val="auto"/>
              </w:rPr>
            </w:pPr>
          </w:p>
        </w:tc>
      </w:tr>
      <w:tr>
        <w:trPr>
          <w:trHeight w:val="183"/>
        </w:trPr>
        <w:tc>
          <w:tcPr>
            <w:tcW w:w="8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and the Six Months Ended March 31, 1995 and 1996 (unaudited).....................</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F-30</w:t>
            </w:r>
          </w:p>
        </w:tc>
      </w:tr>
      <w:tr>
        <w:trPr>
          <w:trHeight w:val="183"/>
        </w:trPr>
        <w:tc>
          <w:tcPr>
            <w:tcW w:w="8240" w:type="dxa"/>
            <w:vAlign w:val="bottom"/>
          </w:tcPr>
          <w:p>
            <w:pPr>
              <w:ind w:left="180"/>
              <w:spacing w:after="0"/>
              <w:rPr>
                <w:sz w:val="20"/>
                <w:szCs w:val="20"/>
                <w:color w:val="auto"/>
              </w:rPr>
            </w:pPr>
            <w:r>
              <w:rPr>
                <w:rFonts w:ascii="Courier New" w:cs="Courier New" w:eastAsia="Courier New" w:hAnsi="Courier New"/>
                <w:sz w:val="16"/>
                <w:szCs w:val="16"/>
                <w:color w:val="auto"/>
              </w:rPr>
              <w:t>Statements of Changes in Fund Balances for the Years Ended September 30, 1994 and</w:t>
            </w:r>
          </w:p>
        </w:tc>
        <w:tc>
          <w:tcPr>
            <w:tcW w:w="540" w:type="dxa"/>
            <w:vAlign w:val="bottom"/>
          </w:tcPr>
          <w:p>
            <w:pPr>
              <w:spacing w:after="0"/>
              <w:rPr>
                <w:sz w:val="15"/>
                <w:szCs w:val="15"/>
                <w:color w:val="auto"/>
              </w:rPr>
            </w:pPr>
          </w:p>
        </w:tc>
      </w:tr>
      <w:tr>
        <w:trPr>
          <w:trHeight w:val="183"/>
        </w:trPr>
        <w:tc>
          <w:tcPr>
            <w:tcW w:w="8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1995 and the Six Months Ended March 31, 1996 (unaudited).........................</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F-31</w:t>
            </w:r>
          </w:p>
        </w:tc>
      </w:tr>
      <w:tr>
        <w:trPr>
          <w:trHeight w:val="183"/>
        </w:trPr>
        <w:tc>
          <w:tcPr>
            <w:tcW w:w="8240" w:type="dxa"/>
            <w:vAlign w:val="bottom"/>
          </w:tcPr>
          <w:p>
            <w:pPr>
              <w:ind w:left="180"/>
              <w:spacing w:after="0"/>
              <w:rPr>
                <w:sz w:val="20"/>
                <w:szCs w:val="20"/>
                <w:color w:val="auto"/>
              </w:rPr>
            </w:pPr>
            <w:r>
              <w:rPr>
                <w:rFonts w:ascii="Courier New" w:cs="Courier New" w:eastAsia="Courier New" w:hAnsi="Courier New"/>
                <w:sz w:val="16"/>
                <w:szCs w:val="16"/>
                <w:color w:val="auto"/>
              </w:rPr>
              <w:t>Statements of Cash Flows for the Years Ended September 30, 1994 and 1995 and the</w:t>
            </w:r>
          </w:p>
        </w:tc>
        <w:tc>
          <w:tcPr>
            <w:tcW w:w="540" w:type="dxa"/>
            <w:vAlign w:val="bottom"/>
          </w:tcPr>
          <w:p>
            <w:pPr>
              <w:spacing w:after="0"/>
              <w:rPr>
                <w:sz w:val="15"/>
                <w:szCs w:val="15"/>
                <w:color w:val="auto"/>
              </w:rPr>
            </w:pPr>
          </w:p>
        </w:tc>
      </w:tr>
      <w:tr>
        <w:trPr>
          <w:trHeight w:val="183"/>
        </w:trPr>
        <w:tc>
          <w:tcPr>
            <w:tcW w:w="824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9"/>
              </w:rPr>
              <w:t>Six Months Ended March 31, 1995 and 1996 (unaudited).................................</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F-32</w:t>
            </w:r>
          </w:p>
        </w:tc>
      </w:tr>
      <w:tr>
        <w:trPr>
          <w:trHeight w:val="183"/>
        </w:trPr>
        <w:tc>
          <w:tcPr>
            <w:tcW w:w="8240" w:type="dxa"/>
            <w:vAlign w:val="bottom"/>
          </w:tcPr>
          <w:p>
            <w:pPr>
              <w:ind w:left="180"/>
              <w:spacing w:after="0"/>
              <w:rPr>
                <w:sz w:val="20"/>
                <w:szCs w:val="20"/>
                <w:color w:val="auto"/>
              </w:rPr>
            </w:pPr>
            <w:r>
              <w:rPr>
                <w:rFonts w:ascii="Courier New" w:cs="Courier New" w:eastAsia="Courier New" w:hAnsi="Courier New"/>
                <w:sz w:val="16"/>
                <w:szCs w:val="16"/>
                <w:color w:val="auto"/>
              </w:rPr>
              <w:t>Notes to Financial Statements......................................................</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F-33</w:t>
            </w:r>
          </w:p>
        </w:tc>
      </w:tr>
      <w:tr>
        <w:trPr>
          <w:trHeight w:val="550"/>
        </w:trPr>
        <w:tc>
          <w:tcPr>
            <w:tcW w:w="8240" w:type="dxa"/>
            <w:vAlign w:val="bottom"/>
          </w:tcPr>
          <w:p>
            <w:pPr>
              <w:ind w:left="3620"/>
              <w:spacing w:after="0"/>
              <w:rPr>
                <w:sz w:val="20"/>
                <w:szCs w:val="20"/>
                <w:color w:val="auto"/>
              </w:rPr>
            </w:pPr>
            <w:r>
              <w:rPr>
                <w:rFonts w:ascii="Courier New" w:cs="Courier New" w:eastAsia="Courier New" w:hAnsi="Courier New"/>
                <w:sz w:val="16"/>
                <w:szCs w:val="16"/>
                <w:color w:val="auto"/>
              </w:rPr>
              <w:t>F-1</w:t>
            </w:r>
          </w:p>
        </w:tc>
        <w:tc>
          <w:tcPr>
            <w:tcW w:w="540" w:type="dxa"/>
            <w:vAlign w:val="bottom"/>
          </w:tcPr>
          <w:p>
            <w:pPr>
              <w:spacing w:after="0"/>
              <w:rPr>
                <w:sz w:val="24"/>
                <w:szCs w:val="24"/>
                <w:color w:val="auto"/>
              </w:rPr>
            </w:pPr>
          </w:p>
        </w:tc>
      </w:tr>
    </w:tbl>
    <w:p>
      <w:pPr>
        <w:sectPr>
          <w:pgSz w:w="11900" w:h="16838" w:orient="portrait"/>
          <w:cols w:equalWidth="0" w:num="1">
            <w:col w:w="10219"/>
          </w:cols>
          <w:pgMar w:left="240" w:top="481" w:right="1440" w:bottom="1440" w:gutter="0" w:footer="0" w:header="0"/>
        </w:sectPr>
      </w:pPr>
    </w:p>
    <w:bookmarkStart w:id="51" w:name="page52"/>
    <w:bookmarkEnd w:id="51"/>
    <w:p>
      <w:pPr>
        <w:ind w:left="1900"/>
        <w:spacing w:after="0"/>
        <w:rPr>
          <w:sz w:val="20"/>
          <w:szCs w:val="20"/>
          <w:color w:val="auto"/>
        </w:rPr>
      </w:pPr>
      <w:r>
        <w:rPr>
          <w:rFonts w:ascii="Courier New" w:cs="Courier New" w:eastAsia="Courier New" w:hAnsi="Courier New"/>
          <w:sz w:val="16"/>
          <w:szCs w:val="16"/>
          <w:color w:val="auto"/>
        </w:rPr>
        <w:t>REPORT OF INDEPENDENT PUBLIC ACCOUNTANTS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Stockholders and Board of Directors</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of UNIVERSAL HEALTH SERVICES, INC.:</w:t>
      </w:r>
    </w:p>
    <w:p>
      <w:pPr>
        <w:spacing w:after="0" w:line="188"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We have audited the accompanying consolidated balance sheets of Universal Health Services, Inc. (Delaware corporation) and subsidiaries as of December 31, 1994 and 1995, and the related consolidated statements of income, common stockholders' equity and cash flows for each of the three years in the period ended December 31, 1995. These consolidated financial statements are the responsibility of the Company's management. Our responsibility is to express an opinion on these consolidated financial statements based on our audits.</w:t>
      </w:r>
    </w:p>
    <w:p>
      <w:pPr>
        <w:spacing w:after="0" w:line="188" w:lineRule="exact"/>
        <w:rPr>
          <w:sz w:val="20"/>
          <w:szCs w:val="20"/>
          <w:color w:val="auto"/>
        </w:rPr>
      </w:pPr>
    </w:p>
    <w:p>
      <w:pPr>
        <w:ind w:right="2599" w:firstLine="382"/>
        <w:spacing w:after="0" w:line="260"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8"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In our opinion, the financial statements referred to above present fairly, in all material respects, the consolidated financial position of Universal Health Services, Inc. and subsidiaries as of December 31, 1994 and 1995, and the consolidated results of their operations and their cash flows for each of the three years in the period ended December 31, 1995 in conformity with generally accepted accounting principles.</w:t>
      </w:r>
    </w:p>
    <w:p>
      <w:pPr>
        <w:spacing w:after="0" w:line="368"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6"/>
          <w:szCs w:val="16"/>
          <w:color w:val="auto"/>
        </w:rPr>
        <w:t>ARTHUR ANDERSEN LLP</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Philadelphia, PA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10, 1996</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(except with respect to the matter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discussed in Note 12, as to which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is April 26, 1996)</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F-2</w:t>
      </w:r>
    </w:p>
    <w:p>
      <w:pPr>
        <w:sectPr>
          <w:pgSz w:w="11900" w:h="16838" w:orient="portrait"/>
          <w:cols w:equalWidth="0" w:num="1">
            <w:col w:w="10219"/>
          </w:cols>
          <w:pgMar w:left="240" w:top="481" w:right="1440"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81"/>
        </w:trPr>
        <w:tc>
          <w:tcPr>
            <w:tcW w:w="64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UNIVERSAL HEALTH SERVICES, INC. AND SUBSIDIARIES</w:t>
            </w: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3"/>
        </w:trPr>
        <w:tc>
          <w:tcPr>
            <w:tcW w:w="6200" w:type="dxa"/>
            <w:vAlign w:val="bottom"/>
            <w:gridSpan w:val="3"/>
          </w:tcPr>
          <w:p>
            <w:pPr>
              <w:jc w:val="right"/>
              <w:ind w:right="401"/>
              <w:spacing w:after="0"/>
              <w:rPr>
                <w:sz w:val="20"/>
                <w:szCs w:val="20"/>
                <w:color w:val="auto"/>
              </w:rPr>
            </w:pPr>
            <w:r>
              <w:rPr>
                <w:rFonts w:ascii="Courier New" w:cs="Courier New" w:eastAsia="Courier New" w:hAnsi="Courier New"/>
                <w:sz w:val="16"/>
                <w:szCs w:val="16"/>
                <w:color w:val="auto"/>
              </w:rPr>
              <w:t>CONSOLIDATED STATEMENTS OF INCOME</w:t>
            </w: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3"/>
        </w:trPr>
        <w:tc>
          <w:tcPr>
            <w:tcW w:w="49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YEAR ENDED DECEMBER</w:t>
            </w:r>
          </w:p>
        </w:tc>
        <w:tc>
          <w:tcPr>
            <w:tcW w:w="1240" w:type="dxa"/>
            <w:vAlign w:val="bottom"/>
          </w:tcPr>
          <w:p>
            <w:pPr>
              <w:jc w:val="right"/>
              <w:ind w:right="881"/>
              <w:spacing w:after="0"/>
              <w:rPr>
                <w:sz w:val="20"/>
                <w:szCs w:val="20"/>
                <w:color w:val="auto"/>
              </w:rPr>
            </w:pPr>
            <w:r>
              <w:rPr>
                <w:rFonts w:ascii="Courier New" w:cs="Courier New" w:eastAsia="Courier New" w:hAnsi="Courier New"/>
                <w:sz w:val="16"/>
                <w:szCs w:val="16"/>
                <w:color w:val="auto"/>
              </w:rPr>
              <w:t>31</w:t>
            </w: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734"/>
        </w:trPr>
        <w:tc>
          <w:tcPr>
            <w:tcW w:w="4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1993</w:t>
            </w:r>
          </w:p>
        </w:tc>
        <w:tc>
          <w:tcPr>
            <w:tcW w:w="280" w:type="dxa"/>
            <w:vAlign w:val="bottom"/>
          </w:tcPr>
          <w:p>
            <w:pPr>
              <w:spacing w:after="0"/>
              <w:rPr>
                <w:sz w:val="24"/>
                <w:szCs w:val="24"/>
                <w:color w:val="auto"/>
              </w:rPr>
            </w:pPr>
          </w:p>
        </w:tc>
        <w:tc>
          <w:tcPr>
            <w:tcW w:w="12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1994</w:t>
            </w:r>
          </w:p>
        </w:tc>
        <w:tc>
          <w:tcPr>
            <w:tcW w:w="280" w:type="dxa"/>
            <w:vAlign w:val="bottom"/>
          </w:tcPr>
          <w:p>
            <w:pPr>
              <w:spacing w:after="0"/>
              <w:rPr>
                <w:sz w:val="24"/>
                <w:szCs w:val="24"/>
                <w:color w:val="auto"/>
              </w:rPr>
            </w:pPr>
          </w:p>
        </w:tc>
        <w:tc>
          <w:tcPr>
            <w:tcW w:w="10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1995</w:t>
            </w:r>
          </w:p>
        </w:tc>
      </w:tr>
      <w:tr>
        <w:trPr>
          <w:trHeight w:val="183"/>
        </w:trPr>
        <w:tc>
          <w:tcPr>
            <w:tcW w:w="4720" w:type="dxa"/>
            <w:vAlign w:val="bottom"/>
          </w:tcPr>
          <w:p>
            <w:pPr>
              <w:spacing w:after="0"/>
              <w:rPr>
                <w:sz w:val="15"/>
                <w:szCs w:val="15"/>
                <w:color w:val="auto"/>
              </w:rPr>
            </w:pPr>
          </w:p>
        </w:tc>
        <w:tc>
          <w:tcPr>
            <w:tcW w:w="148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47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Net revenues....................................</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6"/>
              </w:rPr>
              <w:t>761,544,000</w:t>
            </w:r>
          </w:p>
        </w:tc>
        <w:tc>
          <w:tcPr>
            <w:tcW w:w="15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$782,199,000</w:t>
            </w: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$931,126,000</w:t>
            </w:r>
          </w:p>
        </w:tc>
      </w:tr>
      <w:tr>
        <w:trPr>
          <w:trHeight w:val="183"/>
        </w:trPr>
        <w:tc>
          <w:tcPr>
            <w:tcW w:w="4720" w:type="dxa"/>
            <w:vAlign w:val="bottom"/>
          </w:tcPr>
          <w:p>
            <w:pPr>
              <w:spacing w:after="0"/>
              <w:rPr>
                <w:sz w:val="20"/>
                <w:szCs w:val="20"/>
                <w:color w:val="auto"/>
              </w:rPr>
            </w:pPr>
            <w:r>
              <w:rPr>
                <w:rFonts w:ascii="Courier New" w:cs="Courier New" w:eastAsia="Courier New" w:hAnsi="Courier New"/>
                <w:sz w:val="16"/>
                <w:szCs w:val="16"/>
                <w:color w:val="auto"/>
              </w:rPr>
              <w:t>Operating charges</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3"/>
        </w:trPr>
        <w:tc>
          <w:tcPr>
            <w:tcW w:w="4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Operating expenses............................</w:t>
            </w:r>
          </w:p>
        </w:tc>
        <w:tc>
          <w:tcPr>
            <w:tcW w:w="24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6"/>
              </w:rPr>
              <w:t>299,645,000</w:t>
            </w:r>
          </w:p>
        </w:tc>
        <w:tc>
          <w:tcPr>
            <w:tcW w:w="280" w:type="dxa"/>
            <w:vAlign w:val="bottom"/>
          </w:tcPr>
          <w:p>
            <w:pPr>
              <w:spacing w:after="0"/>
              <w:rPr>
                <w:sz w:val="15"/>
                <w:szCs w:val="15"/>
                <w:color w:val="auto"/>
              </w:rPr>
            </w:pPr>
          </w:p>
        </w:tc>
        <w:tc>
          <w:tcPr>
            <w:tcW w:w="12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8"/>
              </w:rPr>
              <w:t>298,108,000</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w w:val="98"/>
              </w:rPr>
              <w:t>361,049,000</w:t>
            </w:r>
          </w:p>
        </w:tc>
      </w:tr>
      <w:tr>
        <w:trPr>
          <w:trHeight w:val="183"/>
        </w:trPr>
        <w:tc>
          <w:tcPr>
            <w:tcW w:w="4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Salaries and wages............................</w:t>
            </w:r>
          </w:p>
        </w:tc>
        <w:tc>
          <w:tcPr>
            <w:tcW w:w="24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6"/>
              </w:rPr>
              <w:t>280,041,000</w:t>
            </w:r>
          </w:p>
        </w:tc>
        <w:tc>
          <w:tcPr>
            <w:tcW w:w="280" w:type="dxa"/>
            <w:vAlign w:val="bottom"/>
          </w:tcPr>
          <w:p>
            <w:pPr>
              <w:spacing w:after="0"/>
              <w:rPr>
                <w:sz w:val="15"/>
                <w:szCs w:val="15"/>
                <w:color w:val="auto"/>
              </w:rPr>
            </w:pPr>
          </w:p>
        </w:tc>
        <w:tc>
          <w:tcPr>
            <w:tcW w:w="12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8"/>
              </w:rPr>
              <w:t>286,297,000</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w w:val="98"/>
              </w:rPr>
              <w:t>329,939,000</w:t>
            </w:r>
          </w:p>
        </w:tc>
      </w:tr>
      <w:tr>
        <w:trPr>
          <w:trHeight w:val="183"/>
        </w:trPr>
        <w:tc>
          <w:tcPr>
            <w:tcW w:w="4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Provision for doubtful accounts...............</w:t>
            </w:r>
          </w:p>
        </w:tc>
        <w:tc>
          <w:tcPr>
            <w:tcW w:w="24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55,409,000</w:t>
            </w:r>
          </w:p>
        </w:tc>
        <w:tc>
          <w:tcPr>
            <w:tcW w:w="280" w:type="dxa"/>
            <w:vAlign w:val="bottom"/>
          </w:tcPr>
          <w:p>
            <w:pPr>
              <w:spacing w:after="0"/>
              <w:rPr>
                <w:sz w:val="15"/>
                <w:szCs w:val="15"/>
                <w:color w:val="auto"/>
              </w:rPr>
            </w:pPr>
          </w:p>
        </w:tc>
        <w:tc>
          <w:tcPr>
            <w:tcW w:w="12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58,347,000</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76,905,000</w:t>
            </w:r>
          </w:p>
        </w:tc>
      </w:tr>
      <w:tr>
        <w:trPr>
          <w:trHeight w:val="183"/>
        </w:trPr>
        <w:tc>
          <w:tcPr>
            <w:tcW w:w="4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Depreciation &amp; amortization...................</w:t>
            </w:r>
          </w:p>
        </w:tc>
        <w:tc>
          <w:tcPr>
            <w:tcW w:w="24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39,599,000</w:t>
            </w:r>
          </w:p>
        </w:tc>
        <w:tc>
          <w:tcPr>
            <w:tcW w:w="280" w:type="dxa"/>
            <w:vAlign w:val="bottom"/>
          </w:tcPr>
          <w:p>
            <w:pPr>
              <w:spacing w:after="0"/>
              <w:rPr>
                <w:sz w:val="15"/>
                <w:szCs w:val="15"/>
                <w:color w:val="auto"/>
              </w:rPr>
            </w:pPr>
          </w:p>
        </w:tc>
        <w:tc>
          <w:tcPr>
            <w:tcW w:w="12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42,383,000</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51,371,000</w:t>
            </w:r>
          </w:p>
        </w:tc>
      </w:tr>
      <w:tr>
        <w:trPr>
          <w:trHeight w:val="183"/>
        </w:trPr>
        <w:tc>
          <w:tcPr>
            <w:tcW w:w="4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Lease and rental expense......................</w:t>
            </w:r>
          </w:p>
        </w:tc>
        <w:tc>
          <w:tcPr>
            <w:tcW w:w="24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34,281,000</w:t>
            </w:r>
          </w:p>
        </w:tc>
        <w:tc>
          <w:tcPr>
            <w:tcW w:w="280" w:type="dxa"/>
            <w:vAlign w:val="bottom"/>
          </w:tcPr>
          <w:p>
            <w:pPr>
              <w:spacing w:after="0"/>
              <w:rPr>
                <w:sz w:val="15"/>
                <w:szCs w:val="15"/>
                <w:color w:val="auto"/>
              </w:rPr>
            </w:pPr>
          </w:p>
        </w:tc>
        <w:tc>
          <w:tcPr>
            <w:tcW w:w="12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34,097,000</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36,068,000</w:t>
            </w:r>
          </w:p>
        </w:tc>
      </w:tr>
      <w:tr>
        <w:trPr>
          <w:trHeight w:val="183"/>
        </w:trPr>
        <w:tc>
          <w:tcPr>
            <w:tcW w:w="4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Interest expense, net.........................</w:t>
            </w:r>
          </w:p>
        </w:tc>
        <w:tc>
          <w:tcPr>
            <w:tcW w:w="24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8,645,000</w:t>
            </w:r>
          </w:p>
        </w:tc>
        <w:tc>
          <w:tcPr>
            <w:tcW w:w="280" w:type="dxa"/>
            <w:vAlign w:val="bottom"/>
          </w:tcPr>
          <w:p>
            <w:pPr>
              <w:spacing w:after="0"/>
              <w:rPr>
                <w:sz w:val="15"/>
                <w:szCs w:val="15"/>
                <w:color w:val="auto"/>
              </w:rPr>
            </w:pPr>
          </w:p>
        </w:tc>
        <w:tc>
          <w:tcPr>
            <w:tcW w:w="12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6,275,000</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11,195,000</w:t>
            </w:r>
          </w:p>
        </w:tc>
      </w:tr>
      <w:tr>
        <w:trPr>
          <w:trHeight w:val="183"/>
        </w:trPr>
        <w:tc>
          <w:tcPr>
            <w:tcW w:w="4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Nonrecurring charges..........................</w:t>
            </w:r>
          </w:p>
        </w:tc>
        <w:tc>
          <w:tcPr>
            <w:tcW w:w="24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8,828,000</w:t>
            </w:r>
          </w:p>
        </w:tc>
        <w:tc>
          <w:tcPr>
            <w:tcW w:w="280" w:type="dxa"/>
            <w:vAlign w:val="bottom"/>
          </w:tcPr>
          <w:p>
            <w:pPr>
              <w:spacing w:after="0"/>
              <w:rPr>
                <w:sz w:val="15"/>
                <w:szCs w:val="15"/>
                <w:color w:val="auto"/>
              </w:rPr>
            </w:pPr>
          </w:p>
        </w:tc>
        <w:tc>
          <w:tcPr>
            <w:tcW w:w="12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9,763,000</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11,610,000</w:t>
            </w:r>
          </w:p>
        </w:tc>
      </w:tr>
      <w:tr>
        <w:trPr>
          <w:trHeight w:val="183"/>
        </w:trPr>
        <w:tc>
          <w:tcPr>
            <w:tcW w:w="4720" w:type="dxa"/>
            <w:vAlign w:val="bottom"/>
          </w:tcPr>
          <w:p>
            <w:pPr>
              <w:spacing w:after="0"/>
              <w:rPr>
                <w:sz w:val="15"/>
                <w:szCs w:val="15"/>
                <w:color w:val="auto"/>
              </w:rPr>
            </w:pPr>
          </w:p>
        </w:tc>
        <w:tc>
          <w:tcPr>
            <w:tcW w:w="148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Total operating charges.......................</w:t>
            </w:r>
          </w:p>
        </w:tc>
        <w:tc>
          <w:tcPr>
            <w:tcW w:w="24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6"/>
              </w:rPr>
              <w:t>726,448,000</w:t>
            </w:r>
          </w:p>
        </w:tc>
        <w:tc>
          <w:tcPr>
            <w:tcW w:w="280" w:type="dxa"/>
            <w:vAlign w:val="bottom"/>
          </w:tcPr>
          <w:p>
            <w:pPr>
              <w:spacing w:after="0"/>
              <w:rPr>
                <w:sz w:val="15"/>
                <w:szCs w:val="15"/>
                <w:color w:val="auto"/>
              </w:rPr>
            </w:pPr>
          </w:p>
        </w:tc>
        <w:tc>
          <w:tcPr>
            <w:tcW w:w="12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8"/>
              </w:rPr>
              <w:t>735,270,000</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w w:val="98"/>
              </w:rPr>
              <w:t>878,137,000</w:t>
            </w:r>
          </w:p>
        </w:tc>
      </w:tr>
      <w:tr>
        <w:trPr>
          <w:trHeight w:val="183"/>
        </w:trPr>
        <w:tc>
          <w:tcPr>
            <w:tcW w:w="4720" w:type="dxa"/>
            <w:vAlign w:val="bottom"/>
          </w:tcPr>
          <w:p>
            <w:pPr>
              <w:spacing w:after="0"/>
              <w:rPr>
                <w:sz w:val="15"/>
                <w:szCs w:val="15"/>
                <w:color w:val="auto"/>
              </w:rPr>
            </w:pPr>
          </w:p>
        </w:tc>
        <w:tc>
          <w:tcPr>
            <w:tcW w:w="148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Income before income taxes....................</w:t>
            </w:r>
          </w:p>
        </w:tc>
        <w:tc>
          <w:tcPr>
            <w:tcW w:w="24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35,096,000</w:t>
            </w:r>
          </w:p>
        </w:tc>
        <w:tc>
          <w:tcPr>
            <w:tcW w:w="280" w:type="dxa"/>
            <w:vAlign w:val="bottom"/>
          </w:tcPr>
          <w:p>
            <w:pPr>
              <w:spacing w:after="0"/>
              <w:rPr>
                <w:sz w:val="15"/>
                <w:szCs w:val="15"/>
                <w:color w:val="auto"/>
              </w:rPr>
            </w:pPr>
          </w:p>
        </w:tc>
        <w:tc>
          <w:tcPr>
            <w:tcW w:w="12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46,929,000</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52,989,000</w:t>
            </w:r>
          </w:p>
        </w:tc>
      </w:tr>
      <w:tr>
        <w:trPr>
          <w:trHeight w:val="183"/>
        </w:trPr>
        <w:tc>
          <w:tcPr>
            <w:tcW w:w="4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Provision for income taxes....................</w:t>
            </w:r>
          </w:p>
        </w:tc>
        <w:tc>
          <w:tcPr>
            <w:tcW w:w="24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11,085,000</w:t>
            </w:r>
          </w:p>
        </w:tc>
        <w:tc>
          <w:tcPr>
            <w:tcW w:w="280" w:type="dxa"/>
            <w:vAlign w:val="bottom"/>
          </w:tcPr>
          <w:p>
            <w:pPr>
              <w:spacing w:after="0"/>
              <w:rPr>
                <w:sz w:val="15"/>
                <w:szCs w:val="15"/>
                <w:color w:val="auto"/>
              </w:rPr>
            </w:pPr>
          </w:p>
        </w:tc>
        <w:tc>
          <w:tcPr>
            <w:tcW w:w="12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18,209,000</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17,505,000</w:t>
            </w:r>
          </w:p>
        </w:tc>
      </w:tr>
      <w:tr>
        <w:trPr>
          <w:trHeight w:val="183"/>
        </w:trPr>
        <w:tc>
          <w:tcPr>
            <w:tcW w:w="4720" w:type="dxa"/>
            <w:vAlign w:val="bottom"/>
          </w:tcPr>
          <w:p>
            <w:pPr>
              <w:spacing w:after="0"/>
              <w:rPr>
                <w:sz w:val="15"/>
                <w:szCs w:val="15"/>
                <w:color w:val="auto"/>
              </w:rPr>
            </w:pPr>
          </w:p>
        </w:tc>
        <w:tc>
          <w:tcPr>
            <w:tcW w:w="148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Net income....................................</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24,011,000</w:t>
            </w:r>
          </w:p>
        </w:tc>
        <w:tc>
          <w:tcPr>
            <w:tcW w:w="15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$ 28,720,000</w:t>
            </w: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$ 35,484,000</w:t>
            </w:r>
          </w:p>
        </w:tc>
      </w:tr>
      <w:tr>
        <w:trPr>
          <w:trHeight w:val="183"/>
        </w:trPr>
        <w:tc>
          <w:tcPr>
            <w:tcW w:w="4720" w:type="dxa"/>
            <w:vAlign w:val="bottom"/>
          </w:tcPr>
          <w:p>
            <w:pPr>
              <w:spacing w:after="0"/>
              <w:rPr>
                <w:sz w:val="15"/>
                <w:szCs w:val="15"/>
                <w:color w:val="auto"/>
              </w:rPr>
            </w:pPr>
          </w:p>
        </w:tc>
        <w:tc>
          <w:tcPr>
            <w:tcW w:w="148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720" w:type="dxa"/>
            <w:vAlign w:val="bottom"/>
          </w:tcPr>
          <w:p>
            <w:pPr>
              <w:spacing w:after="0"/>
              <w:rPr>
                <w:sz w:val="15"/>
                <w:szCs w:val="15"/>
                <w:color w:val="auto"/>
              </w:rPr>
            </w:pPr>
          </w:p>
        </w:tc>
        <w:tc>
          <w:tcPr>
            <w:tcW w:w="148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7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Earnings per common &amp; common share equivalent</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3"/>
        </w:trPr>
        <w:tc>
          <w:tcPr>
            <w:tcW w:w="4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(fully diluted).............................</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.86</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1.01</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1.26</w:t>
            </w:r>
          </w:p>
        </w:tc>
      </w:tr>
      <w:tr>
        <w:trPr>
          <w:trHeight w:val="183"/>
        </w:trPr>
        <w:tc>
          <w:tcPr>
            <w:tcW w:w="4720" w:type="dxa"/>
            <w:vAlign w:val="bottom"/>
          </w:tcPr>
          <w:p>
            <w:pPr>
              <w:spacing w:after="0"/>
              <w:rPr>
                <w:sz w:val="15"/>
                <w:szCs w:val="15"/>
                <w:color w:val="auto"/>
              </w:rPr>
            </w:pPr>
          </w:p>
        </w:tc>
        <w:tc>
          <w:tcPr>
            <w:tcW w:w="148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720" w:type="dxa"/>
            <w:vAlign w:val="bottom"/>
          </w:tcPr>
          <w:p>
            <w:pPr>
              <w:spacing w:after="0"/>
              <w:rPr>
                <w:sz w:val="15"/>
                <w:szCs w:val="15"/>
                <w:color w:val="auto"/>
              </w:rPr>
            </w:pPr>
          </w:p>
        </w:tc>
        <w:tc>
          <w:tcPr>
            <w:tcW w:w="148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720" w:type="dxa"/>
            <w:vAlign w:val="bottom"/>
          </w:tcPr>
          <w:p>
            <w:pPr>
              <w:spacing w:after="0"/>
              <w:rPr>
                <w:sz w:val="20"/>
                <w:szCs w:val="20"/>
                <w:color w:val="auto"/>
              </w:rPr>
            </w:pPr>
            <w:r>
              <w:rPr>
                <w:rFonts w:ascii="Courier New" w:cs="Courier New" w:eastAsia="Courier New" w:hAnsi="Courier New"/>
                <w:sz w:val="16"/>
                <w:szCs w:val="16"/>
                <w:color w:val="auto"/>
              </w:rPr>
              <w:t>Weighted average number of common shares and</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3"/>
        </w:trPr>
        <w:tc>
          <w:tcPr>
            <w:tcW w:w="4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equivalents...................................</w:t>
            </w:r>
          </w:p>
        </w:tc>
        <w:tc>
          <w:tcPr>
            <w:tcW w:w="24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29,638,000</w:t>
            </w:r>
          </w:p>
        </w:tc>
        <w:tc>
          <w:tcPr>
            <w:tcW w:w="280" w:type="dxa"/>
            <w:vAlign w:val="bottom"/>
          </w:tcPr>
          <w:p>
            <w:pPr>
              <w:spacing w:after="0"/>
              <w:rPr>
                <w:sz w:val="15"/>
                <w:szCs w:val="15"/>
                <w:color w:val="auto"/>
              </w:rPr>
            </w:pPr>
          </w:p>
        </w:tc>
        <w:tc>
          <w:tcPr>
            <w:tcW w:w="12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28,778,000</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28,158,000</w:t>
            </w:r>
          </w:p>
        </w:tc>
      </w:tr>
      <w:tr>
        <w:trPr>
          <w:trHeight w:val="183"/>
        </w:trPr>
        <w:tc>
          <w:tcPr>
            <w:tcW w:w="4720" w:type="dxa"/>
            <w:vAlign w:val="bottom"/>
          </w:tcPr>
          <w:p>
            <w:pPr>
              <w:spacing w:after="0"/>
              <w:rPr>
                <w:sz w:val="15"/>
                <w:szCs w:val="15"/>
                <w:color w:val="auto"/>
              </w:rPr>
            </w:pPr>
          </w:p>
        </w:tc>
        <w:tc>
          <w:tcPr>
            <w:tcW w:w="148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720" w:type="dxa"/>
            <w:vAlign w:val="bottom"/>
          </w:tcPr>
          <w:p>
            <w:pPr>
              <w:spacing w:after="0"/>
              <w:rPr>
                <w:sz w:val="15"/>
                <w:szCs w:val="15"/>
                <w:color w:val="auto"/>
              </w:rPr>
            </w:pPr>
          </w:p>
        </w:tc>
        <w:tc>
          <w:tcPr>
            <w:tcW w:w="148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69"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The accompanying notes are an integral part of these consolidated financial</w:t>
      </w:r>
    </w:p>
    <w:p>
      <w:pPr>
        <w:spacing w:after="0" w:line="2"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statements.</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F-3</w:t>
      </w:r>
    </w:p>
    <w:p>
      <w:pPr>
        <w:sectPr>
          <w:pgSz w:w="11900" w:h="16838" w:orient="portrait"/>
          <w:cols w:equalWidth="0" w:num="1">
            <w:col w:w="10219"/>
          </w:cols>
          <w:pgMar w:left="240" w:top="481" w:right="1440" w:bottom="1440" w:gutter="0" w:footer="0" w:header="0"/>
        </w:sectPr>
      </w:pPr>
    </w:p>
    <w:bookmarkStart w:id="53" w:name="page54"/>
    <w:bookmarkEnd w:id="53"/>
    <w:p>
      <w:pPr>
        <w:ind w:left="2100"/>
        <w:spacing w:after="0"/>
        <w:rPr>
          <w:sz w:val="20"/>
          <w:szCs w:val="20"/>
          <w:color w:val="auto"/>
        </w:rPr>
      </w:pPr>
      <w:r>
        <w:rPr>
          <w:rFonts w:ascii="Courier New" w:cs="Courier New" w:eastAsia="Courier New" w:hAnsi="Courier New"/>
          <w:sz w:val="16"/>
          <w:szCs w:val="16"/>
          <w:color w:val="auto"/>
        </w:rPr>
        <w:t>UNIVERSAL HEALTH SERVICES, INC. AND SUBSIDIARIES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34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CONSOLIDATED BALANCE SHEETS</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734"/>
        </w:trPr>
        <w:tc>
          <w:tcPr>
            <w:tcW w:w="6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80" w:type="dxa"/>
            <w:vAlign w:val="bottom"/>
            <w:gridSpan w:val="3"/>
          </w:tcPr>
          <w:p>
            <w:pPr>
              <w:jc w:val="right"/>
              <w:ind w:right="781"/>
              <w:spacing w:after="0"/>
              <w:rPr>
                <w:sz w:val="20"/>
                <w:szCs w:val="20"/>
                <w:color w:val="auto"/>
              </w:rPr>
            </w:pPr>
            <w:r>
              <w:rPr>
                <w:rFonts w:ascii="Courier New" w:cs="Courier New" w:eastAsia="Courier New" w:hAnsi="Courier New"/>
                <w:sz w:val="16"/>
                <w:szCs w:val="16"/>
                <w:color w:val="auto"/>
              </w:rPr>
              <w:t>DECEMBER 31</w:t>
            </w:r>
          </w:p>
        </w:tc>
      </w:tr>
      <w:tr>
        <w:trPr>
          <w:trHeight w:val="183"/>
        </w:trPr>
        <w:tc>
          <w:tcPr>
            <w:tcW w:w="6340" w:type="dxa"/>
            <w:vAlign w:val="bottom"/>
          </w:tcPr>
          <w:p>
            <w:pPr>
              <w:spacing w:after="0"/>
              <w:rPr>
                <w:sz w:val="15"/>
                <w:szCs w:val="15"/>
                <w:color w:val="auto"/>
              </w:rPr>
            </w:pPr>
          </w:p>
        </w:tc>
        <w:tc>
          <w:tcPr>
            <w:tcW w:w="282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1994</w:t>
            </w:r>
          </w:p>
        </w:tc>
        <w:tc>
          <w:tcPr>
            <w:tcW w:w="280" w:type="dxa"/>
            <w:vAlign w:val="bottom"/>
          </w:tcPr>
          <w:p>
            <w:pPr>
              <w:spacing w:after="0"/>
              <w:rPr>
                <w:sz w:val="15"/>
                <w:szCs w:val="15"/>
                <w:color w:val="auto"/>
              </w:rPr>
            </w:pPr>
          </w:p>
        </w:tc>
        <w:tc>
          <w:tcPr>
            <w:tcW w:w="10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1995</w:t>
            </w:r>
          </w:p>
        </w:tc>
      </w:tr>
      <w:tr>
        <w:trPr>
          <w:trHeight w:val="183"/>
        </w:trPr>
        <w:tc>
          <w:tcPr>
            <w:tcW w:w="6340" w:type="dxa"/>
            <w:vAlign w:val="bottom"/>
          </w:tcPr>
          <w:p>
            <w:pPr>
              <w:spacing w:after="0"/>
              <w:rPr>
                <w:sz w:val="15"/>
                <w:szCs w:val="15"/>
                <w:color w:val="auto"/>
              </w:rPr>
            </w:pPr>
          </w:p>
        </w:tc>
        <w:tc>
          <w:tcPr>
            <w:tcW w:w="148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6340" w:type="dxa"/>
            <w:vAlign w:val="bottom"/>
          </w:tcPr>
          <w:p>
            <w:pPr>
              <w:ind w:left="280"/>
              <w:spacing w:after="0"/>
              <w:rPr>
                <w:sz w:val="20"/>
                <w:szCs w:val="20"/>
                <w:color w:val="auto"/>
              </w:rPr>
            </w:pPr>
            <w:r>
              <w:rPr>
                <w:rFonts w:ascii="Courier New" w:cs="Courier New" w:eastAsia="Courier New" w:hAnsi="Courier New"/>
                <w:sz w:val="16"/>
                <w:szCs w:val="16"/>
                <w:color w:val="auto"/>
              </w:rPr>
              <w:t>ASSETS</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3"/>
        </w:trPr>
        <w:tc>
          <w:tcPr>
            <w:tcW w:w="634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3"/>
        </w:trPr>
        <w:tc>
          <w:tcPr>
            <w:tcW w:w="6340" w:type="dxa"/>
            <w:vAlign w:val="bottom"/>
          </w:tcPr>
          <w:p>
            <w:pPr>
              <w:ind w:left="100"/>
              <w:spacing w:after="0"/>
              <w:rPr>
                <w:sz w:val="20"/>
                <w:szCs w:val="20"/>
                <w:color w:val="auto"/>
              </w:rPr>
            </w:pPr>
            <w:r>
              <w:rPr>
                <w:rFonts w:ascii="Courier New" w:cs="Courier New" w:eastAsia="Courier New" w:hAnsi="Courier New"/>
                <w:sz w:val="16"/>
                <w:szCs w:val="16"/>
                <w:color w:val="auto"/>
              </w:rPr>
              <w:t>Cash and cash equivalents.......................................</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780,000</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34,000</w:t>
            </w:r>
          </w:p>
        </w:tc>
      </w:tr>
      <w:tr>
        <w:trPr>
          <w:trHeight w:val="183"/>
        </w:trPr>
        <w:tc>
          <w:tcPr>
            <w:tcW w:w="6340" w:type="dxa"/>
            <w:vAlign w:val="bottom"/>
          </w:tcPr>
          <w:p>
            <w:pPr>
              <w:ind w:left="100"/>
              <w:spacing w:after="0"/>
              <w:rPr>
                <w:sz w:val="20"/>
                <w:szCs w:val="20"/>
                <w:color w:val="auto"/>
              </w:rPr>
            </w:pPr>
            <w:r>
              <w:rPr>
                <w:rFonts w:ascii="Courier New" w:cs="Courier New" w:eastAsia="Courier New" w:hAnsi="Courier New"/>
                <w:sz w:val="16"/>
                <w:szCs w:val="16"/>
                <w:color w:val="auto"/>
              </w:rPr>
              <w:t>Accounts receivable, net of allowance of $34,957,000 in 1994 and</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3"/>
        </w:trPr>
        <w:tc>
          <w:tcPr>
            <w:tcW w:w="63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$49,016,000 in 1995 for doubtful accounts......................</w:t>
            </w:r>
          </w:p>
        </w:tc>
        <w:tc>
          <w:tcPr>
            <w:tcW w:w="24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84,818,000</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w w:val="98"/>
              </w:rPr>
              <w:t>114,163,000</w:t>
            </w:r>
          </w:p>
        </w:tc>
      </w:tr>
      <w:tr>
        <w:trPr>
          <w:trHeight w:val="183"/>
        </w:trPr>
        <w:tc>
          <w:tcPr>
            <w:tcW w:w="63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Supplies........................................................</w:t>
            </w:r>
          </w:p>
        </w:tc>
        <w:tc>
          <w:tcPr>
            <w:tcW w:w="24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15,723,000</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18,207,000</w:t>
            </w:r>
          </w:p>
        </w:tc>
      </w:tr>
      <w:tr>
        <w:trPr>
          <w:trHeight w:val="183"/>
        </w:trPr>
        <w:tc>
          <w:tcPr>
            <w:tcW w:w="63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Deferred income taxes...........................................</w:t>
            </w:r>
          </w:p>
        </w:tc>
        <w:tc>
          <w:tcPr>
            <w:tcW w:w="24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12,942,000</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18,989,000</w:t>
            </w:r>
          </w:p>
        </w:tc>
      </w:tr>
      <w:tr>
        <w:trPr>
          <w:trHeight w:val="183"/>
        </w:trPr>
        <w:tc>
          <w:tcPr>
            <w:tcW w:w="63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Other current assets............................................</w:t>
            </w:r>
          </w:p>
        </w:tc>
        <w:tc>
          <w:tcPr>
            <w:tcW w:w="24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4,126,000</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5,529,000</w:t>
            </w:r>
          </w:p>
        </w:tc>
      </w:tr>
      <w:tr>
        <w:trPr>
          <w:trHeight w:val="183"/>
        </w:trPr>
        <w:tc>
          <w:tcPr>
            <w:tcW w:w="6340" w:type="dxa"/>
            <w:vAlign w:val="bottom"/>
          </w:tcPr>
          <w:p>
            <w:pPr>
              <w:spacing w:after="0"/>
              <w:rPr>
                <w:sz w:val="15"/>
                <w:szCs w:val="15"/>
                <w:color w:val="auto"/>
              </w:rPr>
            </w:pPr>
          </w:p>
        </w:tc>
        <w:tc>
          <w:tcPr>
            <w:tcW w:w="148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3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Total current assets............................................</w:t>
            </w:r>
          </w:p>
        </w:tc>
        <w:tc>
          <w:tcPr>
            <w:tcW w:w="24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6"/>
              </w:rPr>
              <w:t>118,389,000</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w w:val="98"/>
              </w:rPr>
              <w:t>156,922,000</w:t>
            </w:r>
          </w:p>
        </w:tc>
      </w:tr>
      <w:tr>
        <w:trPr>
          <w:trHeight w:val="183"/>
        </w:trPr>
        <w:tc>
          <w:tcPr>
            <w:tcW w:w="6340" w:type="dxa"/>
            <w:vAlign w:val="bottom"/>
          </w:tcPr>
          <w:p>
            <w:pPr>
              <w:ind w:left="100"/>
              <w:spacing w:after="0"/>
              <w:rPr>
                <w:sz w:val="20"/>
                <w:szCs w:val="20"/>
                <w:color w:val="auto"/>
              </w:rPr>
            </w:pPr>
            <w:r>
              <w:rPr>
                <w:rFonts w:ascii="Courier New" w:cs="Courier New" w:eastAsia="Courier New" w:hAnsi="Courier New"/>
                <w:sz w:val="16"/>
                <w:szCs w:val="16"/>
                <w:color w:val="auto"/>
              </w:rPr>
              <w:t>Property and Equipment</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3"/>
        </w:trPr>
        <w:tc>
          <w:tcPr>
            <w:tcW w:w="63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Land..........................................................</w:t>
            </w:r>
          </w:p>
        </w:tc>
        <w:tc>
          <w:tcPr>
            <w:tcW w:w="24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34,159,000</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36,055,000</w:t>
            </w:r>
          </w:p>
        </w:tc>
      </w:tr>
      <w:tr>
        <w:trPr>
          <w:trHeight w:val="183"/>
        </w:trPr>
        <w:tc>
          <w:tcPr>
            <w:tcW w:w="63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Buildings and improvements....................................</w:t>
            </w:r>
          </w:p>
        </w:tc>
        <w:tc>
          <w:tcPr>
            <w:tcW w:w="24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6"/>
              </w:rPr>
              <w:t>314,545,000</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w w:val="98"/>
              </w:rPr>
              <w:t>348,182,000</w:t>
            </w:r>
          </w:p>
        </w:tc>
      </w:tr>
      <w:tr>
        <w:trPr>
          <w:trHeight w:val="183"/>
        </w:trPr>
        <w:tc>
          <w:tcPr>
            <w:tcW w:w="63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Equipment.....................................................</w:t>
            </w:r>
          </w:p>
        </w:tc>
        <w:tc>
          <w:tcPr>
            <w:tcW w:w="24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6"/>
              </w:rPr>
              <w:t>218,844,000</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w w:val="98"/>
              </w:rPr>
              <w:t>206,193,000</w:t>
            </w:r>
          </w:p>
        </w:tc>
      </w:tr>
      <w:tr>
        <w:trPr>
          <w:trHeight w:val="183"/>
        </w:trPr>
        <w:tc>
          <w:tcPr>
            <w:tcW w:w="63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Property under capital lease..................................</w:t>
            </w:r>
          </w:p>
        </w:tc>
        <w:tc>
          <w:tcPr>
            <w:tcW w:w="24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24,782,000</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27,415,000</w:t>
            </w:r>
          </w:p>
        </w:tc>
      </w:tr>
      <w:tr>
        <w:trPr>
          <w:trHeight w:val="183"/>
        </w:trPr>
        <w:tc>
          <w:tcPr>
            <w:tcW w:w="6340" w:type="dxa"/>
            <w:vAlign w:val="bottom"/>
          </w:tcPr>
          <w:p>
            <w:pPr>
              <w:spacing w:after="0"/>
              <w:rPr>
                <w:sz w:val="15"/>
                <w:szCs w:val="15"/>
                <w:color w:val="auto"/>
              </w:rPr>
            </w:pPr>
          </w:p>
        </w:tc>
        <w:tc>
          <w:tcPr>
            <w:tcW w:w="148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6"/>
              </w:rPr>
              <w:t>592,330,000</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w w:val="98"/>
              </w:rPr>
              <w:t>617,845,000</w:t>
            </w:r>
          </w:p>
        </w:tc>
      </w:tr>
      <w:tr>
        <w:trPr>
          <w:trHeight w:val="183"/>
        </w:trPr>
        <w:tc>
          <w:tcPr>
            <w:tcW w:w="63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Less accumulated depreciation...............................</w:t>
            </w:r>
          </w:p>
        </w:tc>
        <w:tc>
          <w:tcPr>
            <w:tcW w:w="24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6"/>
              </w:rPr>
              <w:t>265,059,000</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w w:val="98"/>
              </w:rPr>
              <w:t>248,540,000</w:t>
            </w:r>
          </w:p>
        </w:tc>
      </w:tr>
      <w:tr>
        <w:trPr>
          <w:trHeight w:val="183"/>
        </w:trPr>
        <w:tc>
          <w:tcPr>
            <w:tcW w:w="6340" w:type="dxa"/>
            <w:vAlign w:val="bottom"/>
          </w:tcPr>
          <w:p>
            <w:pPr>
              <w:spacing w:after="0"/>
              <w:rPr>
                <w:sz w:val="15"/>
                <w:szCs w:val="15"/>
                <w:color w:val="auto"/>
              </w:rPr>
            </w:pPr>
          </w:p>
        </w:tc>
        <w:tc>
          <w:tcPr>
            <w:tcW w:w="148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6"/>
              </w:rPr>
              <w:t>327,271,000</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w w:val="98"/>
              </w:rPr>
              <w:t>369,305,000</w:t>
            </w:r>
          </w:p>
        </w:tc>
      </w:tr>
      <w:tr>
        <w:trPr>
          <w:trHeight w:val="183"/>
        </w:trPr>
        <w:tc>
          <w:tcPr>
            <w:tcW w:w="63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Construction in progress........................................</w:t>
            </w:r>
          </w:p>
        </w:tc>
        <w:tc>
          <w:tcPr>
            <w:tcW w:w="24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4,372,000</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23,683,000</w:t>
            </w:r>
          </w:p>
        </w:tc>
      </w:tr>
      <w:tr>
        <w:trPr>
          <w:trHeight w:val="183"/>
        </w:trPr>
        <w:tc>
          <w:tcPr>
            <w:tcW w:w="6340" w:type="dxa"/>
            <w:vAlign w:val="bottom"/>
          </w:tcPr>
          <w:p>
            <w:pPr>
              <w:spacing w:after="0"/>
              <w:rPr>
                <w:sz w:val="15"/>
                <w:szCs w:val="15"/>
                <w:color w:val="auto"/>
              </w:rPr>
            </w:pPr>
          </w:p>
        </w:tc>
        <w:tc>
          <w:tcPr>
            <w:tcW w:w="148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6"/>
              </w:rPr>
              <w:t>331,643,000</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w w:val="98"/>
              </w:rPr>
              <w:t>392,988,000</w:t>
            </w:r>
          </w:p>
        </w:tc>
      </w:tr>
      <w:tr>
        <w:trPr>
          <w:trHeight w:val="183"/>
        </w:trPr>
        <w:tc>
          <w:tcPr>
            <w:tcW w:w="6340" w:type="dxa"/>
            <w:vAlign w:val="bottom"/>
          </w:tcPr>
          <w:p>
            <w:pPr>
              <w:ind w:left="100"/>
              <w:spacing w:after="0"/>
              <w:rPr>
                <w:sz w:val="20"/>
                <w:szCs w:val="20"/>
                <w:color w:val="auto"/>
              </w:rPr>
            </w:pPr>
            <w:r>
              <w:rPr>
                <w:rFonts w:ascii="Courier New" w:cs="Courier New" w:eastAsia="Courier New" w:hAnsi="Courier New"/>
                <w:sz w:val="16"/>
                <w:szCs w:val="16"/>
                <w:color w:val="auto"/>
              </w:rPr>
              <w:t>Other assets</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3"/>
        </w:trPr>
        <w:tc>
          <w:tcPr>
            <w:tcW w:w="63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Excess of cost over fair value of net assets acquired.........</w:t>
            </w:r>
          </w:p>
        </w:tc>
        <w:tc>
          <w:tcPr>
            <w:tcW w:w="24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38,762,000</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w w:val="98"/>
              </w:rPr>
              <w:t>136,206,000</w:t>
            </w:r>
          </w:p>
        </w:tc>
      </w:tr>
      <w:tr>
        <w:trPr>
          <w:trHeight w:val="183"/>
        </w:trPr>
        <w:tc>
          <w:tcPr>
            <w:tcW w:w="63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Deferred income taxes.........................................</w:t>
            </w:r>
          </w:p>
        </w:tc>
        <w:tc>
          <w:tcPr>
            <w:tcW w:w="24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2,742,000</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17,283,000</w:t>
            </w:r>
          </w:p>
        </w:tc>
      </w:tr>
      <w:tr>
        <w:trPr>
          <w:trHeight w:val="183"/>
        </w:trPr>
        <w:tc>
          <w:tcPr>
            <w:tcW w:w="63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Deferred charges..............................................</w:t>
            </w:r>
          </w:p>
        </w:tc>
        <w:tc>
          <w:tcPr>
            <w:tcW w:w="24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1,527,000</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11,466,000</w:t>
            </w:r>
          </w:p>
        </w:tc>
      </w:tr>
      <w:tr>
        <w:trPr>
          <w:trHeight w:val="183"/>
        </w:trPr>
        <w:tc>
          <w:tcPr>
            <w:tcW w:w="63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Other.........................................................</w:t>
            </w:r>
          </w:p>
        </w:tc>
        <w:tc>
          <w:tcPr>
            <w:tcW w:w="24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28,429,000</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33,186,000</w:t>
            </w:r>
          </w:p>
        </w:tc>
      </w:tr>
      <w:tr>
        <w:trPr>
          <w:trHeight w:val="183"/>
        </w:trPr>
        <w:tc>
          <w:tcPr>
            <w:tcW w:w="6340" w:type="dxa"/>
            <w:vAlign w:val="bottom"/>
          </w:tcPr>
          <w:p>
            <w:pPr>
              <w:spacing w:after="0"/>
              <w:rPr>
                <w:sz w:val="15"/>
                <w:szCs w:val="15"/>
                <w:color w:val="auto"/>
              </w:rPr>
            </w:pPr>
          </w:p>
        </w:tc>
        <w:tc>
          <w:tcPr>
            <w:tcW w:w="148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71,460,000</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w w:val="98"/>
              </w:rPr>
              <w:t>198,141,000</w:t>
            </w:r>
          </w:p>
        </w:tc>
      </w:tr>
      <w:tr>
        <w:trPr>
          <w:trHeight w:val="183"/>
        </w:trPr>
        <w:tc>
          <w:tcPr>
            <w:tcW w:w="6340" w:type="dxa"/>
            <w:vAlign w:val="bottom"/>
          </w:tcPr>
          <w:p>
            <w:pPr>
              <w:spacing w:after="0"/>
              <w:rPr>
                <w:sz w:val="15"/>
                <w:szCs w:val="15"/>
                <w:color w:val="auto"/>
              </w:rPr>
            </w:pPr>
          </w:p>
        </w:tc>
        <w:tc>
          <w:tcPr>
            <w:tcW w:w="148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34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6"/>
              </w:rPr>
              <w:t>521,492,000</w:t>
            </w: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$748,051,000</w:t>
            </w:r>
          </w:p>
        </w:tc>
      </w:tr>
      <w:tr>
        <w:trPr>
          <w:trHeight w:val="183"/>
        </w:trPr>
        <w:tc>
          <w:tcPr>
            <w:tcW w:w="6340" w:type="dxa"/>
            <w:vAlign w:val="bottom"/>
          </w:tcPr>
          <w:p>
            <w:pPr>
              <w:spacing w:after="0"/>
              <w:rPr>
                <w:sz w:val="15"/>
                <w:szCs w:val="15"/>
                <w:color w:val="auto"/>
              </w:rPr>
            </w:pPr>
          </w:p>
        </w:tc>
        <w:tc>
          <w:tcPr>
            <w:tcW w:w="148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340" w:type="dxa"/>
            <w:vAlign w:val="bottom"/>
          </w:tcPr>
          <w:p>
            <w:pPr>
              <w:spacing w:after="0"/>
              <w:rPr>
                <w:sz w:val="15"/>
                <w:szCs w:val="15"/>
                <w:color w:val="auto"/>
              </w:rPr>
            </w:pPr>
          </w:p>
        </w:tc>
        <w:tc>
          <w:tcPr>
            <w:tcW w:w="148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340" w:type="dxa"/>
            <w:vAlign w:val="bottom"/>
          </w:tcPr>
          <w:p>
            <w:pPr>
              <w:ind w:left="280"/>
              <w:spacing w:after="0"/>
              <w:rPr>
                <w:sz w:val="20"/>
                <w:szCs w:val="20"/>
                <w:color w:val="auto"/>
              </w:rPr>
            </w:pPr>
            <w:r>
              <w:rPr>
                <w:rFonts w:ascii="Courier New" w:cs="Courier New" w:eastAsia="Courier New" w:hAnsi="Courier New"/>
                <w:sz w:val="16"/>
                <w:szCs w:val="16"/>
                <w:color w:val="auto"/>
              </w:rPr>
              <w:t>LIABILITIES AND COMMON STOCKHOLDERS' EQUITY</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3"/>
        </w:trPr>
        <w:tc>
          <w:tcPr>
            <w:tcW w:w="634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3"/>
        </w:trPr>
        <w:tc>
          <w:tcPr>
            <w:tcW w:w="63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Current maturities of long-term debt............................</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7,236,000</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7,125,000</w:t>
            </w:r>
          </w:p>
        </w:tc>
      </w:tr>
      <w:tr>
        <w:trPr>
          <w:trHeight w:val="183"/>
        </w:trPr>
        <w:tc>
          <w:tcPr>
            <w:tcW w:w="63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Accounts payable................................................</w:t>
            </w:r>
          </w:p>
        </w:tc>
        <w:tc>
          <w:tcPr>
            <w:tcW w:w="24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37,185,000</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52,855,000</w:t>
            </w:r>
          </w:p>
        </w:tc>
      </w:tr>
      <w:tr>
        <w:trPr>
          <w:trHeight w:val="183"/>
        </w:trPr>
        <w:tc>
          <w:tcPr>
            <w:tcW w:w="6340" w:type="dxa"/>
            <w:vAlign w:val="bottom"/>
          </w:tcPr>
          <w:p>
            <w:pPr>
              <w:ind w:left="100"/>
              <w:spacing w:after="0"/>
              <w:rPr>
                <w:sz w:val="20"/>
                <w:szCs w:val="20"/>
                <w:color w:val="auto"/>
              </w:rPr>
            </w:pPr>
            <w:r>
              <w:rPr>
                <w:rFonts w:ascii="Courier New" w:cs="Courier New" w:eastAsia="Courier New" w:hAnsi="Courier New"/>
                <w:sz w:val="16"/>
                <w:szCs w:val="16"/>
                <w:color w:val="auto"/>
              </w:rPr>
              <w:t>Accrued liabilities</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3"/>
        </w:trPr>
        <w:tc>
          <w:tcPr>
            <w:tcW w:w="63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Compensation and related benefits.............................</w:t>
            </w:r>
          </w:p>
        </w:tc>
        <w:tc>
          <w:tcPr>
            <w:tcW w:w="24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20,208,000</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20,470,000</w:t>
            </w:r>
          </w:p>
        </w:tc>
      </w:tr>
      <w:tr>
        <w:trPr>
          <w:trHeight w:val="183"/>
        </w:trPr>
        <w:tc>
          <w:tcPr>
            <w:tcW w:w="63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Interest......................................................</w:t>
            </w:r>
          </w:p>
        </w:tc>
        <w:tc>
          <w:tcPr>
            <w:tcW w:w="24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2,442,000</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5,513,000</w:t>
            </w:r>
          </w:p>
        </w:tc>
      </w:tr>
      <w:tr>
        <w:trPr>
          <w:trHeight w:val="183"/>
        </w:trPr>
        <w:tc>
          <w:tcPr>
            <w:tcW w:w="63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Other.........................................................</w:t>
            </w:r>
          </w:p>
        </w:tc>
        <w:tc>
          <w:tcPr>
            <w:tcW w:w="24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32,294,000</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47,180,000</w:t>
            </w:r>
          </w:p>
        </w:tc>
      </w:tr>
      <w:tr>
        <w:trPr>
          <w:trHeight w:val="183"/>
        </w:trPr>
        <w:tc>
          <w:tcPr>
            <w:tcW w:w="63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Federal and state taxes.......................................</w:t>
            </w:r>
          </w:p>
        </w:tc>
        <w:tc>
          <w:tcPr>
            <w:tcW w:w="24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4,417,000</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1,874,000</w:t>
            </w:r>
          </w:p>
        </w:tc>
      </w:tr>
      <w:tr>
        <w:trPr>
          <w:trHeight w:val="183"/>
        </w:trPr>
        <w:tc>
          <w:tcPr>
            <w:tcW w:w="6340" w:type="dxa"/>
            <w:vAlign w:val="bottom"/>
          </w:tcPr>
          <w:p>
            <w:pPr>
              <w:spacing w:after="0"/>
              <w:rPr>
                <w:sz w:val="15"/>
                <w:szCs w:val="15"/>
                <w:color w:val="auto"/>
              </w:rPr>
            </w:pPr>
          </w:p>
        </w:tc>
        <w:tc>
          <w:tcPr>
            <w:tcW w:w="148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3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Total current liabilities.....................................</w:t>
            </w:r>
          </w:p>
        </w:tc>
        <w:tc>
          <w:tcPr>
            <w:tcW w:w="24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6"/>
              </w:rPr>
              <w:t>103,782,000</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w w:val="98"/>
              </w:rPr>
              <w:t>135,017,000</w:t>
            </w:r>
          </w:p>
        </w:tc>
      </w:tr>
      <w:tr>
        <w:trPr>
          <w:trHeight w:val="183"/>
        </w:trPr>
        <w:tc>
          <w:tcPr>
            <w:tcW w:w="63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Other Noncurrent Liabilities..................................</w:t>
            </w:r>
          </w:p>
        </w:tc>
        <w:tc>
          <w:tcPr>
            <w:tcW w:w="24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71,956,000</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78,248,000</w:t>
            </w:r>
          </w:p>
        </w:tc>
      </w:tr>
      <w:tr>
        <w:trPr>
          <w:trHeight w:val="183"/>
        </w:trPr>
        <w:tc>
          <w:tcPr>
            <w:tcW w:w="63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Long-Term Debt..................................................</w:t>
            </w:r>
          </w:p>
        </w:tc>
        <w:tc>
          <w:tcPr>
            <w:tcW w:w="24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85,125,000</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w w:val="98"/>
              </w:rPr>
              <w:t>237,086,000</w:t>
            </w:r>
          </w:p>
        </w:tc>
      </w:tr>
      <w:tr>
        <w:trPr>
          <w:trHeight w:val="183"/>
        </w:trPr>
        <w:tc>
          <w:tcPr>
            <w:tcW w:w="6340" w:type="dxa"/>
            <w:vAlign w:val="bottom"/>
          </w:tcPr>
          <w:p>
            <w:pPr>
              <w:spacing w:after="0"/>
              <w:rPr>
                <w:sz w:val="20"/>
                <w:szCs w:val="20"/>
                <w:color w:val="auto"/>
              </w:rPr>
            </w:pPr>
            <w:r>
              <w:rPr>
                <w:rFonts w:ascii="Courier New" w:cs="Courier New" w:eastAsia="Courier New" w:hAnsi="Courier New"/>
                <w:sz w:val="16"/>
                <w:szCs w:val="16"/>
                <w:color w:val="auto"/>
              </w:rPr>
              <w:t>Commitments and Contingencies</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3"/>
        </w:trPr>
        <w:tc>
          <w:tcPr>
            <w:tcW w:w="6340" w:type="dxa"/>
            <w:vAlign w:val="bottom"/>
          </w:tcPr>
          <w:p>
            <w:pPr>
              <w:spacing w:after="0"/>
              <w:rPr>
                <w:sz w:val="20"/>
                <w:szCs w:val="20"/>
                <w:color w:val="auto"/>
              </w:rPr>
            </w:pPr>
            <w:r>
              <w:rPr>
                <w:rFonts w:ascii="Courier New" w:cs="Courier New" w:eastAsia="Courier New" w:hAnsi="Courier New"/>
                <w:sz w:val="16"/>
                <w:szCs w:val="16"/>
                <w:color w:val="auto"/>
              </w:rPr>
              <w:t>Common Stockholders' Equity</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3"/>
        </w:trPr>
        <w:tc>
          <w:tcPr>
            <w:tcW w:w="6340" w:type="dxa"/>
            <w:vAlign w:val="bottom"/>
          </w:tcPr>
          <w:p>
            <w:pPr>
              <w:ind w:left="100"/>
              <w:spacing w:after="0"/>
              <w:rPr>
                <w:sz w:val="20"/>
                <w:szCs w:val="20"/>
                <w:color w:val="auto"/>
              </w:rPr>
            </w:pPr>
            <w:r>
              <w:rPr>
                <w:rFonts w:ascii="Courier New" w:cs="Courier New" w:eastAsia="Courier New" w:hAnsi="Courier New"/>
                <w:sz w:val="16"/>
                <w:szCs w:val="16"/>
                <w:color w:val="auto"/>
              </w:rPr>
              <w:t>Class A Common Stock, voting, $.01 par value; authorized</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3"/>
        </w:trPr>
        <w:tc>
          <w:tcPr>
            <w:tcW w:w="6340" w:type="dxa"/>
            <w:vAlign w:val="bottom"/>
          </w:tcPr>
          <w:p>
            <w:pPr>
              <w:ind w:left="280"/>
              <w:spacing w:after="0"/>
              <w:rPr>
                <w:sz w:val="20"/>
                <w:szCs w:val="20"/>
                <w:color w:val="auto"/>
              </w:rPr>
            </w:pPr>
            <w:r>
              <w:rPr>
                <w:rFonts w:ascii="Courier New" w:cs="Courier New" w:eastAsia="Courier New" w:hAnsi="Courier New"/>
                <w:sz w:val="16"/>
                <w:szCs w:val="16"/>
                <w:color w:val="auto"/>
              </w:rPr>
              <w:t>12,000,000 shares; issued and outstanding 1,090,527 shares in</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3"/>
        </w:trPr>
        <w:tc>
          <w:tcPr>
            <w:tcW w:w="63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1994 and 1,090,527 in 1995....................................</w:t>
            </w:r>
          </w:p>
        </w:tc>
        <w:tc>
          <w:tcPr>
            <w:tcW w:w="24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11,000</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11,000</w:t>
            </w:r>
          </w:p>
        </w:tc>
      </w:tr>
      <w:tr>
        <w:trPr>
          <w:trHeight w:val="183"/>
        </w:trPr>
        <w:tc>
          <w:tcPr>
            <w:tcW w:w="63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Class B Common Stock, limited voting, $.01 par value; authorized</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3"/>
        </w:trPr>
        <w:tc>
          <w:tcPr>
            <w:tcW w:w="63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50,000,000 shares; issued and outstanding 12,591,854 shares in</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3"/>
        </w:trPr>
        <w:tc>
          <w:tcPr>
            <w:tcW w:w="63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1994 and 12,658,818 in 1995...................................</w:t>
            </w:r>
          </w:p>
        </w:tc>
        <w:tc>
          <w:tcPr>
            <w:tcW w:w="24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126,000</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127,000</w:t>
            </w:r>
          </w:p>
        </w:tc>
      </w:tr>
      <w:tr>
        <w:trPr>
          <w:trHeight w:val="183"/>
        </w:trPr>
        <w:tc>
          <w:tcPr>
            <w:tcW w:w="6340" w:type="dxa"/>
            <w:vAlign w:val="bottom"/>
          </w:tcPr>
          <w:p>
            <w:pPr>
              <w:ind w:left="100"/>
              <w:spacing w:after="0"/>
              <w:rPr>
                <w:sz w:val="20"/>
                <w:szCs w:val="20"/>
                <w:color w:val="auto"/>
              </w:rPr>
            </w:pPr>
            <w:r>
              <w:rPr>
                <w:rFonts w:ascii="Courier New" w:cs="Courier New" w:eastAsia="Courier New" w:hAnsi="Courier New"/>
                <w:sz w:val="16"/>
                <w:szCs w:val="16"/>
                <w:color w:val="auto"/>
              </w:rPr>
              <w:t>Class C Common Stock, voting, $.01 par value; authorized</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3"/>
        </w:trPr>
        <w:tc>
          <w:tcPr>
            <w:tcW w:w="6340" w:type="dxa"/>
            <w:vAlign w:val="bottom"/>
          </w:tcPr>
          <w:p>
            <w:pPr>
              <w:ind w:left="280"/>
              <w:spacing w:after="0"/>
              <w:rPr>
                <w:sz w:val="20"/>
                <w:szCs w:val="20"/>
                <w:color w:val="auto"/>
              </w:rPr>
            </w:pPr>
            <w:r>
              <w:rPr>
                <w:rFonts w:ascii="Courier New" w:cs="Courier New" w:eastAsia="Courier New" w:hAnsi="Courier New"/>
                <w:sz w:val="16"/>
                <w:szCs w:val="16"/>
                <w:color w:val="auto"/>
              </w:rPr>
              <w:t>1,200,000 shares; issued and outstanding 109,622 shares in</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3"/>
        </w:trPr>
        <w:tc>
          <w:tcPr>
            <w:tcW w:w="63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1994 and 109,622 in 1995......................................</w:t>
            </w:r>
          </w:p>
        </w:tc>
        <w:tc>
          <w:tcPr>
            <w:tcW w:w="24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1,000</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1,000</w:t>
            </w:r>
          </w:p>
        </w:tc>
      </w:tr>
      <w:tr>
        <w:trPr>
          <w:trHeight w:val="183"/>
        </w:trPr>
        <w:tc>
          <w:tcPr>
            <w:tcW w:w="63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Class D Common Stock, limited voting, $.01 par value; authorized</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3"/>
        </w:trPr>
        <w:tc>
          <w:tcPr>
            <w:tcW w:w="63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5,000,000 shares; issued and outstanding 22,769 shares in 1994</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3"/>
        </w:trPr>
        <w:tc>
          <w:tcPr>
            <w:tcW w:w="63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and 20,503 in 1995............................................</w:t>
            </w:r>
          </w:p>
        </w:tc>
        <w:tc>
          <w:tcPr>
            <w:tcW w:w="240" w:type="dxa"/>
            <w:vAlign w:val="bottom"/>
          </w:tcPr>
          <w:p>
            <w:pPr>
              <w:spacing w:after="0"/>
              <w:rPr>
                <w:sz w:val="15"/>
                <w:szCs w:val="15"/>
                <w:color w:val="auto"/>
              </w:rPr>
            </w:pPr>
          </w:p>
        </w:tc>
        <w:tc>
          <w:tcPr>
            <w:tcW w:w="124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10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r>
      <w:tr>
        <w:trPr>
          <w:trHeight w:val="183"/>
        </w:trPr>
        <w:tc>
          <w:tcPr>
            <w:tcW w:w="6340" w:type="dxa"/>
            <w:vAlign w:val="bottom"/>
          </w:tcPr>
          <w:p>
            <w:pPr>
              <w:ind w:left="100"/>
              <w:spacing w:after="0"/>
              <w:rPr>
                <w:sz w:val="20"/>
                <w:szCs w:val="20"/>
                <w:color w:val="auto"/>
              </w:rPr>
            </w:pPr>
            <w:r>
              <w:rPr>
                <w:rFonts w:ascii="Courier New" w:cs="Courier New" w:eastAsia="Courier New" w:hAnsi="Courier New"/>
                <w:sz w:val="16"/>
                <w:szCs w:val="16"/>
                <w:color w:val="auto"/>
              </w:rPr>
              <w:t>Capital in excess of par value, net of deferred compensation of</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3"/>
        </w:trPr>
        <w:tc>
          <w:tcPr>
            <w:tcW w:w="63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$414,000 in 1994 and $941,000 in 1995.........................</w:t>
            </w:r>
          </w:p>
        </w:tc>
        <w:tc>
          <w:tcPr>
            <w:tcW w:w="24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88,295,000</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89,881,000</w:t>
            </w:r>
          </w:p>
        </w:tc>
      </w:tr>
      <w:tr>
        <w:trPr>
          <w:trHeight w:val="183"/>
        </w:trPr>
        <w:tc>
          <w:tcPr>
            <w:tcW w:w="63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Retained earnings...............................................</w:t>
            </w:r>
          </w:p>
        </w:tc>
        <w:tc>
          <w:tcPr>
            <w:tcW w:w="24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6"/>
              </w:rPr>
              <w:t>172,196,000</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w w:val="98"/>
              </w:rPr>
              <w:t>207,680,000</w:t>
            </w:r>
          </w:p>
        </w:tc>
      </w:tr>
      <w:tr>
        <w:trPr>
          <w:trHeight w:val="183"/>
        </w:trPr>
        <w:tc>
          <w:tcPr>
            <w:tcW w:w="6340" w:type="dxa"/>
            <w:vAlign w:val="bottom"/>
          </w:tcPr>
          <w:p>
            <w:pPr>
              <w:spacing w:after="0"/>
              <w:rPr>
                <w:sz w:val="15"/>
                <w:szCs w:val="15"/>
                <w:color w:val="auto"/>
              </w:rPr>
            </w:pPr>
          </w:p>
        </w:tc>
        <w:tc>
          <w:tcPr>
            <w:tcW w:w="148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6"/>
              </w:rPr>
              <w:t>260,629,000</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w w:val="98"/>
              </w:rPr>
              <w:t>297,700,000</w:t>
            </w:r>
          </w:p>
        </w:tc>
      </w:tr>
      <w:tr>
        <w:trPr>
          <w:trHeight w:val="183"/>
        </w:trPr>
        <w:tc>
          <w:tcPr>
            <w:tcW w:w="6340" w:type="dxa"/>
            <w:vAlign w:val="bottom"/>
          </w:tcPr>
          <w:p>
            <w:pPr>
              <w:spacing w:after="0"/>
              <w:rPr>
                <w:sz w:val="15"/>
                <w:szCs w:val="15"/>
                <w:color w:val="auto"/>
              </w:rPr>
            </w:pPr>
          </w:p>
        </w:tc>
        <w:tc>
          <w:tcPr>
            <w:tcW w:w="148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34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6"/>
              </w:rPr>
              <w:t>521,492,000</w:t>
            </w: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$748,051,000</w:t>
            </w:r>
          </w:p>
        </w:tc>
      </w:tr>
      <w:tr>
        <w:trPr>
          <w:trHeight w:val="183"/>
        </w:trPr>
        <w:tc>
          <w:tcPr>
            <w:tcW w:w="6340" w:type="dxa"/>
            <w:vAlign w:val="bottom"/>
          </w:tcPr>
          <w:p>
            <w:pPr>
              <w:spacing w:after="0"/>
              <w:rPr>
                <w:sz w:val="15"/>
                <w:szCs w:val="15"/>
                <w:color w:val="auto"/>
              </w:rPr>
            </w:pPr>
          </w:p>
        </w:tc>
        <w:tc>
          <w:tcPr>
            <w:tcW w:w="148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340" w:type="dxa"/>
            <w:vAlign w:val="bottom"/>
          </w:tcPr>
          <w:p>
            <w:pPr>
              <w:spacing w:after="0"/>
              <w:rPr>
                <w:sz w:val="15"/>
                <w:szCs w:val="15"/>
                <w:color w:val="auto"/>
              </w:rPr>
            </w:pPr>
          </w:p>
        </w:tc>
        <w:tc>
          <w:tcPr>
            <w:tcW w:w="148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69"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The accompanying notes are an integral part of these consolidated financial</w:t>
      </w:r>
    </w:p>
    <w:p>
      <w:pPr>
        <w:spacing w:after="0" w:line="2"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statements.</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F-4</w:t>
      </w:r>
    </w:p>
    <w:p>
      <w:pPr>
        <w:sectPr>
          <w:pgSz w:w="11900" w:h="16838" w:orient="portrait"/>
          <w:cols w:equalWidth="0" w:num="1">
            <w:col w:w="10219"/>
          </w:cols>
          <w:pgMar w:left="240" w:top="481" w:right="1440" w:bottom="21"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81"/>
        </w:trPr>
        <w:tc>
          <w:tcPr>
            <w:tcW w:w="46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UNIVERSAL HEALTH SERVICES,</w:t>
            </w:r>
          </w:p>
        </w:tc>
        <w:tc>
          <w:tcPr>
            <w:tcW w:w="3040" w:type="dxa"/>
            <w:vAlign w:val="bottom"/>
            <w:gridSpan w:val="3"/>
          </w:tcPr>
          <w:p>
            <w:pPr>
              <w:ind w:left="80"/>
              <w:spacing w:after="0"/>
              <w:rPr>
                <w:sz w:val="20"/>
                <w:szCs w:val="20"/>
                <w:color w:val="auto"/>
              </w:rPr>
            </w:pPr>
            <w:r>
              <w:rPr>
                <w:rFonts w:ascii="Courier New" w:cs="Courier New" w:eastAsia="Courier New" w:hAnsi="Courier New"/>
                <w:sz w:val="16"/>
                <w:szCs w:val="16"/>
                <w:color w:val="auto"/>
              </w:rPr>
              <w:t>INC. AND SUBSIDIARIES</w:t>
            </w:r>
          </w:p>
        </w:tc>
        <w:tc>
          <w:tcPr>
            <w:tcW w:w="13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3"/>
        </w:trPr>
        <w:tc>
          <w:tcPr>
            <w:tcW w:w="7720" w:type="dxa"/>
            <w:vAlign w:val="bottom"/>
            <w:gridSpan w:val="6"/>
          </w:tcPr>
          <w:p>
            <w:pPr>
              <w:jc w:val="right"/>
              <w:ind w:right="581"/>
              <w:spacing w:after="0"/>
              <w:rPr>
                <w:sz w:val="20"/>
                <w:szCs w:val="20"/>
                <w:color w:val="auto"/>
              </w:rPr>
            </w:pPr>
            <w:r>
              <w:rPr>
                <w:rFonts w:ascii="Courier New" w:cs="Courier New" w:eastAsia="Courier New" w:hAnsi="Courier New"/>
                <w:sz w:val="16"/>
                <w:szCs w:val="16"/>
                <w:color w:val="auto"/>
              </w:rPr>
              <w:t>CONSOLIDATED STATEMENTS OF COMMON STOCKHOLDERS' EQUITY</w:t>
            </w:r>
          </w:p>
        </w:tc>
        <w:tc>
          <w:tcPr>
            <w:tcW w:w="13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3"/>
        </w:trPr>
        <w:tc>
          <w:tcPr>
            <w:tcW w:w="46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FOR THE YEARS ENDED DECEMBER</w:t>
            </w:r>
          </w:p>
        </w:tc>
        <w:tc>
          <w:tcPr>
            <w:tcW w:w="3040" w:type="dxa"/>
            <w:vAlign w:val="bottom"/>
            <w:gridSpan w:val="3"/>
          </w:tcPr>
          <w:p>
            <w:pPr>
              <w:ind w:left="80"/>
              <w:spacing w:after="0"/>
              <w:rPr>
                <w:sz w:val="20"/>
                <w:szCs w:val="20"/>
                <w:color w:val="auto"/>
              </w:rPr>
            </w:pPr>
            <w:r>
              <w:rPr>
                <w:rFonts w:ascii="Courier New" w:cs="Courier New" w:eastAsia="Courier New" w:hAnsi="Courier New"/>
                <w:sz w:val="16"/>
                <w:szCs w:val="16"/>
                <w:color w:val="auto"/>
              </w:rPr>
              <w:t>31, 1993, 1994 AND 1995</w:t>
            </w:r>
          </w:p>
        </w:tc>
        <w:tc>
          <w:tcPr>
            <w:tcW w:w="13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734"/>
        </w:trPr>
        <w:tc>
          <w:tcPr>
            <w:tcW w:w="2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Courier New" w:cs="Courier New" w:eastAsia="Courier New" w:hAnsi="Courier New"/>
                <w:sz w:val="16"/>
                <w:szCs w:val="16"/>
                <w:color w:val="auto"/>
              </w:rPr>
              <w:t>CLASS</w:t>
            </w:r>
          </w:p>
        </w:tc>
        <w:tc>
          <w:tcPr>
            <w:tcW w:w="960" w:type="dxa"/>
            <w:vAlign w:val="bottom"/>
          </w:tcPr>
          <w:p>
            <w:pPr>
              <w:spacing w:after="0"/>
              <w:rPr>
                <w:sz w:val="24"/>
                <w:szCs w:val="24"/>
                <w:color w:val="auto"/>
              </w:rPr>
            </w:pPr>
          </w:p>
        </w:tc>
        <w:tc>
          <w:tcPr>
            <w:tcW w:w="13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CAPITAL IN</w:t>
            </w:r>
          </w:p>
        </w:tc>
        <w:tc>
          <w:tcPr>
            <w:tcW w:w="13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83"/>
        </w:trPr>
        <w:tc>
          <w:tcPr>
            <w:tcW w:w="2520" w:type="dxa"/>
            <w:vAlign w:val="bottom"/>
          </w:tcPr>
          <w:p>
            <w:pPr>
              <w:spacing w:after="0"/>
              <w:rPr>
                <w:sz w:val="15"/>
                <w:szCs w:val="15"/>
                <w:color w:val="auto"/>
              </w:rPr>
            </w:pPr>
          </w:p>
        </w:tc>
        <w:tc>
          <w:tcPr>
            <w:tcW w:w="1000" w:type="dxa"/>
            <w:vAlign w:val="bottom"/>
          </w:tcPr>
          <w:p>
            <w:pPr>
              <w:ind w:left="140"/>
              <w:spacing w:after="0"/>
              <w:rPr>
                <w:sz w:val="20"/>
                <w:szCs w:val="20"/>
                <w:color w:val="auto"/>
              </w:rPr>
            </w:pPr>
            <w:r>
              <w:rPr>
                <w:rFonts w:ascii="Courier New" w:cs="Courier New" w:eastAsia="Courier New" w:hAnsi="Courier New"/>
                <w:sz w:val="16"/>
                <w:szCs w:val="16"/>
                <w:color w:val="auto"/>
              </w:rPr>
              <w:t>CLASS A</w:t>
            </w:r>
          </w:p>
        </w:tc>
        <w:tc>
          <w:tcPr>
            <w:tcW w:w="1160" w:type="dxa"/>
            <w:vAlign w:val="bottom"/>
          </w:tcPr>
          <w:p>
            <w:pPr>
              <w:jc w:val="right"/>
              <w:ind w:right="321"/>
              <w:spacing w:after="0"/>
              <w:rPr>
                <w:sz w:val="20"/>
                <w:szCs w:val="20"/>
                <w:color w:val="auto"/>
              </w:rPr>
            </w:pPr>
            <w:r>
              <w:rPr>
                <w:rFonts w:ascii="Courier New" w:cs="Courier New" w:eastAsia="Courier New" w:hAnsi="Courier New"/>
                <w:sz w:val="16"/>
                <w:szCs w:val="16"/>
                <w:color w:val="auto"/>
              </w:rPr>
              <w:t>CLASS B</w:t>
            </w:r>
          </w:p>
        </w:tc>
        <w:tc>
          <w:tcPr>
            <w:tcW w:w="700" w:type="dxa"/>
            <w:vAlign w:val="bottom"/>
          </w:tcPr>
          <w:p>
            <w:pPr>
              <w:ind w:left="180"/>
              <w:spacing w:after="0"/>
              <w:rPr>
                <w:sz w:val="20"/>
                <w:szCs w:val="20"/>
                <w:color w:val="auto"/>
              </w:rPr>
            </w:pPr>
            <w:r>
              <w:rPr>
                <w:rFonts w:ascii="Courier New" w:cs="Courier New" w:eastAsia="Courier New" w:hAnsi="Courier New"/>
                <w:sz w:val="16"/>
                <w:szCs w:val="16"/>
                <w:color w:val="auto"/>
              </w:rPr>
              <w:t>C</w:t>
            </w:r>
          </w:p>
        </w:tc>
        <w:tc>
          <w:tcPr>
            <w:tcW w:w="960" w:type="dxa"/>
            <w:vAlign w:val="bottom"/>
          </w:tcPr>
          <w:p>
            <w:pPr>
              <w:ind w:left="140"/>
              <w:spacing w:after="0"/>
              <w:rPr>
                <w:sz w:val="20"/>
                <w:szCs w:val="20"/>
                <w:color w:val="auto"/>
              </w:rPr>
            </w:pPr>
            <w:r>
              <w:rPr>
                <w:rFonts w:ascii="Courier New" w:cs="Courier New" w:eastAsia="Courier New" w:hAnsi="Courier New"/>
                <w:sz w:val="16"/>
                <w:szCs w:val="16"/>
                <w:color w:val="auto"/>
              </w:rPr>
              <w:t>CLASS D</w:t>
            </w:r>
          </w:p>
        </w:tc>
        <w:tc>
          <w:tcPr>
            <w:tcW w:w="13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EXCESS OF</w:t>
            </w:r>
          </w:p>
        </w:tc>
        <w:tc>
          <w:tcPr>
            <w:tcW w:w="13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RETAINED</w:t>
            </w:r>
          </w:p>
        </w:tc>
        <w:tc>
          <w:tcPr>
            <w:tcW w:w="1380" w:type="dxa"/>
            <w:vAlign w:val="bottom"/>
          </w:tcPr>
          <w:p>
            <w:pPr>
              <w:spacing w:after="0"/>
              <w:rPr>
                <w:sz w:val="15"/>
                <w:szCs w:val="15"/>
                <w:color w:val="auto"/>
              </w:rPr>
            </w:pPr>
          </w:p>
        </w:tc>
      </w:tr>
      <w:tr>
        <w:trPr>
          <w:trHeight w:val="183"/>
        </w:trPr>
        <w:tc>
          <w:tcPr>
            <w:tcW w:w="2520" w:type="dxa"/>
            <w:vAlign w:val="bottom"/>
          </w:tcPr>
          <w:p>
            <w:pPr>
              <w:spacing w:after="0"/>
              <w:rPr>
                <w:sz w:val="15"/>
                <w:szCs w:val="15"/>
                <w:color w:val="auto"/>
              </w:rPr>
            </w:pPr>
          </w:p>
        </w:tc>
        <w:tc>
          <w:tcPr>
            <w:tcW w:w="1000" w:type="dxa"/>
            <w:vAlign w:val="bottom"/>
          </w:tcPr>
          <w:p>
            <w:pPr>
              <w:ind w:left="140"/>
              <w:spacing w:after="0"/>
              <w:rPr>
                <w:sz w:val="20"/>
                <w:szCs w:val="20"/>
                <w:color w:val="auto"/>
              </w:rPr>
            </w:pPr>
            <w:r>
              <w:rPr>
                <w:rFonts w:ascii="Courier New" w:cs="Courier New" w:eastAsia="Courier New" w:hAnsi="Courier New"/>
                <w:sz w:val="16"/>
                <w:szCs w:val="16"/>
                <w:color w:val="auto"/>
              </w:rPr>
              <w:t>COMMON</w:t>
            </w:r>
          </w:p>
        </w:tc>
        <w:tc>
          <w:tcPr>
            <w:tcW w:w="1160" w:type="dxa"/>
            <w:vAlign w:val="bottom"/>
          </w:tcPr>
          <w:p>
            <w:pPr>
              <w:jc w:val="right"/>
              <w:ind w:right="321"/>
              <w:spacing w:after="0"/>
              <w:rPr>
                <w:sz w:val="20"/>
                <w:szCs w:val="20"/>
                <w:color w:val="auto"/>
              </w:rPr>
            </w:pPr>
            <w:r>
              <w:rPr>
                <w:rFonts w:ascii="Courier New" w:cs="Courier New" w:eastAsia="Courier New" w:hAnsi="Courier New"/>
                <w:sz w:val="16"/>
                <w:szCs w:val="16"/>
                <w:color w:val="auto"/>
              </w:rPr>
              <w:t>COMMON</w:t>
            </w:r>
          </w:p>
        </w:tc>
        <w:tc>
          <w:tcPr>
            <w:tcW w:w="700" w:type="dxa"/>
            <w:vAlign w:val="bottom"/>
          </w:tcPr>
          <w:p>
            <w:pPr>
              <w:spacing w:after="0"/>
              <w:rPr>
                <w:sz w:val="20"/>
                <w:szCs w:val="20"/>
                <w:color w:val="auto"/>
              </w:rPr>
            </w:pPr>
            <w:r>
              <w:rPr>
                <w:rFonts w:ascii="Courier New" w:cs="Courier New" w:eastAsia="Courier New" w:hAnsi="Courier New"/>
                <w:sz w:val="16"/>
                <w:szCs w:val="16"/>
                <w:color w:val="auto"/>
              </w:rPr>
              <w:t>COMMON</w:t>
            </w:r>
          </w:p>
        </w:tc>
        <w:tc>
          <w:tcPr>
            <w:tcW w:w="960" w:type="dxa"/>
            <w:vAlign w:val="bottom"/>
          </w:tcPr>
          <w:p>
            <w:pPr>
              <w:ind w:left="140"/>
              <w:spacing w:after="0"/>
              <w:rPr>
                <w:sz w:val="20"/>
                <w:szCs w:val="20"/>
                <w:color w:val="auto"/>
              </w:rPr>
            </w:pPr>
            <w:r>
              <w:rPr>
                <w:rFonts w:ascii="Courier New" w:cs="Courier New" w:eastAsia="Courier New" w:hAnsi="Courier New"/>
                <w:sz w:val="16"/>
                <w:szCs w:val="16"/>
                <w:color w:val="auto"/>
              </w:rPr>
              <w:t>COMMON</w:t>
            </w:r>
          </w:p>
        </w:tc>
        <w:tc>
          <w:tcPr>
            <w:tcW w:w="13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PAR VALUE</w:t>
            </w:r>
          </w:p>
        </w:tc>
        <w:tc>
          <w:tcPr>
            <w:tcW w:w="13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EARNINGS</w:t>
            </w:r>
          </w:p>
        </w:tc>
        <w:tc>
          <w:tcPr>
            <w:tcW w:w="138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TOTAL</w:t>
            </w:r>
          </w:p>
        </w:tc>
      </w:tr>
      <w:tr>
        <w:trPr>
          <w:trHeight w:val="183"/>
        </w:trPr>
        <w:tc>
          <w:tcPr>
            <w:tcW w:w="2520" w:type="dxa"/>
            <w:vAlign w:val="bottom"/>
          </w:tcPr>
          <w:p>
            <w:pPr>
              <w:spacing w:after="0"/>
              <w:rPr>
                <w:sz w:val="15"/>
                <w:szCs w:val="15"/>
                <w:color w:val="auto"/>
              </w:rPr>
            </w:pPr>
          </w:p>
        </w:tc>
        <w:tc>
          <w:tcPr>
            <w:tcW w:w="10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center"/>
              <w:spacing w:after="0"/>
              <w:rPr>
                <w:sz w:val="20"/>
                <w:szCs w:val="20"/>
                <w:color w:val="auto"/>
              </w:rPr>
            </w:pPr>
            <w:r>
              <w:rPr>
                <w:rFonts w:ascii="Courier New" w:cs="Courier New" w:eastAsia="Courier New" w:hAnsi="Courier New"/>
                <w:sz w:val="16"/>
                <w:szCs w:val="16"/>
                <w:color w:val="auto"/>
                <w:w w:val="98"/>
              </w:rPr>
              <w:t>------------</w:t>
            </w:r>
          </w:p>
        </w:tc>
        <w:tc>
          <w:tcPr>
            <w:tcW w:w="13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7"/>
        </w:trPr>
        <w:tc>
          <w:tcPr>
            <w:tcW w:w="2520" w:type="dxa"/>
            <w:vAlign w:val="bottom"/>
          </w:tcPr>
          <w:p>
            <w:pPr>
              <w:spacing w:after="0"/>
              <w:rPr>
                <w:sz w:val="20"/>
                <w:szCs w:val="20"/>
                <w:color w:val="auto"/>
              </w:rPr>
            </w:pPr>
            <w:r>
              <w:rPr>
                <w:rFonts w:ascii="Courier New" w:cs="Courier New" w:eastAsia="Courier New" w:hAnsi="Courier New"/>
                <w:sz w:val="16"/>
                <w:szCs w:val="16"/>
                <w:color w:val="auto"/>
              </w:rPr>
              <w:t>Balance January 1,</w:t>
            </w: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83"/>
        </w:trPr>
        <w:tc>
          <w:tcPr>
            <w:tcW w:w="25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1993...................</w:t>
            </w:r>
          </w:p>
        </w:tc>
        <w:tc>
          <w:tcPr>
            <w:tcW w:w="10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$12,000</w:t>
            </w:r>
          </w:p>
        </w:tc>
        <w:tc>
          <w:tcPr>
            <w:tcW w:w="11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$123,000</w:t>
            </w:r>
          </w:p>
        </w:tc>
        <w:tc>
          <w:tcPr>
            <w:tcW w:w="700" w:type="dxa"/>
            <w:vAlign w:val="bottom"/>
          </w:tcPr>
          <w:p>
            <w:pPr>
              <w:spacing w:after="0"/>
              <w:rPr>
                <w:sz w:val="20"/>
                <w:szCs w:val="20"/>
                <w:color w:val="auto"/>
              </w:rPr>
            </w:pPr>
            <w:r>
              <w:rPr>
                <w:rFonts w:ascii="Courier New" w:cs="Courier New" w:eastAsia="Courier New" w:hAnsi="Courier New"/>
                <w:sz w:val="16"/>
                <w:szCs w:val="16"/>
                <w:color w:val="auto"/>
              </w:rPr>
              <w:t>$1,000</w:t>
            </w:r>
          </w:p>
        </w:tc>
        <w:tc>
          <w:tcPr>
            <w:tcW w:w="9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$83,302,000</w:t>
            </w:r>
          </w:p>
        </w:tc>
        <w:tc>
          <w:tcPr>
            <w:tcW w:w="1380" w:type="dxa"/>
            <w:vAlign w:val="bottom"/>
          </w:tcPr>
          <w:p>
            <w:pPr>
              <w:jc w:val="center"/>
              <w:spacing w:after="0"/>
              <w:rPr>
                <w:sz w:val="20"/>
                <w:szCs w:val="20"/>
                <w:color w:val="auto"/>
              </w:rPr>
            </w:pPr>
            <w:r>
              <w:rPr>
                <w:rFonts w:ascii="Courier New" w:cs="Courier New" w:eastAsia="Courier New" w:hAnsi="Courier New"/>
                <w:sz w:val="16"/>
                <w:szCs w:val="16"/>
                <w:color w:val="auto"/>
                <w:w w:val="98"/>
              </w:rPr>
              <w:t>$119,465,000</w:t>
            </w:r>
          </w:p>
        </w:tc>
        <w:tc>
          <w:tcPr>
            <w:tcW w:w="1380" w:type="dxa"/>
            <w:vAlign w:val="bottom"/>
          </w:tcPr>
          <w:p>
            <w:pPr>
              <w:jc w:val="right"/>
              <w:ind w:right="1"/>
              <w:spacing w:after="0"/>
              <w:rPr>
                <w:sz w:val="20"/>
                <w:szCs w:val="20"/>
                <w:color w:val="auto"/>
              </w:rPr>
            </w:pPr>
            <w:r>
              <w:rPr>
                <w:rFonts w:ascii="Courier New" w:cs="Courier New" w:eastAsia="Courier New" w:hAnsi="Courier New"/>
                <w:sz w:val="16"/>
                <w:szCs w:val="16"/>
                <w:color w:val="auto"/>
              </w:rPr>
              <w:t>$202,903,000</w:t>
            </w:r>
          </w:p>
        </w:tc>
      </w:tr>
      <w:tr>
        <w:trPr>
          <w:trHeight w:val="367"/>
        </w:trPr>
        <w:tc>
          <w:tcPr>
            <w:tcW w:w="2520" w:type="dxa"/>
            <w:vAlign w:val="bottom"/>
          </w:tcPr>
          <w:p>
            <w:pPr>
              <w:spacing w:after="0"/>
              <w:rPr>
                <w:sz w:val="20"/>
                <w:szCs w:val="20"/>
                <w:color w:val="auto"/>
              </w:rPr>
            </w:pPr>
            <w:r>
              <w:rPr>
                <w:rFonts w:ascii="Courier New" w:cs="Courier New" w:eastAsia="Courier New" w:hAnsi="Courier New"/>
                <w:sz w:val="16"/>
                <w:szCs w:val="16"/>
                <w:color w:val="auto"/>
              </w:rPr>
              <w:t>Common Stock</w:t>
            </w: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83"/>
        </w:trPr>
        <w:tc>
          <w:tcPr>
            <w:tcW w:w="25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Issued..................</w:t>
            </w:r>
          </w:p>
        </w:tc>
        <w:tc>
          <w:tcPr>
            <w:tcW w:w="10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1,000</w:t>
            </w:r>
          </w:p>
        </w:tc>
        <w:tc>
          <w:tcPr>
            <w:tcW w:w="70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518,000</w:t>
            </w:r>
          </w:p>
        </w:tc>
        <w:tc>
          <w:tcPr>
            <w:tcW w:w="1380" w:type="dxa"/>
            <w:vAlign w:val="bottom"/>
          </w:tcPr>
          <w:p>
            <w:pPr>
              <w:jc w:val="center"/>
              <w:spacing w:after="0"/>
              <w:rPr>
                <w:sz w:val="20"/>
                <w:szCs w:val="20"/>
                <w:color w:val="auto"/>
              </w:rPr>
            </w:pPr>
            <w:r>
              <w:rPr>
                <w:rFonts w:ascii="Courier New" w:cs="Courier New" w:eastAsia="Courier New" w:hAnsi="Courier New"/>
                <w:sz w:val="16"/>
                <w:szCs w:val="16"/>
                <w:color w:val="auto"/>
                <w:w w:val="93"/>
              </w:rPr>
              <w:t>--</w:t>
            </w:r>
          </w:p>
        </w:tc>
        <w:tc>
          <w:tcPr>
            <w:tcW w:w="1380" w:type="dxa"/>
            <w:vAlign w:val="bottom"/>
          </w:tcPr>
          <w:p>
            <w:pPr>
              <w:jc w:val="right"/>
              <w:ind w:right="1"/>
              <w:spacing w:after="0"/>
              <w:rPr>
                <w:sz w:val="20"/>
                <w:szCs w:val="20"/>
                <w:color w:val="auto"/>
              </w:rPr>
            </w:pPr>
            <w:r>
              <w:rPr>
                <w:rFonts w:ascii="Courier New" w:cs="Courier New" w:eastAsia="Courier New" w:hAnsi="Courier New"/>
                <w:sz w:val="16"/>
                <w:szCs w:val="16"/>
                <w:color w:val="auto"/>
              </w:rPr>
              <w:t>519,000</w:t>
            </w:r>
          </w:p>
        </w:tc>
      </w:tr>
      <w:tr>
        <w:trPr>
          <w:trHeight w:val="183"/>
        </w:trPr>
        <w:tc>
          <w:tcPr>
            <w:tcW w:w="25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Converted...............</w:t>
            </w:r>
          </w:p>
        </w:tc>
        <w:tc>
          <w:tcPr>
            <w:tcW w:w="10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(1,000)</w:t>
            </w:r>
          </w:p>
        </w:tc>
        <w:tc>
          <w:tcPr>
            <w:tcW w:w="11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1,000</w:t>
            </w:r>
          </w:p>
        </w:tc>
        <w:tc>
          <w:tcPr>
            <w:tcW w:w="70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center"/>
              <w:spacing w:after="0"/>
              <w:rPr>
                <w:sz w:val="20"/>
                <w:szCs w:val="20"/>
                <w:color w:val="auto"/>
              </w:rPr>
            </w:pPr>
            <w:r>
              <w:rPr>
                <w:rFonts w:ascii="Courier New" w:cs="Courier New" w:eastAsia="Courier New" w:hAnsi="Courier New"/>
                <w:sz w:val="16"/>
                <w:szCs w:val="16"/>
                <w:color w:val="auto"/>
                <w:w w:val="93"/>
              </w:rPr>
              <w:t>--</w:t>
            </w:r>
          </w:p>
        </w:tc>
        <w:tc>
          <w:tcPr>
            <w:tcW w:w="138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r>
      <w:tr>
        <w:trPr>
          <w:trHeight w:val="183"/>
        </w:trPr>
        <w:tc>
          <w:tcPr>
            <w:tcW w:w="25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Repurchased.............</w:t>
            </w:r>
          </w:p>
        </w:tc>
        <w:tc>
          <w:tcPr>
            <w:tcW w:w="10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(3,000)</w:t>
            </w:r>
          </w:p>
        </w:tc>
        <w:tc>
          <w:tcPr>
            <w:tcW w:w="70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(3,233,000)</w:t>
            </w:r>
          </w:p>
        </w:tc>
        <w:tc>
          <w:tcPr>
            <w:tcW w:w="1380" w:type="dxa"/>
            <w:vAlign w:val="bottom"/>
          </w:tcPr>
          <w:p>
            <w:pPr>
              <w:jc w:val="center"/>
              <w:spacing w:after="0"/>
              <w:rPr>
                <w:sz w:val="20"/>
                <w:szCs w:val="20"/>
                <w:color w:val="auto"/>
              </w:rPr>
            </w:pPr>
            <w:r>
              <w:rPr>
                <w:rFonts w:ascii="Courier New" w:cs="Courier New" w:eastAsia="Courier New" w:hAnsi="Courier New"/>
                <w:sz w:val="16"/>
                <w:szCs w:val="16"/>
                <w:color w:val="auto"/>
                <w:w w:val="93"/>
              </w:rPr>
              <w:t>--</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(3,236,000)</w:t>
            </w:r>
          </w:p>
        </w:tc>
      </w:tr>
      <w:tr>
        <w:trPr>
          <w:trHeight w:val="183"/>
        </w:trPr>
        <w:tc>
          <w:tcPr>
            <w:tcW w:w="2520" w:type="dxa"/>
            <w:vAlign w:val="bottom"/>
          </w:tcPr>
          <w:p>
            <w:pPr>
              <w:spacing w:after="0"/>
              <w:rPr>
                <w:sz w:val="20"/>
                <w:szCs w:val="20"/>
                <w:color w:val="auto"/>
              </w:rPr>
            </w:pPr>
            <w:r>
              <w:rPr>
                <w:rFonts w:ascii="Courier New" w:cs="Courier New" w:eastAsia="Courier New" w:hAnsi="Courier New"/>
                <w:sz w:val="16"/>
                <w:szCs w:val="16"/>
                <w:color w:val="auto"/>
              </w:rPr>
              <w:t>Amortization of deferred</w:t>
            </w:r>
          </w:p>
        </w:tc>
        <w:tc>
          <w:tcPr>
            <w:tcW w:w="10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3"/>
        </w:trPr>
        <w:tc>
          <w:tcPr>
            <w:tcW w:w="25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compensation...........</w:t>
            </w:r>
          </w:p>
        </w:tc>
        <w:tc>
          <w:tcPr>
            <w:tcW w:w="10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333,000</w:t>
            </w:r>
          </w:p>
        </w:tc>
        <w:tc>
          <w:tcPr>
            <w:tcW w:w="1380" w:type="dxa"/>
            <w:vAlign w:val="bottom"/>
          </w:tcPr>
          <w:p>
            <w:pPr>
              <w:jc w:val="center"/>
              <w:spacing w:after="0"/>
              <w:rPr>
                <w:sz w:val="20"/>
                <w:szCs w:val="20"/>
                <w:color w:val="auto"/>
              </w:rPr>
            </w:pPr>
            <w:r>
              <w:rPr>
                <w:rFonts w:ascii="Courier New" w:cs="Courier New" w:eastAsia="Courier New" w:hAnsi="Courier New"/>
                <w:sz w:val="16"/>
                <w:szCs w:val="16"/>
                <w:color w:val="auto"/>
                <w:w w:val="93"/>
              </w:rPr>
              <w:t>--</w:t>
            </w:r>
          </w:p>
        </w:tc>
        <w:tc>
          <w:tcPr>
            <w:tcW w:w="1380" w:type="dxa"/>
            <w:vAlign w:val="bottom"/>
          </w:tcPr>
          <w:p>
            <w:pPr>
              <w:jc w:val="right"/>
              <w:ind w:right="1"/>
              <w:spacing w:after="0"/>
              <w:rPr>
                <w:sz w:val="20"/>
                <w:szCs w:val="20"/>
                <w:color w:val="auto"/>
              </w:rPr>
            </w:pPr>
            <w:r>
              <w:rPr>
                <w:rFonts w:ascii="Courier New" w:cs="Courier New" w:eastAsia="Courier New" w:hAnsi="Courier New"/>
                <w:sz w:val="16"/>
                <w:szCs w:val="16"/>
                <w:color w:val="auto"/>
              </w:rPr>
              <w:t>333,000</w:t>
            </w:r>
          </w:p>
        </w:tc>
      </w:tr>
      <w:tr>
        <w:trPr>
          <w:trHeight w:val="183"/>
        </w:trPr>
        <w:tc>
          <w:tcPr>
            <w:tcW w:w="2520" w:type="dxa"/>
            <w:vAlign w:val="bottom"/>
          </w:tcPr>
          <w:p>
            <w:pPr>
              <w:spacing w:after="0"/>
              <w:rPr>
                <w:sz w:val="20"/>
                <w:szCs w:val="20"/>
                <w:color w:val="auto"/>
              </w:rPr>
            </w:pPr>
            <w:r>
              <w:rPr>
                <w:rFonts w:ascii="Courier New" w:cs="Courier New" w:eastAsia="Courier New" w:hAnsi="Courier New"/>
                <w:sz w:val="16"/>
                <w:szCs w:val="16"/>
                <w:color w:val="auto"/>
              </w:rPr>
              <w:t>Cancellation of stock</w:t>
            </w:r>
          </w:p>
        </w:tc>
        <w:tc>
          <w:tcPr>
            <w:tcW w:w="10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3"/>
        </w:trPr>
        <w:tc>
          <w:tcPr>
            <w:tcW w:w="25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grant..................</w:t>
            </w:r>
          </w:p>
        </w:tc>
        <w:tc>
          <w:tcPr>
            <w:tcW w:w="10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(42,000)</w:t>
            </w:r>
          </w:p>
        </w:tc>
        <w:tc>
          <w:tcPr>
            <w:tcW w:w="1380" w:type="dxa"/>
            <w:vAlign w:val="bottom"/>
          </w:tcPr>
          <w:p>
            <w:pPr>
              <w:jc w:val="center"/>
              <w:spacing w:after="0"/>
              <w:rPr>
                <w:sz w:val="20"/>
                <w:szCs w:val="20"/>
                <w:color w:val="auto"/>
              </w:rPr>
            </w:pPr>
            <w:r>
              <w:rPr>
                <w:rFonts w:ascii="Courier New" w:cs="Courier New" w:eastAsia="Courier New" w:hAnsi="Courier New"/>
                <w:sz w:val="16"/>
                <w:szCs w:val="16"/>
                <w:color w:val="auto"/>
                <w:w w:val="93"/>
              </w:rPr>
              <w:t>--</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(42,000)</w:t>
            </w:r>
          </w:p>
        </w:tc>
      </w:tr>
      <w:tr>
        <w:trPr>
          <w:trHeight w:val="183"/>
        </w:trPr>
        <w:tc>
          <w:tcPr>
            <w:tcW w:w="25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Net income...............</w:t>
            </w:r>
          </w:p>
        </w:tc>
        <w:tc>
          <w:tcPr>
            <w:tcW w:w="10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24,011,000</w:t>
            </w:r>
          </w:p>
        </w:tc>
        <w:tc>
          <w:tcPr>
            <w:tcW w:w="1380" w:type="dxa"/>
            <w:vAlign w:val="bottom"/>
          </w:tcPr>
          <w:p>
            <w:pPr>
              <w:jc w:val="right"/>
              <w:ind w:right="1"/>
              <w:spacing w:after="0"/>
              <w:rPr>
                <w:sz w:val="20"/>
                <w:szCs w:val="20"/>
                <w:color w:val="auto"/>
              </w:rPr>
            </w:pPr>
            <w:r>
              <w:rPr>
                <w:rFonts w:ascii="Courier New" w:cs="Courier New" w:eastAsia="Courier New" w:hAnsi="Courier New"/>
                <w:sz w:val="16"/>
                <w:szCs w:val="16"/>
                <w:color w:val="auto"/>
              </w:rPr>
              <w:t>24,011,000</w:t>
            </w:r>
          </w:p>
        </w:tc>
      </w:tr>
      <w:tr>
        <w:trPr>
          <w:trHeight w:val="183"/>
        </w:trPr>
        <w:tc>
          <w:tcPr>
            <w:tcW w:w="2520" w:type="dxa"/>
            <w:vAlign w:val="bottom"/>
          </w:tcPr>
          <w:p>
            <w:pPr>
              <w:spacing w:after="0"/>
              <w:rPr>
                <w:sz w:val="15"/>
                <w:szCs w:val="15"/>
                <w:color w:val="auto"/>
              </w:rPr>
            </w:pPr>
          </w:p>
        </w:tc>
        <w:tc>
          <w:tcPr>
            <w:tcW w:w="10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center"/>
              <w:spacing w:after="0"/>
              <w:rPr>
                <w:sz w:val="20"/>
                <w:szCs w:val="20"/>
                <w:color w:val="auto"/>
              </w:rPr>
            </w:pPr>
            <w:r>
              <w:rPr>
                <w:rFonts w:ascii="Courier New" w:cs="Courier New" w:eastAsia="Courier New" w:hAnsi="Courier New"/>
                <w:sz w:val="16"/>
                <w:szCs w:val="16"/>
                <w:color w:val="auto"/>
                <w:w w:val="98"/>
              </w:rPr>
              <w:t>------------</w:t>
            </w:r>
          </w:p>
        </w:tc>
        <w:tc>
          <w:tcPr>
            <w:tcW w:w="13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2520" w:type="dxa"/>
            <w:vAlign w:val="bottom"/>
          </w:tcPr>
          <w:p>
            <w:pPr>
              <w:spacing w:after="0"/>
              <w:rPr>
                <w:sz w:val="20"/>
                <w:szCs w:val="20"/>
                <w:color w:val="auto"/>
              </w:rPr>
            </w:pPr>
            <w:r>
              <w:rPr>
                <w:rFonts w:ascii="Courier New" w:cs="Courier New" w:eastAsia="Courier New" w:hAnsi="Courier New"/>
                <w:sz w:val="16"/>
                <w:szCs w:val="16"/>
                <w:color w:val="auto"/>
              </w:rPr>
              <w:t>Balance January 1,</w:t>
            </w:r>
          </w:p>
        </w:tc>
        <w:tc>
          <w:tcPr>
            <w:tcW w:w="10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3"/>
        </w:trPr>
        <w:tc>
          <w:tcPr>
            <w:tcW w:w="25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1994...................</w:t>
            </w:r>
          </w:p>
        </w:tc>
        <w:tc>
          <w:tcPr>
            <w:tcW w:w="10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11,000</w:t>
            </w:r>
          </w:p>
        </w:tc>
        <w:tc>
          <w:tcPr>
            <w:tcW w:w="11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122,000</w:t>
            </w:r>
          </w:p>
        </w:tc>
        <w:tc>
          <w:tcPr>
            <w:tcW w:w="700" w:type="dxa"/>
            <w:vAlign w:val="bottom"/>
          </w:tcPr>
          <w:p>
            <w:pPr>
              <w:spacing w:after="0"/>
              <w:rPr>
                <w:sz w:val="20"/>
                <w:szCs w:val="20"/>
                <w:color w:val="auto"/>
              </w:rPr>
            </w:pPr>
            <w:r>
              <w:rPr>
                <w:rFonts w:ascii="Courier New" w:cs="Courier New" w:eastAsia="Courier New" w:hAnsi="Courier New"/>
                <w:sz w:val="16"/>
                <w:szCs w:val="16"/>
                <w:color w:val="auto"/>
              </w:rPr>
              <w:t>1,000</w:t>
            </w:r>
          </w:p>
        </w:tc>
        <w:tc>
          <w:tcPr>
            <w:tcW w:w="9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80,878,000</w:t>
            </w: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143,476,000</w:t>
            </w:r>
          </w:p>
        </w:tc>
        <w:tc>
          <w:tcPr>
            <w:tcW w:w="1380" w:type="dxa"/>
            <w:vAlign w:val="bottom"/>
          </w:tcPr>
          <w:p>
            <w:pPr>
              <w:jc w:val="right"/>
              <w:ind w:right="1"/>
              <w:spacing w:after="0"/>
              <w:rPr>
                <w:sz w:val="20"/>
                <w:szCs w:val="20"/>
                <w:color w:val="auto"/>
              </w:rPr>
            </w:pPr>
            <w:r>
              <w:rPr>
                <w:rFonts w:ascii="Courier New" w:cs="Courier New" w:eastAsia="Courier New" w:hAnsi="Courier New"/>
                <w:sz w:val="16"/>
                <w:szCs w:val="16"/>
                <w:color w:val="auto"/>
              </w:rPr>
              <w:t>224,488,000</w:t>
            </w:r>
          </w:p>
        </w:tc>
      </w:tr>
      <w:tr>
        <w:trPr>
          <w:trHeight w:val="367"/>
        </w:trPr>
        <w:tc>
          <w:tcPr>
            <w:tcW w:w="2520" w:type="dxa"/>
            <w:vAlign w:val="bottom"/>
          </w:tcPr>
          <w:p>
            <w:pPr>
              <w:spacing w:after="0"/>
              <w:rPr>
                <w:sz w:val="20"/>
                <w:szCs w:val="20"/>
                <w:color w:val="auto"/>
              </w:rPr>
            </w:pPr>
            <w:r>
              <w:rPr>
                <w:rFonts w:ascii="Courier New" w:cs="Courier New" w:eastAsia="Courier New" w:hAnsi="Courier New"/>
                <w:sz w:val="16"/>
                <w:szCs w:val="16"/>
                <w:color w:val="auto"/>
              </w:rPr>
              <w:t>Common Stock</w:t>
            </w: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83"/>
        </w:trPr>
        <w:tc>
          <w:tcPr>
            <w:tcW w:w="25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Issued..................</w:t>
            </w:r>
          </w:p>
        </w:tc>
        <w:tc>
          <w:tcPr>
            <w:tcW w:w="10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9,000</w:t>
            </w:r>
          </w:p>
        </w:tc>
        <w:tc>
          <w:tcPr>
            <w:tcW w:w="70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20,308,000</w:t>
            </w:r>
          </w:p>
        </w:tc>
        <w:tc>
          <w:tcPr>
            <w:tcW w:w="1380" w:type="dxa"/>
            <w:vAlign w:val="bottom"/>
          </w:tcPr>
          <w:p>
            <w:pPr>
              <w:jc w:val="center"/>
              <w:spacing w:after="0"/>
              <w:rPr>
                <w:sz w:val="20"/>
                <w:szCs w:val="20"/>
                <w:color w:val="auto"/>
              </w:rPr>
            </w:pPr>
            <w:r>
              <w:rPr>
                <w:rFonts w:ascii="Courier New" w:cs="Courier New" w:eastAsia="Courier New" w:hAnsi="Courier New"/>
                <w:sz w:val="16"/>
                <w:szCs w:val="16"/>
                <w:color w:val="auto"/>
                <w:w w:val="93"/>
              </w:rPr>
              <w:t>--</w:t>
            </w:r>
          </w:p>
        </w:tc>
        <w:tc>
          <w:tcPr>
            <w:tcW w:w="1380" w:type="dxa"/>
            <w:vAlign w:val="bottom"/>
          </w:tcPr>
          <w:p>
            <w:pPr>
              <w:jc w:val="right"/>
              <w:ind w:right="1"/>
              <w:spacing w:after="0"/>
              <w:rPr>
                <w:sz w:val="20"/>
                <w:szCs w:val="20"/>
                <w:color w:val="auto"/>
              </w:rPr>
            </w:pPr>
            <w:r>
              <w:rPr>
                <w:rFonts w:ascii="Courier New" w:cs="Courier New" w:eastAsia="Courier New" w:hAnsi="Courier New"/>
                <w:sz w:val="16"/>
                <w:szCs w:val="16"/>
                <w:color w:val="auto"/>
              </w:rPr>
              <w:t>20,317,000</w:t>
            </w:r>
          </w:p>
        </w:tc>
      </w:tr>
      <w:tr>
        <w:trPr>
          <w:trHeight w:val="183"/>
        </w:trPr>
        <w:tc>
          <w:tcPr>
            <w:tcW w:w="25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Repurchased.............</w:t>
            </w:r>
          </w:p>
        </w:tc>
        <w:tc>
          <w:tcPr>
            <w:tcW w:w="10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(5,000)</w:t>
            </w:r>
          </w:p>
        </w:tc>
        <w:tc>
          <w:tcPr>
            <w:tcW w:w="70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(13,144,000)</w:t>
            </w:r>
          </w:p>
        </w:tc>
        <w:tc>
          <w:tcPr>
            <w:tcW w:w="1380" w:type="dxa"/>
            <w:vAlign w:val="bottom"/>
          </w:tcPr>
          <w:p>
            <w:pPr>
              <w:jc w:val="center"/>
              <w:spacing w:after="0"/>
              <w:rPr>
                <w:sz w:val="20"/>
                <w:szCs w:val="20"/>
                <w:color w:val="auto"/>
              </w:rPr>
            </w:pPr>
            <w:r>
              <w:rPr>
                <w:rFonts w:ascii="Courier New" w:cs="Courier New" w:eastAsia="Courier New" w:hAnsi="Courier New"/>
                <w:sz w:val="16"/>
                <w:szCs w:val="16"/>
                <w:color w:val="auto"/>
                <w:w w:val="93"/>
              </w:rPr>
              <w:t>--</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(13,149,000)</w:t>
            </w:r>
          </w:p>
        </w:tc>
      </w:tr>
      <w:tr>
        <w:trPr>
          <w:trHeight w:val="183"/>
        </w:trPr>
        <w:tc>
          <w:tcPr>
            <w:tcW w:w="2520" w:type="dxa"/>
            <w:vAlign w:val="bottom"/>
          </w:tcPr>
          <w:p>
            <w:pPr>
              <w:spacing w:after="0"/>
              <w:rPr>
                <w:sz w:val="20"/>
                <w:szCs w:val="20"/>
                <w:color w:val="auto"/>
              </w:rPr>
            </w:pPr>
            <w:r>
              <w:rPr>
                <w:rFonts w:ascii="Courier New" w:cs="Courier New" w:eastAsia="Courier New" w:hAnsi="Courier New"/>
                <w:sz w:val="16"/>
                <w:szCs w:val="16"/>
                <w:color w:val="auto"/>
              </w:rPr>
              <w:t>Amortization of deferred</w:t>
            </w:r>
          </w:p>
        </w:tc>
        <w:tc>
          <w:tcPr>
            <w:tcW w:w="10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3"/>
        </w:trPr>
        <w:tc>
          <w:tcPr>
            <w:tcW w:w="25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compensation...........</w:t>
            </w:r>
          </w:p>
        </w:tc>
        <w:tc>
          <w:tcPr>
            <w:tcW w:w="10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277,000</w:t>
            </w:r>
          </w:p>
        </w:tc>
        <w:tc>
          <w:tcPr>
            <w:tcW w:w="1380" w:type="dxa"/>
            <w:vAlign w:val="bottom"/>
          </w:tcPr>
          <w:p>
            <w:pPr>
              <w:jc w:val="center"/>
              <w:spacing w:after="0"/>
              <w:rPr>
                <w:sz w:val="20"/>
                <w:szCs w:val="20"/>
                <w:color w:val="auto"/>
              </w:rPr>
            </w:pPr>
            <w:r>
              <w:rPr>
                <w:rFonts w:ascii="Courier New" w:cs="Courier New" w:eastAsia="Courier New" w:hAnsi="Courier New"/>
                <w:sz w:val="16"/>
                <w:szCs w:val="16"/>
                <w:color w:val="auto"/>
                <w:w w:val="93"/>
              </w:rPr>
              <w:t>--</w:t>
            </w:r>
          </w:p>
        </w:tc>
        <w:tc>
          <w:tcPr>
            <w:tcW w:w="1380" w:type="dxa"/>
            <w:vAlign w:val="bottom"/>
          </w:tcPr>
          <w:p>
            <w:pPr>
              <w:jc w:val="right"/>
              <w:ind w:right="1"/>
              <w:spacing w:after="0"/>
              <w:rPr>
                <w:sz w:val="20"/>
                <w:szCs w:val="20"/>
                <w:color w:val="auto"/>
              </w:rPr>
            </w:pPr>
            <w:r>
              <w:rPr>
                <w:rFonts w:ascii="Courier New" w:cs="Courier New" w:eastAsia="Courier New" w:hAnsi="Courier New"/>
                <w:sz w:val="16"/>
                <w:szCs w:val="16"/>
                <w:color w:val="auto"/>
              </w:rPr>
              <w:t>277,000</w:t>
            </w:r>
          </w:p>
        </w:tc>
      </w:tr>
      <w:tr>
        <w:trPr>
          <w:trHeight w:val="183"/>
        </w:trPr>
        <w:tc>
          <w:tcPr>
            <w:tcW w:w="2520" w:type="dxa"/>
            <w:vAlign w:val="bottom"/>
          </w:tcPr>
          <w:p>
            <w:pPr>
              <w:spacing w:after="0"/>
              <w:rPr>
                <w:sz w:val="20"/>
                <w:szCs w:val="20"/>
                <w:color w:val="auto"/>
              </w:rPr>
            </w:pPr>
            <w:r>
              <w:rPr>
                <w:rFonts w:ascii="Courier New" w:cs="Courier New" w:eastAsia="Courier New" w:hAnsi="Courier New"/>
                <w:sz w:val="16"/>
                <w:szCs w:val="16"/>
                <w:color w:val="auto"/>
              </w:rPr>
              <w:t>Cancellation of stock</w:t>
            </w:r>
          </w:p>
        </w:tc>
        <w:tc>
          <w:tcPr>
            <w:tcW w:w="10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3"/>
        </w:trPr>
        <w:tc>
          <w:tcPr>
            <w:tcW w:w="25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grant..................</w:t>
            </w:r>
          </w:p>
        </w:tc>
        <w:tc>
          <w:tcPr>
            <w:tcW w:w="10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(24,000)</w:t>
            </w:r>
          </w:p>
        </w:tc>
        <w:tc>
          <w:tcPr>
            <w:tcW w:w="1380" w:type="dxa"/>
            <w:vAlign w:val="bottom"/>
          </w:tcPr>
          <w:p>
            <w:pPr>
              <w:jc w:val="center"/>
              <w:spacing w:after="0"/>
              <w:rPr>
                <w:sz w:val="20"/>
                <w:szCs w:val="20"/>
                <w:color w:val="auto"/>
              </w:rPr>
            </w:pPr>
            <w:r>
              <w:rPr>
                <w:rFonts w:ascii="Courier New" w:cs="Courier New" w:eastAsia="Courier New" w:hAnsi="Courier New"/>
                <w:sz w:val="16"/>
                <w:szCs w:val="16"/>
                <w:color w:val="auto"/>
                <w:w w:val="93"/>
              </w:rPr>
              <w:t>--</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(24,000)</w:t>
            </w:r>
          </w:p>
        </w:tc>
      </w:tr>
      <w:tr>
        <w:trPr>
          <w:trHeight w:val="183"/>
        </w:trPr>
        <w:tc>
          <w:tcPr>
            <w:tcW w:w="25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Net income...............</w:t>
            </w:r>
          </w:p>
        </w:tc>
        <w:tc>
          <w:tcPr>
            <w:tcW w:w="10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28,720,000</w:t>
            </w:r>
          </w:p>
        </w:tc>
        <w:tc>
          <w:tcPr>
            <w:tcW w:w="1380" w:type="dxa"/>
            <w:vAlign w:val="bottom"/>
          </w:tcPr>
          <w:p>
            <w:pPr>
              <w:jc w:val="right"/>
              <w:ind w:right="1"/>
              <w:spacing w:after="0"/>
              <w:rPr>
                <w:sz w:val="20"/>
                <w:szCs w:val="20"/>
                <w:color w:val="auto"/>
              </w:rPr>
            </w:pPr>
            <w:r>
              <w:rPr>
                <w:rFonts w:ascii="Courier New" w:cs="Courier New" w:eastAsia="Courier New" w:hAnsi="Courier New"/>
                <w:sz w:val="16"/>
                <w:szCs w:val="16"/>
                <w:color w:val="auto"/>
              </w:rPr>
              <w:t>28,720,000</w:t>
            </w:r>
          </w:p>
        </w:tc>
      </w:tr>
      <w:tr>
        <w:trPr>
          <w:trHeight w:val="183"/>
        </w:trPr>
        <w:tc>
          <w:tcPr>
            <w:tcW w:w="2520" w:type="dxa"/>
            <w:vAlign w:val="bottom"/>
          </w:tcPr>
          <w:p>
            <w:pPr>
              <w:spacing w:after="0"/>
              <w:rPr>
                <w:sz w:val="15"/>
                <w:szCs w:val="15"/>
                <w:color w:val="auto"/>
              </w:rPr>
            </w:pPr>
          </w:p>
        </w:tc>
        <w:tc>
          <w:tcPr>
            <w:tcW w:w="10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center"/>
              <w:spacing w:after="0"/>
              <w:rPr>
                <w:sz w:val="20"/>
                <w:szCs w:val="20"/>
                <w:color w:val="auto"/>
              </w:rPr>
            </w:pPr>
            <w:r>
              <w:rPr>
                <w:rFonts w:ascii="Courier New" w:cs="Courier New" w:eastAsia="Courier New" w:hAnsi="Courier New"/>
                <w:sz w:val="16"/>
                <w:szCs w:val="16"/>
                <w:color w:val="auto"/>
                <w:w w:val="98"/>
              </w:rPr>
              <w:t>------------</w:t>
            </w:r>
          </w:p>
        </w:tc>
        <w:tc>
          <w:tcPr>
            <w:tcW w:w="13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2520" w:type="dxa"/>
            <w:vAlign w:val="bottom"/>
          </w:tcPr>
          <w:p>
            <w:pPr>
              <w:spacing w:after="0"/>
              <w:rPr>
                <w:sz w:val="20"/>
                <w:szCs w:val="20"/>
                <w:color w:val="auto"/>
              </w:rPr>
            </w:pPr>
            <w:r>
              <w:rPr>
                <w:rFonts w:ascii="Courier New" w:cs="Courier New" w:eastAsia="Courier New" w:hAnsi="Courier New"/>
                <w:sz w:val="16"/>
                <w:szCs w:val="16"/>
                <w:color w:val="auto"/>
              </w:rPr>
              <w:t>Balance January 1,</w:t>
            </w:r>
          </w:p>
        </w:tc>
        <w:tc>
          <w:tcPr>
            <w:tcW w:w="10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3"/>
        </w:trPr>
        <w:tc>
          <w:tcPr>
            <w:tcW w:w="25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1995...................</w:t>
            </w:r>
          </w:p>
        </w:tc>
        <w:tc>
          <w:tcPr>
            <w:tcW w:w="10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11,000</w:t>
            </w:r>
          </w:p>
        </w:tc>
        <w:tc>
          <w:tcPr>
            <w:tcW w:w="11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126,000</w:t>
            </w:r>
          </w:p>
        </w:tc>
        <w:tc>
          <w:tcPr>
            <w:tcW w:w="700" w:type="dxa"/>
            <w:vAlign w:val="bottom"/>
          </w:tcPr>
          <w:p>
            <w:pPr>
              <w:spacing w:after="0"/>
              <w:rPr>
                <w:sz w:val="20"/>
                <w:szCs w:val="20"/>
                <w:color w:val="auto"/>
              </w:rPr>
            </w:pPr>
            <w:r>
              <w:rPr>
                <w:rFonts w:ascii="Courier New" w:cs="Courier New" w:eastAsia="Courier New" w:hAnsi="Courier New"/>
                <w:sz w:val="16"/>
                <w:szCs w:val="16"/>
                <w:color w:val="auto"/>
              </w:rPr>
              <w:t>1,000</w:t>
            </w:r>
          </w:p>
        </w:tc>
        <w:tc>
          <w:tcPr>
            <w:tcW w:w="9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88,295,000</w:t>
            </w: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172,196,000</w:t>
            </w:r>
          </w:p>
        </w:tc>
        <w:tc>
          <w:tcPr>
            <w:tcW w:w="1380" w:type="dxa"/>
            <w:vAlign w:val="bottom"/>
          </w:tcPr>
          <w:p>
            <w:pPr>
              <w:jc w:val="right"/>
              <w:ind w:right="1"/>
              <w:spacing w:after="0"/>
              <w:rPr>
                <w:sz w:val="20"/>
                <w:szCs w:val="20"/>
                <w:color w:val="auto"/>
              </w:rPr>
            </w:pPr>
            <w:r>
              <w:rPr>
                <w:rFonts w:ascii="Courier New" w:cs="Courier New" w:eastAsia="Courier New" w:hAnsi="Courier New"/>
                <w:sz w:val="16"/>
                <w:szCs w:val="16"/>
                <w:color w:val="auto"/>
              </w:rPr>
              <w:t>260,629,000</w:t>
            </w:r>
          </w:p>
        </w:tc>
      </w:tr>
      <w:tr>
        <w:trPr>
          <w:trHeight w:val="367"/>
        </w:trPr>
        <w:tc>
          <w:tcPr>
            <w:tcW w:w="2520" w:type="dxa"/>
            <w:vAlign w:val="bottom"/>
          </w:tcPr>
          <w:p>
            <w:pPr>
              <w:spacing w:after="0"/>
              <w:rPr>
                <w:sz w:val="20"/>
                <w:szCs w:val="20"/>
                <w:color w:val="auto"/>
              </w:rPr>
            </w:pPr>
            <w:r>
              <w:rPr>
                <w:rFonts w:ascii="Courier New" w:cs="Courier New" w:eastAsia="Courier New" w:hAnsi="Courier New"/>
                <w:sz w:val="16"/>
                <w:szCs w:val="16"/>
                <w:color w:val="auto"/>
              </w:rPr>
              <w:t>Common Stock</w:t>
            </w: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83"/>
        </w:trPr>
        <w:tc>
          <w:tcPr>
            <w:tcW w:w="25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Issued..................</w:t>
            </w:r>
          </w:p>
        </w:tc>
        <w:tc>
          <w:tcPr>
            <w:tcW w:w="10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1,000</w:t>
            </w:r>
          </w:p>
        </w:tc>
        <w:tc>
          <w:tcPr>
            <w:tcW w:w="70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1,117,000</w:t>
            </w:r>
          </w:p>
        </w:tc>
        <w:tc>
          <w:tcPr>
            <w:tcW w:w="1380" w:type="dxa"/>
            <w:vAlign w:val="bottom"/>
          </w:tcPr>
          <w:p>
            <w:pPr>
              <w:jc w:val="center"/>
              <w:spacing w:after="0"/>
              <w:rPr>
                <w:sz w:val="20"/>
                <w:szCs w:val="20"/>
                <w:color w:val="auto"/>
              </w:rPr>
            </w:pPr>
            <w:r>
              <w:rPr>
                <w:rFonts w:ascii="Courier New" w:cs="Courier New" w:eastAsia="Courier New" w:hAnsi="Courier New"/>
                <w:sz w:val="16"/>
                <w:szCs w:val="16"/>
                <w:color w:val="auto"/>
                <w:w w:val="93"/>
              </w:rPr>
              <w:t>--</w:t>
            </w:r>
          </w:p>
        </w:tc>
        <w:tc>
          <w:tcPr>
            <w:tcW w:w="13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1,118,000</w:t>
            </w:r>
          </w:p>
        </w:tc>
      </w:tr>
      <w:tr>
        <w:trPr>
          <w:trHeight w:val="183"/>
        </w:trPr>
        <w:tc>
          <w:tcPr>
            <w:tcW w:w="2520" w:type="dxa"/>
            <w:vAlign w:val="bottom"/>
          </w:tcPr>
          <w:p>
            <w:pPr>
              <w:spacing w:after="0"/>
              <w:rPr>
                <w:sz w:val="20"/>
                <w:szCs w:val="20"/>
                <w:color w:val="auto"/>
              </w:rPr>
            </w:pPr>
            <w:r>
              <w:rPr>
                <w:rFonts w:ascii="Courier New" w:cs="Courier New" w:eastAsia="Courier New" w:hAnsi="Courier New"/>
                <w:sz w:val="16"/>
                <w:szCs w:val="16"/>
                <w:color w:val="auto"/>
              </w:rPr>
              <w:t>Amortization of deferred</w:t>
            </w:r>
          </w:p>
        </w:tc>
        <w:tc>
          <w:tcPr>
            <w:tcW w:w="10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3"/>
        </w:trPr>
        <w:tc>
          <w:tcPr>
            <w:tcW w:w="25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compensation...........</w:t>
            </w:r>
          </w:p>
        </w:tc>
        <w:tc>
          <w:tcPr>
            <w:tcW w:w="10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469,000</w:t>
            </w:r>
          </w:p>
        </w:tc>
        <w:tc>
          <w:tcPr>
            <w:tcW w:w="1380" w:type="dxa"/>
            <w:vAlign w:val="bottom"/>
          </w:tcPr>
          <w:p>
            <w:pPr>
              <w:jc w:val="center"/>
              <w:spacing w:after="0"/>
              <w:rPr>
                <w:sz w:val="20"/>
                <w:szCs w:val="20"/>
                <w:color w:val="auto"/>
              </w:rPr>
            </w:pPr>
            <w:r>
              <w:rPr>
                <w:rFonts w:ascii="Courier New" w:cs="Courier New" w:eastAsia="Courier New" w:hAnsi="Courier New"/>
                <w:sz w:val="16"/>
                <w:szCs w:val="16"/>
                <w:color w:val="auto"/>
                <w:w w:val="93"/>
              </w:rPr>
              <w:t>--</w:t>
            </w:r>
          </w:p>
        </w:tc>
        <w:tc>
          <w:tcPr>
            <w:tcW w:w="1380" w:type="dxa"/>
            <w:vAlign w:val="bottom"/>
          </w:tcPr>
          <w:p>
            <w:pPr>
              <w:jc w:val="right"/>
              <w:ind w:right="1"/>
              <w:spacing w:after="0"/>
              <w:rPr>
                <w:sz w:val="20"/>
                <w:szCs w:val="20"/>
                <w:color w:val="auto"/>
              </w:rPr>
            </w:pPr>
            <w:r>
              <w:rPr>
                <w:rFonts w:ascii="Courier New" w:cs="Courier New" w:eastAsia="Courier New" w:hAnsi="Courier New"/>
                <w:sz w:val="16"/>
                <w:szCs w:val="16"/>
                <w:color w:val="auto"/>
              </w:rPr>
              <w:t>469,000</w:t>
            </w:r>
          </w:p>
        </w:tc>
      </w:tr>
      <w:tr>
        <w:trPr>
          <w:trHeight w:val="183"/>
        </w:trPr>
        <w:tc>
          <w:tcPr>
            <w:tcW w:w="25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Net income...............</w:t>
            </w:r>
          </w:p>
        </w:tc>
        <w:tc>
          <w:tcPr>
            <w:tcW w:w="10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35,484,000</w:t>
            </w:r>
          </w:p>
        </w:tc>
        <w:tc>
          <w:tcPr>
            <w:tcW w:w="1380" w:type="dxa"/>
            <w:vAlign w:val="bottom"/>
          </w:tcPr>
          <w:p>
            <w:pPr>
              <w:jc w:val="right"/>
              <w:ind w:right="1"/>
              <w:spacing w:after="0"/>
              <w:rPr>
                <w:sz w:val="20"/>
                <w:szCs w:val="20"/>
                <w:color w:val="auto"/>
              </w:rPr>
            </w:pPr>
            <w:r>
              <w:rPr>
                <w:rFonts w:ascii="Courier New" w:cs="Courier New" w:eastAsia="Courier New" w:hAnsi="Courier New"/>
                <w:sz w:val="16"/>
                <w:szCs w:val="16"/>
                <w:color w:val="auto"/>
              </w:rPr>
              <w:t>35,484,000</w:t>
            </w:r>
          </w:p>
        </w:tc>
      </w:tr>
      <w:tr>
        <w:trPr>
          <w:trHeight w:val="183"/>
        </w:trPr>
        <w:tc>
          <w:tcPr>
            <w:tcW w:w="2520" w:type="dxa"/>
            <w:vAlign w:val="bottom"/>
          </w:tcPr>
          <w:p>
            <w:pPr>
              <w:spacing w:after="0"/>
              <w:rPr>
                <w:sz w:val="15"/>
                <w:szCs w:val="15"/>
                <w:color w:val="auto"/>
              </w:rPr>
            </w:pPr>
          </w:p>
        </w:tc>
        <w:tc>
          <w:tcPr>
            <w:tcW w:w="10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center"/>
              <w:spacing w:after="0"/>
              <w:rPr>
                <w:sz w:val="20"/>
                <w:szCs w:val="20"/>
                <w:color w:val="auto"/>
              </w:rPr>
            </w:pPr>
            <w:r>
              <w:rPr>
                <w:rFonts w:ascii="Courier New" w:cs="Courier New" w:eastAsia="Courier New" w:hAnsi="Courier New"/>
                <w:sz w:val="16"/>
                <w:szCs w:val="16"/>
                <w:color w:val="auto"/>
                <w:w w:val="98"/>
              </w:rPr>
              <w:t>------------</w:t>
            </w:r>
          </w:p>
        </w:tc>
        <w:tc>
          <w:tcPr>
            <w:tcW w:w="13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7"/>
        </w:trPr>
        <w:tc>
          <w:tcPr>
            <w:tcW w:w="2520" w:type="dxa"/>
            <w:vAlign w:val="bottom"/>
          </w:tcPr>
          <w:p>
            <w:pPr>
              <w:spacing w:after="0"/>
              <w:rPr>
                <w:sz w:val="20"/>
                <w:szCs w:val="20"/>
                <w:color w:val="auto"/>
              </w:rPr>
            </w:pPr>
            <w:r>
              <w:rPr>
                <w:rFonts w:ascii="Courier New" w:cs="Courier New" w:eastAsia="Courier New" w:hAnsi="Courier New"/>
                <w:sz w:val="16"/>
                <w:szCs w:val="16"/>
                <w:color w:val="auto"/>
              </w:rPr>
              <w:t>Balance December 31,</w:t>
            </w: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83"/>
        </w:trPr>
        <w:tc>
          <w:tcPr>
            <w:tcW w:w="25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1995...................</w:t>
            </w:r>
          </w:p>
        </w:tc>
        <w:tc>
          <w:tcPr>
            <w:tcW w:w="10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$11,000</w:t>
            </w:r>
          </w:p>
        </w:tc>
        <w:tc>
          <w:tcPr>
            <w:tcW w:w="11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$127,000</w:t>
            </w:r>
          </w:p>
        </w:tc>
        <w:tc>
          <w:tcPr>
            <w:tcW w:w="700" w:type="dxa"/>
            <w:vAlign w:val="bottom"/>
          </w:tcPr>
          <w:p>
            <w:pPr>
              <w:spacing w:after="0"/>
              <w:rPr>
                <w:sz w:val="20"/>
                <w:szCs w:val="20"/>
                <w:color w:val="auto"/>
              </w:rPr>
            </w:pPr>
            <w:r>
              <w:rPr>
                <w:rFonts w:ascii="Courier New" w:cs="Courier New" w:eastAsia="Courier New" w:hAnsi="Courier New"/>
                <w:sz w:val="16"/>
                <w:szCs w:val="16"/>
                <w:color w:val="auto"/>
              </w:rPr>
              <w:t>$1,000</w:t>
            </w:r>
          </w:p>
        </w:tc>
        <w:tc>
          <w:tcPr>
            <w:tcW w:w="9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$89,881,000</w:t>
            </w:r>
          </w:p>
        </w:tc>
        <w:tc>
          <w:tcPr>
            <w:tcW w:w="1380" w:type="dxa"/>
            <w:vAlign w:val="bottom"/>
          </w:tcPr>
          <w:p>
            <w:pPr>
              <w:jc w:val="center"/>
              <w:spacing w:after="0"/>
              <w:rPr>
                <w:sz w:val="20"/>
                <w:szCs w:val="20"/>
                <w:color w:val="auto"/>
              </w:rPr>
            </w:pPr>
            <w:r>
              <w:rPr>
                <w:rFonts w:ascii="Courier New" w:cs="Courier New" w:eastAsia="Courier New" w:hAnsi="Courier New"/>
                <w:sz w:val="16"/>
                <w:szCs w:val="16"/>
                <w:color w:val="auto"/>
                <w:w w:val="98"/>
              </w:rPr>
              <w:t>$207,680,000</w:t>
            </w:r>
          </w:p>
        </w:tc>
        <w:tc>
          <w:tcPr>
            <w:tcW w:w="1380" w:type="dxa"/>
            <w:vAlign w:val="bottom"/>
          </w:tcPr>
          <w:p>
            <w:pPr>
              <w:jc w:val="right"/>
              <w:ind w:right="1"/>
              <w:spacing w:after="0"/>
              <w:rPr>
                <w:sz w:val="20"/>
                <w:szCs w:val="20"/>
                <w:color w:val="auto"/>
              </w:rPr>
            </w:pPr>
            <w:r>
              <w:rPr>
                <w:rFonts w:ascii="Courier New" w:cs="Courier New" w:eastAsia="Courier New" w:hAnsi="Courier New"/>
                <w:sz w:val="16"/>
                <w:szCs w:val="16"/>
                <w:color w:val="auto"/>
              </w:rPr>
              <w:t>$297,700,000</w:t>
            </w:r>
          </w:p>
        </w:tc>
      </w:tr>
      <w:tr>
        <w:trPr>
          <w:trHeight w:val="183"/>
        </w:trPr>
        <w:tc>
          <w:tcPr>
            <w:tcW w:w="2520" w:type="dxa"/>
            <w:vAlign w:val="bottom"/>
          </w:tcPr>
          <w:p>
            <w:pPr>
              <w:spacing w:after="0"/>
              <w:rPr>
                <w:sz w:val="15"/>
                <w:szCs w:val="15"/>
                <w:color w:val="auto"/>
              </w:rPr>
            </w:pPr>
          </w:p>
        </w:tc>
        <w:tc>
          <w:tcPr>
            <w:tcW w:w="10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center"/>
              <w:spacing w:after="0"/>
              <w:rPr>
                <w:sz w:val="20"/>
                <w:szCs w:val="20"/>
                <w:color w:val="auto"/>
              </w:rPr>
            </w:pPr>
            <w:r>
              <w:rPr>
                <w:rFonts w:ascii="Courier New" w:cs="Courier New" w:eastAsia="Courier New" w:hAnsi="Courier New"/>
                <w:sz w:val="16"/>
                <w:szCs w:val="16"/>
                <w:color w:val="auto"/>
                <w:w w:val="98"/>
              </w:rPr>
              <w:t>------------</w:t>
            </w:r>
          </w:p>
        </w:tc>
        <w:tc>
          <w:tcPr>
            <w:tcW w:w="13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2520" w:type="dxa"/>
            <w:vAlign w:val="bottom"/>
          </w:tcPr>
          <w:p>
            <w:pPr>
              <w:spacing w:after="0"/>
              <w:rPr>
                <w:sz w:val="15"/>
                <w:szCs w:val="15"/>
                <w:color w:val="auto"/>
              </w:rPr>
            </w:pPr>
          </w:p>
        </w:tc>
        <w:tc>
          <w:tcPr>
            <w:tcW w:w="10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center"/>
              <w:spacing w:after="0"/>
              <w:rPr>
                <w:sz w:val="20"/>
                <w:szCs w:val="20"/>
                <w:color w:val="auto"/>
              </w:rPr>
            </w:pPr>
            <w:r>
              <w:rPr>
                <w:rFonts w:ascii="Courier New" w:cs="Courier New" w:eastAsia="Courier New" w:hAnsi="Courier New"/>
                <w:sz w:val="16"/>
                <w:szCs w:val="16"/>
                <w:color w:val="auto"/>
                <w:w w:val="98"/>
              </w:rPr>
              <w:t>------------</w:t>
            </w:r>
          </w:p>
        </w:tc>
        <w:tc>
          <w:tcPr>
            <w:tcW w:w="13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bl>
    <w:p>
      <w:pPr>
        <w:spacing w:after="0" w:line="369" w:lineRule="exact"/>
        <w:rPr>
          <w:sz w:val="20"/>
          <w:szCs w:val="20"/>
          <w:color w:val="auto"/>
        </w:rPr>
      </w:pPr>
    </w:p>
    <w:p>
      <w:pPr>
        <w:jc w:val="center"/>
        <w:ind w:right="2940"/>
        <w:spacing w:after="0"/>
        <w:rPr>
          <w:sz w:val="20"/>
          <w:szCs w:val="20"/>
          <w:color w:val="auto"/>
        </w:rPr>
      </w:pPr>
      <w:r>
        <w:rPr>
          <w:rFonts w:ascii="Courier New" w:cs="Courier New" w:eastAsia="Courier New" w:hAnsi="Courier New"/>
          <w:sz w:val="16"/>
          <w:szCs w:val="16"/>
          <w:color w:val="auto"/>
        </w:rPr>
        <w:t>The accompanying notes are an integral part of these consolidated financial</w:t>
      </w:r>
    </w:p>
    <w:p>
      <w:pPr>
        <w:spacing w:after="0" w:line="2" w:lineRule="exact"/>
        <w:rPr>
          <w:sz w:val="20"/>
          <w:szCs w:val="20"/>
          <w:color w:val="auto"/>
        </w:rPr>
      </w:pPr>
    </w:p>
    <w:p>
      <w:pPr>
        <w:jc w:val="center"/>
        <w:ind w:right="2940"/>
        <w:spacing w:after="0"/>
        <w:rPr>
          <w:sz w:val="20"/>
          <w:szCs w:val="20"/>
          <w:color w:val="auto"/>
        </w:rPr>
      </w:pPr>
      <w:r>
        <w:rPr>
          <w:rFonts w:ascii="Courier New" w:cs="Courier New" w:eastAsia="Courier New" w:hAnsi="Courier New"/>
          <w:sz w:val="16"/>
          <w:szCs w:val="16"/>
          <w:color w:val="auto"/>
        </w:rPr>
        <w:t>statements.</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F-5</w:t>
      </w:r>
    </w:p>
    <w:p>
      <w:pPr>
        <w:sectPr>
          <w:pgSz w:w="11900" w:h="16838" w:orient="portrait"/>
          <w:cols w:equalWidth="0" w:num="1">
            <w:col w:w="10480"/>
          </w:cols>
          <w:pgMar w:left="240" w:top="481" w:right="1179" w:bottom="1440" w:gutter="0" w:footer="0" w:header="0"/>
        </w:sectPr>
      </w:pPr>
    </w:p>
    <w:bookmarkStart w:id="55" w:name="page56"/>
    <w:bookmarkEnd w:id="55"/>
    <w:p>
      <w:pPr>
        <w:ind w:left="2200"/>
        <w:spacing w:after="0"/>
        <w:rPr>
          <w:sz w:val="20"/>
          <w:szCs w:val="20"/>
          <w:color w:val="auto"/>
        </w:rPr>
      </w:pPr>
      <w:r>
        <w:rPr>
          <w:rFonts w:ascii="Courier New" w:cs="Courier New" w:eastAsia="Courier New" w:hAnsi="Courier New"/>
          <w:sz w:val="16"/>
          <w:szCs w:val="16"/>
          <w:color w:val="auto"/>
        </w:rPr>
        <w:t>UNIVERSAL HEALTH SERVICES, INC. AND SUBSIDIARIES</w:t>
      </w:r>
    </w:p>
    <w:p>
      <w:pPr>
        <w:spacing w:after="0" w:line="2"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CONSOLIDATED STATEMENTS OF CASH FLOWS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340" w:type="dxa"/>
            <w:vAlign w:val="bottom"/>
            <w:gridSpan w:val="3"/>
          </w:tcPr>
          <w:p>
            <w:pPr>
              <w:jc w:val="right"/>
              <w:ind w:right="741"/>
              <w:spacing w:after="0"/>
              <w:rPr>
                <w:sz w:val="20"/>
                <w:szCs w:val="20"/>
                <w:color w:val="auto"/>
              </w:rPr>
            </w:pPr>
            <w:r>
              <w:rPr>
                <w:rFonts w:ascii="Courier New" w:cs="Courier New" w:eastAsia="Courier New" w:hAnsi="Courier New"/>
                <w:sz w:val="16"/>
                <w:szCs w:val="16"/>
                <w:color w:val="auto"/>
              </w:rPr>
              <w:t>YEAR ENDED DECEMBER 31</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734"/>
        </w:trPr>
        <w:tc>
          <w:tcPr>
            <w:tcW w:w="4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jc w:val="center"/>
              <w:ind w:right="461"/>
              <w:spacing w:after="0"/>
              <w:rPr>
                <w:sz w:val="20"/>
                <w:szCs w:val="20"/>
                <w:color w:val="auto"/>
              </w:rPr>
            </w:pPr>
            <w:r>
              <w:rPr>
                <w:rFonts w:ascii="Courier New" w:cs="Courier New" w:eastAsia="Courier New" w:hAnsi="Courier New"/>
                <w:sz w:val="16"/>
                <w:szCs w:val="16"/>
                <w:color w:val="auto"/>
                <w:w w:val="98"/>
              </w:rPr>
              <w:t>1993</w:t>
            </w:r>
          </w:p>
        </w:tc>
        <w:tc>
          <w:tcPr>
            <w:tcW w:w="240" w:type="dxa"/>
            <w:vAlign w:val="bottom"/>
          </w:tcPr>
          <w:p>
            <w:pPr>
              <w:spacing w:after="0"/>
              <w:rPr>
                <w:sz w:val="24"/>
                <w:szCs w:val="24"/>
                <w:color w:val="auto"/>
              </w:rPr>
            </w:pPr>
          </w:p>
        </w:tc>
        <w:tc>
          <w:tcPr>
            <w:tcW w:w="12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1994</w:t>
            </w:r>
          </w:p>
        </w:tc>
        <w:tc>
          <w:tcPr>
            <w:tcW w:w="240" w:type="dxa"/>
            <w:vAlign w:val="bottom"/>
          </w:tcPr>
          <w:p>
            <w:pPr>
              <w:spacing w:after="0"/>
              <w:rPr>
                <w:sz w:val="24"/>
                <w:szCs w:val="24"/>
                <w:color w:val="auto"/>
              </w:rPr>
            </w:pPr>
          </w:p>
        </w:tc>
        <w:tc>
          <w:tcPr>
            <w:tcW w:w="1140" w:type="dxa"/>
            <w:vAlign w:val="bottom"/>
          </w:tcPr>
          <w:p>
            <w:pPr>
              <w:jc w:val="center"/>
              <w:ind w:right="81"/>
              <w:spacing w:after="0"/>
              <w:rPr>
                <w:sz w:val="20"/>
                <w:szCs w:val="20"/>
                <w:color w:val="auto"/>
              </w:rPr>
            </w:pPr>
            <w:r>
              <w:rPr>
                <w:rFonts w:ascii="Courier New" w:cs="Courier New" w:eastAsia="Courier New" w:hAnsi="Courier New"/>
                <w:sz w:val="16"/>
                <w:szCs w:val="16"/>
                <w:color w:val="auto"/>
                <w:w w:val="98"/>
              </w:rPr>
              <w:t>1995</w:t>
            </w:r>
          </w:p>
        </w:tc>
      </w:tr>
      <w:tr>
        <w:trPr>
          <w:trHeight w:val="183"/>
        </w:trPr>
        <w:tc>
          <w:tcPr>
            <w:tcW w:w="4720" w:type="dxa"/>
            <w:vAlign w:val="bottom"/>
          </w:tcPr>
          <w:p>
            <w:pPr>
              <w:spacing w:after="0"/>
              <w:rPr>
                <w:sz w:val="15"/>
                <w:szCs w:val="15"/>
                <w:color w:val="auto"/>
              </w:rPr>
            </w:pPr>
          </w:p>
        </w:tc>
        <w:tc>
          <w:tcPr>
            <w:tcW w:w="16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7"/>
        </w:trPr>
        <w:tc>
          <w:tcPr>
            <w:tcW w:w="472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83"/>
        </w:trPr>
        <w:tc>
          <w:tcPr>
            <w:tcW w:w="4720" w:type="dxa"/>
            <w:vAlign w:val="bottom"/>
          </w:tcPr>
          <w:p>
            <w:pPr>
              <w:ind w:left="180"/>
              <w:spacing w:after="0"/>
              <w:rPr>
                <w:sz w:val="20"/>
                <w:szCs w:val="20"/>
                <w:color w:val="auto"/>
              </w:rPr>
            </w:pPr>
            <w:r>
              <w:rPr>
                <w:rFonts w:ascii="Courier New" w:cs="Courier New" w:eastAsia="Courier New" w:hAnsi="Courier New"/>
                <w:sz w:val="16"/>
                <w:szCs w:val="16"/>
                <w:color w:val="auto"/>
              </w:rPr>
              <w:t>Net income....................................</w:t>
            </w:r>
          </w:p>
        </w:tc>
        <w:tc>
          <w:tcPr>
            <w:tcW w:w="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24,011,000</w:t>
            </w:r>
          </w:p>
        </w:tc>
        <w:tc>
          <w:tcPr>
            <w:tcW w:w="15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$ 28,720,000</w:t>
            </w:r>
          </w:p>
        </w:tc>
        <w:tc>
          <w:tcPr>
            <w:tcW w:w="13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$ 35,484,000</w:t>
            </w:r>
          </w:p>
        </w:tc>
      </w:tr>
      <w:tr>
        <w:trPr>
          <w:trHeight w:val="183"/>
        </w:trPr>
        <w:tc>
          <w:tcPr>
            <w:tcW w:w="4720" w:type="dxa"/>
            <w:vAlign w:val="bottom"/>
          </w:tcPr>
          <w:p>
            <w:pPr>
              <w:ind w:left="180"/>
              <w:spacing w:after="0"/>
              <w:rPr>
                <w:sz w:val="20"/>
                <w:szCs w:val="20"/>
                <w:color w:val="auto"/>
              </w:rPr>
            </w:pPr>
            <w:r>
              <w:rPr>
                <w:rFonts w:ascii="Courier New" w:cs="Courier New" w:eastAsia="Courier New" w:hAnsi="Courier New"/>
                <w:sz w:val="16"/>
                <w:szCs w:val="16"/>
                <w:color w:val="auto"/>
              </w:rPr>
              <w:t>Adjustments to reconcile net income to net</w:t>
            </w:r>
          </w:p>
        </w:tc>
        <w:tc>
          <w:tcPr>
            <w:tcW w:w="3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472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cash provided by operating activities:</w:t>
            </w:r>
          </w:p>
        </w:tc>
        <w:tc>
          <w:tcPr>
            <w:tcW w:w="3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4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Depreciation and amortization...............</w:t>
            </w:r>
          </w:p>
        </w:tc>
        <w:tc>
          <w:tcPr>
            <w:tcW w:w="3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39,599,000</w:t>
            </w:r>
          </w:p>
        </w:tc>
        <w:tc>
          <w:tcPr>
            <w:tcW w:w="2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42,383,000</w:t>
            </w:r>
          </w:p>
        </w:tc>
        <w:tc>
          <w:tcPr>
            <w:tcW w:w="240" w:type="dxa"/>
            <w:vAlign w:val="bottom"/>
          </w:tcPr>
          <w:p>
            <w:pPr>
              <w:spacing w:after="0"/>
              <w:rPr>
                <w:sz w:val="15"/>
                <w:szCs w:val="15"/>
                <w:color w:val="auto"/>
              </w:rPr>
            </w:pPr>
          </w:p>
        </w:tc>
        <w:tc>
          <w:tcPr>
            <w:tcW w:w="1140" w:type="dxa"/>
            <w:vAlign w:val="bottom"/>
          </w:tcPr>
          <w:p>
            <w:pPr>
              <w:jc w:val="right"/>
              <w:ind w:right="1"/>
              <w:spacing w:after="0"/>
              <w:rPr>
                <w:sz w:val="20"/>
                <w:szCs w:val="20"/>
                <w:color w:val="auto"/>
              </w:rPr>
            </w:pPr>
            <w:r>
              <w:rPr>
                <w:rFonts w:ascii="Courier New" w:cs="Courier New" w:eastAsia="Courier New" w:hAnsi="Courier New"/>
                <w:sz w:val="16"/>
                <w:szCs w:val="16"/>
                <w:color w:val="auto"/>
              </w:rPr>
              <w:t>51,371,000</w:t>
            </w:r>
          </w:p>
        </w:tc>
      </w:tr>
      <w:tr>
        <w:trPr>
          <w:trHeight w:val="183"/>
        </w:trPr>
        <w:tc>
          <w:tcPr>
            <w:tcW w:w="4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Provision for self-insurance reserves ......</w:t>
            </w:r>
          </w:p>
        </w:tc>
        <w:tc>
          <w:tcPr>
            <w:tcW w:w="3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20,755,000</w:t>
            </w:r>
          </w:p>
        </w:tc>
        <w:tc>
          <w:tcPr>
            <w:tcW w:w="2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10,810,000</w:t>
            </w:r>
          </w:p>
        </w:tc>
        <w:tc>
          <w:tcPr>
            <w:tcW w:w="240" w:type="dxa"/>
            <w:vAlign w:val="bottom"/>
          </w:tcPr>
          <w:p>
            <w:pPr>
              <w:spacing w:after="0"/>
              <w:rPr>
                <w:sz w:val="15"/>
                <w:szCs w:val="15"/>
                <w:color w:val="auto"/>
              </w:rPr>
            </w:pPr>
          </w:p>
        </w:tc>
        <w:tc>
          <w:tcPr>
            <w:tcW w:w="11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14,291,000</w:t>
            </w:r>
          </w:p>
        </w:tc>
      </w:tr>
      <w:tr>
        <w:trPr>
          <w:trHeight w:val="183"/>
        </w:trPr>
        <w:tc>
          <w:tcPr>
            <w:tcW w:w="4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Other non-cash charges......................</w:t>
            </w:r>
          </w:p>
        </w:tc>
        <w:tc>
          <w:tcPr>
            <w:tcW w:w="3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8,828,000</w:t>
            </w:r>
          </w:p>
        </w:tc>
        <w:tc>
          <w:tcPr>
            <w:tcW w:w="2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9,763,000</w:t>
            </w:r>
          </w:p>
        </w:tc>
        <w:tc>
          <w:tcPr>
            <w:tcW w:w="240" w:type="dxa"/>
            <w:vAlign w:val="bottom"/>
          </w:tcPr>
          <w:p>
            <w:pPr>
              <w:spacing w:after="0"/>
              <w:rPr>
                <w:sz w:val="15"/>
                <w:szCs w:val="15"/>
                <w:color w:val="auto"/>
              </w:rPr>
            </w:pPr>
          </w:p>
        </w:tc>
        <w:tc>
          <w:tcPr>
            <w:tcW w:w="11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11,610,000</w:t>
            </w:r>
          </w:p>
        </w:tc>
      </w:tr>
      <w:tr>
        <w:trPr>
          <w:trHeight w:val="183"/>
        </w:trPr>
        <w:tc>
          <w:tcPr>
            <w:tcW w:w="4720" w:type="dxa"/>
            <w:vAlign w:val="bottom"/>
          </w:tcPr>
          <w:p>
            <w:pPr>
              <w:spacing w:after="0"/>
              <w:rPr>
                <w:sz w:val="20"/>
                <w:szCs w:val="20"/>
                <w:color w:val="auto"/>
              </w:rPr>
            </w:pPr>
            <w:r>
              <w:rPr>
                <w:rFonts w:ascii="Courier New" w:cs="Courier New" w:eastAsia="Courier New" w:hAnsi="Courier New"/>
                <w:sz w:val="16"/>
                <w:szCs w:val="16"/>
                <w:color w:val="auto"/>
              </w:rPr>
              <w:t>Changes in assets and liabilities, net of</w:t>
            </w:r>
          </w:p>
        </w:tc>
        <w:tc>
          <w:tcPr>
            <w:tcW w:w="3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4720" w:type="dxa"/>
            <w:vAlign w:val="bottom"/>
          </w:tcPr>
          <w:p>
            <w:pPr>
              <w:ind w:left="180"/>
              <w:spacing w:after="0"/>
              <w:rPr>
                <w:sz w:val="20"/>
                <w:szCs w:val="20"/>
                <w:color w:val="auto"/>
              </w:rPr>
            </w:pPr>
            <w:r>
              <w:rPr>
                <w:rFonts w:ascii="Courier New" w:cs="Courier New" w:eastAsia="Courier New" w:hAnsi="Courier New"/>
                <w:sz w:val="16"/>
                <w:szCs w:val="16"/>
                <w:color w:val="auto"/>
              </w:rPr>
              <w:t>effects from acquisitions and dispositions:</w:t>
            </w:r>
          </w:p>
        </w:tc>
        <w:tc>
          <w:tcPr>
            <w:tcW w:w="3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4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Accounts receivable...........................</w:t>
            </w:r>
          </w:p>
        </w:tc>
        <w:tc>
          <w:tcPr>
            <w:tcW w:w="3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12,928,000</w:t>
            </w:r>
          </w:p>
        </w:tc>
        <w:tc>
          <w:tcPr>
            <w:tcW w:w="24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(4,380,000)</w:t>
            </w: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(5,125,000)</w:t>
            </w:r>
          </w:p>
        </w:tc>
      </w:tr>
      <w:tr>
        <w:trPr>
          <w:trHeight w:val="183"/>
        </w:trPr>
        <w:tc>
          <w:tcPr>
            <w:tcW w:w="4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Accrued interest..............................</w:t>
            </w:r>
          </w:p>
        </w:tc>
        <w:tc>
          <w:tcPr>
            <w:tcW w:w="34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(412,000)</w:t>
            </w:r>
          </w:p>
        </w:tc>
        <w:tc>
          <w:tcPr>
            <w:tcW w:w="24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(805,000)</w:t>
            </w:r>
          </w:p>
        </w:tc>
        <w:tc>
          <w:tcPr>
            <w:tcW w:w="240" w:type="dxa"/>
            <w:vAlign w:val="bottom"/>
          </w:tcPr>
          <w:p>
            <w:pPr>
              <w:spacing w:after="0"/>
              <w:rPr>
                <w:sz w:val="15"/>
                <w:szCs w:val="15"/>
                <w:color w:val="auto"/>
              </w:rPr>
            </w:pPr>
          </w:p>
        </w:tc>
        <w:tc>
          <w:tcPr>
            <w:tcW w:w="1140" w:type="dxa"/>
            <w:vAlign w:val="bottom"/>
          </w:tcPr>
          <w:p>
            <w:pPr>
              <w:jc w:val="right"/>
              <w:ind w:right="1"/>
              <w:spacing w:after="0"/>
              <w:rPr>
                <w:sz w:val="20"/>
                <w:szCs w:val="20"/>
                <w:color w:val="auto"/>
              </w:rPr>
            </w:pPr>
            <w:r>
              <w:rPr>
                <w:rFonts w:ascii="Courier New" w:cs="Courier New" w:eastAsia="Courier New" w:hAnsi="Courier New"/>
                <w:sz w:val="16"/>
                <w:szCs w:val="16"/>
                <w:color w:val="auto"/>
              </w:rPr>
              <w:t>3,071,000</w:t>
            </w:r>
          </w:p>
        </w:tc>
      </w:tr>
      <w:tr>
        <w:trPr>
          <w:trHeight w:val="183"/>
        </w:trPr>
        <w:tc>
          <w:tcPr>
            <w:tcW w:w="4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Accrued and deferred income taxes.............</w:t>
            </w:r>
          </w:p>
        </w:tc>
        <w:tc>
          <w:tcPr>
            <w:tcW w:w="34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(8,990,000)</w:t>
            </w:r>
          </w:p>
        </w:tc>
        <w:tc>
          <w:tcPr>
            <w:tcW w:w="24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(9,944,000)</w:t>
            </w: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w w:val="97"/>
              </w:rPr>
              <w:t>(20,826,000)</w:t>
            </w:r>
          </w:p>
        </w:tc>
      </w:tr>
      <w:tr>
        <w:trPr>
          <w:trHeight w:val="183"/>
        </w:trPr>
        <w:tc>
          <w:tcPr>
            <w:tcW w:w="4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Other working capital accounts................</w:t>
            </w:r>
          </w:p>
        </w:tc>
        <w:tc>
          <w:tcPr>
            <w:tcW w:w="3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4,858,000</w:t>
            </w:r>
          </w:p>
        </w:tc>
        <w:tc>
          <w:tcPr>
            <w:tcW w:w="2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1,710,000</w:t>
            </w:r>
          </w:p>
        </w:tc>
        <w:tc>
          <w:tcPr>
            <w:tcW w:w="240" w:type="dxa"/>
            <w:vAlign w:val="bottom"/>
          </w:tcPr>
          <w:p>
            <w:pPr>
              <w:spacing w:after="0"/>
              <w:rPr>
                <w:sz w:val="15"/>
                <w:szCs w:val="15"/>
                <w:color w:val="auto"/>
              </w:rPr>
            </w:pPr>
          </w:p>
        </w:tc>
        <w:tc>
          <w:tcPr>
            <w:tcW w:w="11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10,944,000</w:t>
            </w:r>
          </w:p>
        </w:tc>
      </w:tr>
      <w:tr>
        <w:trPr>
          <w:trHeight w:val="183"/>
        </w:trPr>
        <w:tc>
          <w:tcPr>
            <w:tcW w:w="4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Other assets and deferred charges.............</w:t>
            </w:r>
          </w:p>
        </w:tc>
        <w:tc>
          <w:tcPr>
            <w:tcW w:w="34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(5,804,000)</w:t>
            </w:r>
          </w:p>
        </w:tc>
        <w:tc>
          <w:tcPr>
            <w:tcW w:w="24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(3,064,000)</w:t>
            </w: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(3,982,000)</w:t>
            </w:r>
          </w:p>
        </w:tc>
      </w:tr>
      <w:tr>
        <w:trPr>
          <w:trHeight w:val="183"/>
        </w:trPr>
        <w:tc>
          <w:tcPr>
            <w:tcW w:w="4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Other.........................................</w:t>
            </w:r>
          </w:p>
        </w:tc>
        <w:tc>
          <w:tcPr>
            <w:tcW w:w="3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1,002,000</w:t>
            </w:r>
          </w:p>
        </w:tc>
        <w:tc>
          <w:tcPr>
            <w:tcW w:w="24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(42,000)</w:t>
            </w:r>
          </w:p>
        </w:tc>
        <w:tc>
          <w:tcPr>
            <w:tcW w:w="240" w:type="dxa"/>
            <w:vAlign w:val="bottom"/>
          </w:tcPr>
          <w:p>
            <w:pPr>
              <w:spacing w:after="0"/>
              <w:rPr>
                <w:sz w:val="15"/>
                <w:szCs w:val="15"/>
                <w:color w:val="auto"/>
              </w:rPr>
            </w:pPr>
          </w:p>
        </w:tc>
        <w:tc>
          <w:tcPr>
            <w:tcW w:w="1140" w:type="dxa"/>
            <w:vAlign w:val="bottom"/>
          </w:tcPr>
          <w:p>
            <w:pPr>
              <w:jc w:val="right"/>
              <w:ind w:right="1"/>
              <w:spacing w:after="0"/>
              <w:rPr>
                <w:sz w:val="20"/>
                <w:szCs w:val="20"/>
                <w:color w:val="auto"/>
              </w:rPr>
            </w:pPr>
            <w:r>
              <w:rPr>
                <w:rFonts w:ascii="Courier New" w:cs="Courier New" w:eastAsia="Courier New" w:hAnsi="Courier New"/>
                <w:sz w:val="16"/>
                <w:szCs w:val="16"/>
                <w:color w:val="auto"/>
              </w:rPr>
              <w:t>3,390,000</w:t>
            </w:r>
          </w:p>
        </w:tc>
      </w:tr>
      <w:tr>
        <w:trPr>
          <w:trHeight w:val="183"/>
        </w:trPr>
        <w:tc>
          <w:tcPr>
            <w:tcW w:w="4720" w:type="dxa"/>
            <w:vAlign w:val="bottom"/>
          </w:tcPr>
          <w:p>
            <w:pPr>
              <w:ind w:left="180"/>
              <w:spacing w:after="0"/>
              <w:rPr>
                <w:sz w:val="20"/>
                <w:szCs w:val="20"/>
                <w:color w:val="auto"/>
              </w:rPr>
            </w:pPr>
            <w:r>
              <w:rPr>
                <w:rFonts w:ascii="Courier New" w:cs="Courier New" w:eastAsia="Courier New" w:hAnsi="Courier New"/>
                <w:sz w:val="16"/>
                <w:szCs w:val="16"/>
                <w:color w:val="auto"/>
              </w:rPr>
              <w:t>Payments made in settlement of self-insurance</w:t>
            </w:r>
          </w:p>
        </w:tc>
        <w:tc>
          <w:tcPr>
            <w:tcW w:w="3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4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claims......................................</w:t>
            </w:r>
          </w:p>
        </w:tc>
        <w:tc>
          <w:tcPr>
            <w:tcW w:w="34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(12,135,000)</w:t>
            </w:r>
          </w:p>
        </w:tc>
        <w:tc>
          <w:tcPr>
            <w:tcW w:w="24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(14,527,000)</w:t>
            </w: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(8,479,000)</w:t>
            </w:r>
          </w:p>
        </w:tc>
      </w:tr>
      <w:tr>
        <w:trPr>
          <w:trHeight w:val="183"/>
        </w:trPr>
        <w:tc>
          <w:tcPr>
            <w:tcW w:w="4720" w:type="dxa"/>
            <w:vAlign w:val="bottom"/>
          </w:tcPr>
          <w:p>
            <w:pPr>
              <w:spacing w:after="0"/>
              <w:rPr>
                <w:sz w:val="15"/>
                <w:szCs w:val="15"/>
                <w:color w:val="auto"/>
              </w:rPr>
            </w:pPr>
          </w:p>
        </w:tc>
        <w:tc>
          <w:tcPr>
            <w:tcW w:w="16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47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Net cash provided by operating activities.......</w:t>
            </w:r>
          </w:p>
        </w:tc>
        <w:tc>
          <w:tcPr>
            <w:tcW w:w="3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84,640,000</w:t>
            </w:r>
          </w:p>
        </w:tc>
        <w:tc>
          <w:tcPr>
            <w:tcW w:w="2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60,624,000</w:t>
            </w:r>
          </w:p>
        </w:tc>
        <w:tc>
          <w:tcPr>
            <w:tcW w:w="240" w:type="dxa"/>
            <w:vAlign w:val="bottom"/>
          </w:tcPr>
          <w:p>
            <w:pPr>
              <w:spacing w:after="0"/>
              <w:rPr>
                <w:sz w:val="15"/>
                <w:szCs w:val="15"/>
                <w:color w:val="auto"/>
              </w:rPr>
            </w:pPr>
          </w:p>
        </w:tc>
        <w:tc>
          <w:tcPr>
            <w:tcW w:w="1140" w:type="dxa"/>
            <w:vAlign w:val="bottom"/>
          </w:tcPr>
          <w:p>
            <w:pPr>
              <w:jc w:val="right"/>
              <w:ind w:right="1"/>
              <w:spacing w:after="0"/>
              <w:rPr>
                <w:sz w:val="20"/>
                <w:szCs w:val="20"/>
                <w:color w:val="auto"/>
              </w:rPr>
            </w:pPr>
            <w:r>
              <w:rPr>
                <w:rFonts w:ascii="Courier New" w:cs="Courier New" w:eastAsia="Courier New" w:hAnsi="Courier New"/>
                <w:sz w:val="16"/>
                <w:szCs w:val="16"/>
                <w:color w:val="auto"/>
              </w:rPr>
              <w:t>91,749,000</w:t>
            </w:r>
          </w:p>
        </w:tc>
      </w:tr>
      <w:tr>
        <w:trPr>
          <w:trHeight w:val="183"/>
        </w:trPr>
        <w:tc>
          <w:tcPr>
            <w:tcW w:w="4720" w:type="dxa"/>
            <w:vAlign w:val="bottom"/>
          </w:tcPr>
          <w:p>
            <w:pPr>
              <w:spacing w:after="0"/>
              <w:rPr>
                <w:sz w:val="15"/>
                <w:szCs w:val="15"/>
                <w:color w:val="auto"/>
              </w:rPr>
            </w:pPr>
          </w:p>
        </w:tc>
        <w:tc>
          <w:tcPr>
            <w:tcW w:w="16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472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3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4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Property and equipment additions..............</w:t>
            </w:r>
          </w:p>
        </w:tc>
        <w:tc>
          <w:tcPr>
            <w:tcW w:w="34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(47,319,000)</w:t>
            </w:r>
          </w:p>
        </w:tc>
        <w:tc>
          <w:tcPr>
            <w:tcW w:w="24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(43,998,000)</w:t>
            </w: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w w:val="97"/>
              </w:rPr>
              <w:t>(60,734,000)</w:t>
            </w:r>
          </w:p>
        </w:tc>
      </w:tr>
      <w:tr>
        <w:trPr>
          <w:trHeight w:val="183"/>
        </w:trPr>
        <w:tc>
          <w:tcPr>
            <w:tcW w:w="4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Disposition of assets.........................</w:t>
            </w:r>
          </w:p>
        </w:tc>
        <w:tc>
          <w:tcPr>
            <w:tcW w:w="3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227,000</w:t>
            </w:r>
          </w:p>
        </w:tc>
        <w:tc>
          <w:tcPr>
            <w:tcW w:w="2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1,132,000</w:t>
            </w:r>
          </w:p>
        </w:tc>
        <w:tc>
          <w:tcPr>
            <w:tcW w:w="240" w:type="dxa"/>
            <w:vAlign w:val="bottom"/>
          </w:tcPr>
          <w:p>
            <w:pPr>
              <w:spacing w:after="0"/>
              <w:rPr>
                <w:sz w:val="15"/>
                <w:szCs w:val="15"/>
                <w:color w:val="auto"/>
              </w:rPr>
            </w:pPr>
          </w:p>
        </w:tc>
        <w:tc>
          <w:tcPr>
            <w:tcW w:w="1140" w:type="dxa"/>
            <w:vAlign w:val="bottom"/>
          </w:tcPr>
          <w:p>
            <w:pPr>
              <w:jc w:val="right"/>
              <w:ind w:right="1"/>
              <w:spacing w:after="0"/>
              <w:rPr>
                <w:sz w:val="20"/>
                <w:szCs w:val="20"/>
                <w:color w:val="auto"/>
              </w:rPr>
            </w:pPr>
            <w:r>
              <w:rPr>
                <w:rFonts w:ascii="Courier New" w:cs="Courier New" w:eastAsia="Courier New" w:hAnsi="Courier New"/>
                <w:sz w:val="16"/>
                <w:szCs w:val="16"/>
                <w:color w:val="auto"/>
              </w:rPr>
              <w:t>2,321,000</w:t>
            </w:r>
          </w:p>
        </w:tc>
      </w:tr>
      <w:tr>
        <w:trPr>
          <w:trHeight w:val="183"/>
        </w:trPr>
        <w:tc>
          <w:tcPr>
            <w:tcW w:w="4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Acquisition of properties previously leased...</w:t>
            </w:r>
          </w:p>
        </w:tc>
        <w:tc>
          <w:tcPr>
            <w:tcW w:w="34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(3,218,000)</w:t>
            </w:r>
          </w:p>
        </w:tc>
        <w:tc>
          <w:tcPr>
            <w:tcW w:w="24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(5,771,000)</w:t>
            </w:r>
          </w:p>
        </w:tc>
        <w:tc>
          <w:tcPr>
            <w:tcW w:w="240" w:type="dxa"/>
            <w:vAlign w:val="bottom"/>
          </w:tcPr>
          <w:p>
            <w:pPr>
              <w:spacing w:after="0"/>
              <w:rPr>
                <w:sz w:val="15"/>
                <w:szCs w:val="15"/>
                <w:color w:val="auto"/>
              </w:rPr>
            </w:pPr>
          </w:p>
        </w:tc>
        <w:tc>
          <w:tcPr>
            <w:tcW w:w="1140" w:type="dxa"/>
            <w:vAlign w:val="bottom"/>
          </w:tcPr>
          <w:p>
            <w:pPr>
              <w:jc w:val="center"/>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4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Acquisition of businesses.....................</w:t>
            </w:r>
          </w:p>
        </w:tc>
        <w:tc>
          <w:tcPr>
            <w:tcW w:w="34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(11,526,000)</w:t>
            </w:r>
          </w:p>
        </w:tc>
        <w:tc>
          <w:tcPr>
            <w:tcW w:w="24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(16,794,000)</w:t>
            </w:r>
          </w:p>
        </w:tc>
        <w:tc>
          <w:tcPr>
            <w:tcW w:w="13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(187,865,000)</w:t>
            </w:r>
          </w:p>
        </w:tc>
      </w:tr>
      <w:tr>
        <w:trPr>
          <w:trHeight w:val="183"/>
        </w:trPr>
        <w:tc>
          <w:tcPr>
            <w:tcW w:w="4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Acquisition of assets held for lease..........</w:t>
            </w:r>
          </w:p>
        </w:tc>
        <w:tc>
          <w:tcPr>
            <w:tcW w:w="340" w:type="dxa"/>
            <w:vAlign w:val="bottom"/>
          </w:tcPr>
          <w:p>
            <w:pPr>
              <w:spacing w:after="0"/>
              <w:rPr>
                <w:sz w:val="15"/>
                <w:szCs w:val="15"/>
                <w:color w:val="auto"/>
              </w:rPr>
            </w:pPr>
          </w:p>
        </w:tc>
        <w:tc>
          <w:tcPr>
            <w:tcW w:w="1280" w:type="dxa"/>
            <w:vAlign w:val="bottom"/>
          </w:tcPr>
          <w:p>
            <w:pPr>
              <w:jc w:val="center"/>
              <w:ind w:right="461"/>
              <w:spacing w:after="0"/>
              <w:rPr>
                <w:sz w:val="20"/>
                <w:szCs w:val="20"/>
                <w:color w:val="auto"/>
              </w:rPr>
            </w:pPr>
            <w:r>
              <w:rPr>
                <w:rFonts w:ascii="Courier New" w:cs="Courier New" w:eastAsia="Courier New" w:hAnsi="Courier New"/>
                <w:sz w:val="16"/>
                <w:szCs w:val="16"/>
                <w:color w:val="auto"/>
                <w:w w:val="93"/>
              </w:rPr>
              <w:t>--</w:t>
            </w:r>
          </w:p>
        </w:tc>
        <w:tc>
          <w:tcPr>
            <w:tcW w:w="24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(9,059,000)</w:t>
            </w: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(3,561,000)</w:t>
            </w:r>
          </w:p>
        </w:tc>
      </w:tr>
      <w:tr>
        <w:trPr>
          <w:trHeight w:val="183"/>
        </w:trPr>
        <w:tc>
          <w:tcPr>
            <w:tcW w:w="4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Disposition of businesses.....................</w:t>
            </w:r>
          </w:p>
        </w:tc>
        <w:tc>
          <w:tcPr>
            <w:tcW w:w="3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18,492,000</w:t>
            </w:r>
          </w:p>
        </w:tc>
        <w:tc>
          <w:tcPr>
            <w:tcW w:w="2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3,791,000</w:t>
            </w:r>
          </w:p>
        </w:tc>
        <w:tc>
          <w:tcPr>
            <w:tcW w:w="240" w:type="dxa"/>
            <w:vAlign w:val="bottom"/>
          </w:tcPr>
          <w:p>
            <w:pPr>
              <w:spacing w:after="0"/>
              <w:rPr>
                <w:sz w:val="15"/>
                <w:szCs w:val="15"/>
                <w:color w:val="auto"/>
              </w:rPr>
            </w:pPr>
          </w:p>
        </w:tc>
        <w:tc>
          <w:tcPr>
            <w:tcW w:w="11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19,495,000</w:t>
            </w:r>
          </w:p>
        </w:tc>
      </w:tr>
      <w:tr>
        <w:trPr>
          <w:trHeight w:val="183"/>
        </w:trPr>
        <w:tc>
          <w:tcPr>
            <w:tcW w:w="4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Other investments.............................</w:t>
            </w:r>
          </w:p>
        </w:tc>
        <w:tc>
          <w:tcPr>
            <w:tcW w:w="340" w:type="dxa"/>
            <w:vAlign w:val="bottom"/>
          </w:tcPr>
          <w:p>
            <w:pPr>
              <w:spacing w:after="0"/>
              <w:rPr>
                <w:sz w:val="15"/>
                <w:szCs w:val="15"/>
                <w:color w:val="auto"/>
              </w:rPr>
            </w:pPr>
          </w:p>
        </w:tc>
        <w:tc>
          <w:tcPr>
            <w:tcW w:w="1280" w:type="dxa"/>
            <w:vAlign w:val="bottom"/>
          </w:tcPr>
          <w:p>
            <w:pPr>
              <w:jc w:val="center"/>
              <w:ind w:right="461"/>
              <w:spacing w:after="0"/>
              <w:rPr>
                <w:sz w:val="20"/>
                <w:szCs w:val="20"/>
                <w:color w:val="auto"/>
              </w:rPr>
            </w:pPr>
            <w:r>
              <w:rPr>
                <w:rFonts w:ascii="Courier New" w:cs="Courier New" w:eastAsia="Courier New" w:hAnsi="Courier New"/>
                <w:sz w:val="16"/>
                <w:szCs w:val="16"/>
                <w:color w:val="auto"/>
                <w:w w:val="93"/>
              </w:rPr>
              <w:t>--</w:t>
            </w:r>
          </w:p>
        </w:tc>
        <w:tc>
          <w:tcPr>
            <w:tcW w:w="24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(1,079,000)</w:t>
            </w:r>
          </w:p>
        </w:tc>
        <w:tc>
          <w:tcPr>
            <w:tcW w:w="240" w:type="dxa"/>
            <w:vAlign w:val="bottom"/>
          </w:tcPr>
          <w:p>
            <w:pPr>
              <w:spacing w:after="0"/>
              <w:rPr>
                <w:sz w:val="15"/>
                <w:szCs w:val="15"/>
                <w:color w:val="auto"/>
              </w:rPr>
            </w:pPr>
          </w:p>
        </w:tc>
        <w:tc>
          <w:tcPr>
            <w:tcW w:w="1140" w:type="dxa"/>
            <w:vAlign w:val="bottom"/>
          </w:tcPr>
          <w:p>
            <w:pPr>
              <w:jc w:val="center"/>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4720" w:type="dxa"/>
            <w:vAlign w:val="bottom"/>
          </w:tcPr>
          <w:p>
            <w:pPr>
              <w:spacing w:after="0"/>
              <w:rPr>
                <w:sz w:val="15"/>
                <w:szCs w:val="15"/>
                <w:color w:val="auto"/>
              </w:rPr>
            </w:pPr>
          </w:p>
        </w:tc>
        <w:tc>
          <w:tcPr>
            <w:tcW w:w="16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4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Net cash used in investing activities.........</w:t>
            </w:r>
          </w:p>
        </w:tc>
        <w:tc>
          <w:tcPr>
            <w:tcW w:w="34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(43,344,000)</w:t>
            </w:r>
          </w:p>
        </w:tc>
        <w:tc>
          <w:tcPr>
            <w:tcW w:w="24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(71,778,000)</w:t>
            </w:r>
          </w:p>
        </w:tc>
        <w:tc>
          <w:tcPr>
            <w:tcW w:w="13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(230,344,000)</w:t>
            </w:r>
          </w:p>
        </w:tc>
      </w:tr>
      <w:tr>
        <w:trPr>
          <w:trHeight w:val="183"/>
        </w:trPr>
        <w:tc>
          <w:tcPr>
            <w:tcW w:w="4720" w:type="dxa"/>
            <w:vAlign w:val="bottom"/>
          </w:tcPr>
          <w:p>
            <w:pPr>
              <w:spacing w:after="0"/>
              <w:rPr>
                <w:sz w:val="15"/>
                <w:szCs w:val="15"/>
                <w:color w:val="auto"/>
              </w:rPr>
            </w:pPr>
          </w:p>
        </w:tc>
        <w:tc>
          <w:tcPr>
            <w:tcW w:w="16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472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3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4720" w:type="dxa"/>
            <w:vAlign w:val="bottom"/>
          </w:tcPr>
          <w:p>
            <w:pPr>
              <w:ind w:left="180"/>
              <w:spacing w:after="0"/>
              <w:rPr>
                <w:sz w:val="20"/>
                <w:szCs w:val="20"/>
                <w:color w:val="auto"/>
              </w:rPr>
            </w:pPr>
            <w:r>
              <w:rPr>
                <w:rFonts w:ascii="Courier New" w:cs="Courier New" w:eastAsia="Courier New" w:hAnsi="Courier New"/>
                <w:sz w:val="16"/>
                <w:szCs w:val="16"/>
                <w:color w:val="auto"/>
              </w:rPr>
              <w:t>Additional borrowings, net of financing</w:t>
            </w:r>
          </w:p>
        </w:tc>
        <w:tc>
          <w:tcPr>
            <w:tcW w:w="3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4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costs.......................................</w:t>
            </w:r>
          </w:p>
        </w:tc>
        <w:tc>
          <w:tcPr>
            <w:tcW w:w="3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1,800,000</w:t>
            </w:r>
          </w:p>
        </w:tc>
        <w:tc>
          <w:tcPr>
            <w:tcW w:w="2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45,469,000</w:t>
            </w:r>
          </w:p>
        </w:tc>
        <w:tc>
          <w:tcPr>
            <w:tcW w:w="240" w:type="dxa"/>
            <w:vAlign w:val="bottom"/>
          </w:tcPr>
          <w:p>
            <w:pPr>
              <w:spacing w:after="0"/>
              <w:rPr>
                <w:sz w:val="15"/>
                <w:szCs w:val="15"/>
                <w:color w:val="auto"/>
              </w:rPr>
            </w:pPr>
          </w:p>
        </w:tc>
        <w:tc>
          <w:tcPr>
            <w:tcW w:w="11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149,323,000</w:t>
            </w:r>
          </w:p>
        </w:tc>
      </w:tr>
      <w:tr>
        <w:trPr>
          <w:trHeight w:val="183"/>
        </w:trPr>
        <w:tc>
          <w:tcPr>
            <w:tcW w:w="4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Reduction of long-term debt...................</w:t>
            </w:r>
          </w:p>
        </w:tc>
        <w:tc>
          <w:tcPr>
            <w:tcW w:w="34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(46,496,000)</w:t>
            </w:r>
          </w:p>
        </w:tc>
        <w:tc>
          <w:tcPr>
            <w:tcW w:w="24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(21,981,000)</w:t>
            </w: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w w:val="97"/>
              </w:rPr>
              <w:t>(12,009,000)</w:t>
            </w:r>
          </w:p>
        </w:tc>
      </w:tr>
      <w:tr>
        <w:trPr>
          <w:trHeight w:val="183"/>
        </w:trPr>
        <w:tc>
          <w:tcPr>
            <w:tcW w:w="4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Issuance of common stock......................</w:t>
            </w:r>
          </w:p>
        </w:tc>
        <w:tc>
          <w:tcPr>
            <w:tcW w:w="3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519,000</w:t>
            </w:r>
          </w:p>
        </w:tc>
        <w:tc>
          <w:tcPr>
            <w:tcW w:w="2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1,026,000</w:t>
            </w:r>
          </w:p>
        </w:tc>
        <w:tc>
          <w:tcPr>
            <w:tcW w:w="240" w:type="dxa"/>
            <w:vAlign w:val="bottom"/>
          </w:tcPr>
          <w:p>
            <w:pPr>
              <w:spacing w:after="0"/>
              <w:rPr>
                <w:sz w:val="15"/>
                <w:szCs w:val="15"/>
                <w:color w:val="auto"/>
              </w:rPr>
            </w:pPr>
          </w:p>
        </w:tc>
        <w:tc>
          <w:tcPr>
            <w:tcW w:w="1140" w:type="dxa"/>
            <w:vAlign w:val="bottom"/>
          </w:tcPr>
          <w:p>
            <w:pPr>
              <w:jc w:val="right"/>
              <w:ind w:right="1"/>
              <w:spacing w:after="0"/>
              <w:rPr>
                <w:sz w:val="20"/>
                <w:szCs w:val="20"/>
                <w:color w:val="auto"/>
              </w:rPr>
            </w:pPr>
            <w:r>
              <w:rPr>
                <w:rFonts w:ascii="Courier New" w:cs="Courier New" w:eastAsia="Courier New" w:hAnsi="Courier New"/>
                <w:sz w:val="16"/>
                <w:szCs w:val="16"/>
                <w:color w:val="auto"/>
              </w:rPr>
              <w:t>535,000</w:t>
            </w:r>
          </w:p>
        </w:tc>
      </w:tr>
      <w:tr>
        <w:trPr>
          <w:trHeight w:val="183"/>
        </w:trPr>
        <w:tc>
          <w:tcPr>
            <w:tcW w:w="4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Repurchase of common shares...................</w:t>
            </w:r>
          </w:p>
        </w:tc>
        <w:tc>
          <w:tcPr>
            <w:tcW w:w="34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(3,236,000)</w:t>
            </w:r>
          </w:p>
        </w:tc>
        <w:tc>
          <w:tcPr>
            <w:tcW w:w="24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(13,149,000)</w:t>
            </w:r>
          </w:p>
        </w:tc>
        <w:tc>
          <w:tcPr>
            <w:tcW w:w="240" w:type="dxa"/>
            <w:vAlign w:val="bottom"/>
          </w:tcPr>
          <w:p>
            <w:pPr>
              <w:spacing w:after="0"/>
              <w:rPr>
                <w:sz w:val="15"/>
                <w:szCs w:val="15"/>
                <w:color w:val="auto"/>
              </w:rPr>
            </w:pPr>
          </w:p>
        </w:tc>
        <w:tc>
          <w:tcPr>
            <w:tcW w:w="1140" w:type="dxa"/>
            <w:vAlign w:val="bottom"/>
          </w:tcPr>
          <w:p>
            <w:pPr>
              <w:jc w:val="center"/>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4720" w:type="dxa"/>
            <w:vAlign w:val="bottom"/>
          </w:tcPr>
          <w:p>
            <w:pPr>
              <w:spacing w:after="0"/>
              <w:rPr>
                <w:sz w:val="15"/>
                <w:szCs w:val="15"/>
                <w:color w:val="auto"/>
              </w:rPr>
            </w:pPr>
          </w:p>
        </w:tc>
        <w:tc>
          <w:tcPr>
            <w:tcW w:w="16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4720" w:type="dxa"/>
            <w:vAlign w:val="bottom"/>
          </w:tcPr>
          <w:p>
            <w:pPr>
              <w:ind w:left="180"/>
              <w:spacing w:after="0"/>
              <w:rPr>
                <w:sz w:val="20"/>
                <w:szCs w:val="20"/>
                <w:color w:val="auto"/>
              </w:rPr>
            </w:pPr>
            <w:r>
              <w:rPr>
                <w:rFonts w:ascii="Courier New" w:cs="Courier New" w:eastAsia="Courier New" w:hAnsi="Courier New"/>
                <w:sz w:val="16"/>
                <w:szCs w:val="16"/>
                <w:color w:val="auto"/>
              </w:rPr>
              <w:t>Net cash provided by (used in) financing</w:t>
            </w:r>
          </w:p>
        </w:tc>
        <w:tc>
          <w:tcPr>
            <w:tcW w:w="3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4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activities..................................</w:t>
            </w:r>
          </w:p>
        </w:tc>
        <w:tc>
          <w:tcPr>
            <w:tcW w:w="34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(47,413,000)</w:t>
            </w:r>
          </w:p>
        </w:tc>
        <w:tc>
          <w:tcPr>
            <w:tcW w:w="2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11,365,000</w:t>
            </w:r>
          </w:p>
        </w:tc>
        <w:tc>
          <w:tcPr>
            <w:tcW w:w="240" w:type="dxa"/>
            <w:vAlign w:val="bottom"/>
          </w:tcPr>
          <w:p>
            <w:pPr>
              <w:spacing w:after="0"/>
              <w:rPr>
                <w:sz w:val="15"/>
                <w:szCs w:val="15"/>
                <w:color w:val="auto"/>
              </w:rPr>
            </w:pPr>
          </w:p>
        </w:tc>
        <w:tc>
          <w:tcPr>
            <w:tcW w:w="11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137,849,000</w:t>
            </w:r>
          </w:p>
        </w:tc>
      </w:tr>
      <w:tr>
        <w:trPr>
          <w:trHeight w:val="183"/>
        </w:trPr>
        <w:tc>
          <w:tcPr>
            <w:tcW w:w="4720" w:type="dxa"/>
            <w:vAlign w:val="bottom"/>
          </w:tcPr>
          <w:p>
            <w:pPr>
              <w:spacing w:after="0"/>
              <w:rPr>
                <w:sz w:val="15"/>
                <w:szCs w:val="15"/>
                <w:color w:val="auto"/>
              </w:rPr>
            </w:pPr>
          </w:p>
        </w:tc>
        <w:tc>
          <w:tcPr>
            <w:tcW w:w="16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4720" w:type="dxa"/>
            <w:vAlign w:val="bottom"/>
          </w:tcPr>
          <w:p>
            <w:pPr>
              <w:spacing w:after="0"/>
              <w:rPr>
                <w:sz w:val="20"/>
                <w:szCs w:val="20"/>
                <w:color w:val="auto"/>
              </w:rPr>
            </w:pPr>
            <w:r>
              <w:rPr>
                <w:rFonts w:ascii="Courier New" w:cs="Courier New" w:eastAsia="Courier New" w:hAnsi="Courier New"/>
                <w:sz w:val="16"/>
                <w:szCs w:val="16"/>
                <w:color w:val="auto"/>
              </w:rPr>
              <w:t>Increase (Decrease) in Cash and Cash</w:t>
            </w:r>
          </w:p>
        </w:tc>
        <w:tc>
          <w:tcPr>
            <w:tcW w:w="3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4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Equivalents...................................</w:t>
            </w:r>
          </w:p>
        </w:tc>
        <w:tc>
          <w:tcPr>
            <w:tcW w:w="34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(6,117,000)</w:t>
            </w:r>
          </w:p>
        </w:tc>
        <w:tc>
          <w:tcPr>
            <w:tcW w:w="2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211,000</w:t>
            </w: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(746,000)</w:t>
            </w:r>
          </w:p>
        </w:tc>
      </w:tr>
      <w:tr>
        <w:trPr>
          <w:trHeight w:val="183"/>
        </w:trPr>
        <w:tc>
          <w:tcPr>
            <w:tcW w:w="4720" w:type="dxa"/>
            <w:vAlign w:val="bottom"/>
          </w:tcPr>
          <w:p>
            <w:pPr>
              <w:spacing w:after="0"/>
              <w:rPr>
                <w:sz w:val="20"/>
                <w:szCs w:val="20"/>
                <w:color w:val="auto"/>
              </w:rPr>
            </w:pPr>
            <w:r>
              <w:rPr>
                <w:rFonts w:ascii="Courier New" w:cs="Courier New" w:eastAsia="Courier New" w:hAnsi="Courier New"/>
                <w:sz w:val="16"/>
                <w:szCs w:val="16"/>
                <w:color w:val="auto"/>
              </w:rPr>
              <w:t>Cash and Cash Equivalents, Beginning of</w:t>
            </w:r>
          </w:p>
        </w:tc>
        <w:tc>
          <w:tcPr>
            <w:tcW w:w="3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4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Period........................................</w:t>
            </w:r>
          </w:p>
        </w:tc>
        <w:tc>
          <w:tcPr>
            <w:tcW w:w="3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6,686,000</w:t>
            </w:r>
          </w:p>
        </w:tc>
        <w:tc>
          <w:tcPr>
            <w:tcW w:w="2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569,000</w:t>
            </w:r>
          </w:p>
        </w:tc>
        <w:tc>
          <w:tcPr>
            <w:tcW w:w="240" w:type="dxa"/>
            <w:vAlign w:val="bottom"/>
          </w:tcPr>
          <w:p>
            <w:pPr>
              <w:spacing w:after="0"/>
              <w:rPr>
                <w:sz w:val="15"/>
                <w:szCs w:val="15"/>
                <w:color w:val="auto"/>
              </w:rPr>
            </w:pPr>
          </w:p>
        </w:tc>
        <w:tc>
          <w:tcPr>
            <w:tcW w:w="1140" w:type="dxa"/>
            <w:vAlign w:val="bottom"/>
          </w:tcPr>
          <w:p>
            <w:pPr>
              <w:jc w:val="right"/>
              <w:ind w:right="1"/>
              <w:spacing w:after="0"/>
              <w:rPr>
                <w:sz w:val="20"/>
                <w:szCs w:val="20"/>
                <w:color w:val="auto"/>
              </w:rPr>
            </w:pPr>
            <w:r>
              <w:rPr>
                <w:rFonts w:ascii="Courier New" w:cs="Courier New" w:eastAsia="Courier New" w:hAnsi="Courier New"/>
                <w:sz w:val="16"/>
                <w:szCs w:val="16"/>
                <w:color w:val="auto"/>
              </w:rPr>
              <w:t>780,000</w:t>
            </w:r>
          </w:p>
        </w:tc>
      </w:tr>
      <w:tr>
        <w:trPr>
          <w:trHeight w:val="183"/>
        </w:trPr>
        <w:tc>
          <w:tcPr>
            <w:tcW w:w="4720" w:type="dxa"/>
            <w:vAlign w:val="bottom"/>
          </w:tcPr>
          <w:p>
            <w:pPr>
              <w:spacing w:after="0"/>
              <w:rPr>
                <w:sz w:val="15"/>
                <w:szCs w:val="15"/>
                <w:color w:val="auto"/>
              </w:rPr>
            </w:pPr>
          </w:p>
        </w:tc>
        <w:tc>
          <w:tcPr>
            <w:tcW w:w="16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47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Cash and Cash Equivalents, End of Period........</w:t>
            </w:r>
          </w:p>
        </w:tc>
        <w:tc>
          <w:tcPr>
            <w:tcW w:w="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569,000</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780,000</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
              <w:spacing w:after="0"/>
              <w:rPr>
                <w:sz w:val="20"/>
                <w:szCs w:val="20"/>
                <w:color w:val="auto"/>
              </w:rPr>
            </w:pPr>
            <w:r>
              <w:rPr>
                <w:rFonts w:ascii="Courier New" w:cs="Courier New" w:eastAsia="Courier New" w:hAnsi="Courier New"/>
                <w:sz w:val="16"/>
                <w:szCs w:val="16"/>
                <w:color w:val="auto"/>
              </w:rPr>
              <w:t>34,000</w:t>
            </w:r>
          </w:p>
        </w:tc>
      </w:tr>
      <w:tr>
        <w:trPr>
          <w:trHeight w:val="183"/>
        </w:trPr>
        <w:tc>
          <w:tcPr>
            <w:tcW w:w="4720" w:type="dxa"/>
            <w:vAlign w:val="bottom"/>
          </w:tcPr>
          <w:p>
            <w:pPr>
              <w:spacing w:after="0"/>
              <w:rPr>
                <w:sz w:val="15"/>
                <w:szCs w:val="15"/>
                <w:color w:val="auto"/>
              </w:rPr>
            </w:pPr>
          </w:p>
        </w:tc>
        <w:tc>
          <w:tcPr>
            <w:tcW w:w="16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4720" w:type="dxa"/>
            <w:vAlign w:val="bottom"/>
          </w:tcPr>
          <w:p>
            <w:pPr>
              <w:spacing w:after="0"/>
              <w:rPr>
                <w:sz w:val="15"/>
                <w:szCs w:val="15"/>
                <w:color w:val="auto"/>
              </w:rPr>
            </w:pPr>
          </w:p>
        </w:tc>
        <w:tc>
          <w:tcPr>
            <w:tcW w:w="16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4720" w:type="dxa"/>
            <w:vAlign w:val="bottom"/>
          </w:tcPr>
          <w:p>
            <w:pPr>
              <w:spacing w:after="0"/>
              <w:rPr>
                <w:sz w:val="20"/>
                <w:szCs w:val="20"/>
                <w:color w:val="auto"/>
              </w:rPr>
            </w:pPr>
            <w:r>
              <w:rPr>
                <w:rFonts w:ascii="Courier New" w:cs="Courier New" w:eastAsia="Courier New" w:hAnsi="Courier New"/>
                <w:sz w:val="16"/>
                <w:szCs w:val="16"/>
                <w:color w:val="auto"/>
              </w:rPr>
              <w:t>Supplemental Disclosures of Cash Flow</w:t>
            </w:r>
          </w:p>
        </w:tc>
        <w:tc>
          <w:tcPr>
            <w:tcW w:w="3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4720" w:type="dxa"/>
            <w:vAlign w:val="bottom"/>
          </w:tcPr>
          <w:p>
            <w:pPr>
              <w:ind w:left="180"/>
              <w:spacing w:after="0"/>
              <w:rPr>
                <w:sz w:val="20"/>
                <w:szCs w:val="20"/>
                <w:color w:val="auto"/>
              </w:rPr>
            </w:pPr>
            <w:r>
              <w:rPr>
                <w:rFonts w:ascii="Courier New" w:cs="Courier New" w:eastAsia="Courier New" w:hAnsi="Courier New"/>
                <w:sz w:val="16"/>
                <w:szCs w:val="16"/>
                <w:color w:val="auto"/>
              </w:rPr>
              <w:t>Information:</w:t>
            </w:r>
          </w:p>
        </w:tc>
        <w:tc>
          <w:tcPr>
            <w:tcW w:w="3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4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Interest paid.................................</w:t>
            </w:r>
          </w:p>
        </w:tc>
        <w:tc>
          <w:tcPr>
            <w:tcW w:w="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9,057,000</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7,080,000</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
              <w:spacing w:after="0"/>
              <w:rPr>
                <w:sz w:val="20"/>
                <w:szCs w:val="20"/>
                <w:color w:val="auto"/>
              </w:rPr>
            </w:pPr>
            <w:r>
              <w:rPr>
                <w:rFonts w:ascii="Courier New" w:cs="Courier New" w:eastAsia="Courier New" w:hAnsi="Courier New"/>
                <w:sz w:val="16"/>
                <w:szCs w:val="16"/>
                <w:color w:val="auto"/>
              </w:rPr>
              <w:t>8,124,000</w:t>
            </w:r>
          </w:p>
        </w:tc>
      </w:tr>
      <w:tr>
        <w:trPr>
          <w:trHeight w:val="183"/>
        </w:trPr>
        <w:tc>
          <w:tcPr>
            <w:tcW w:w="4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Income taxes paid, net of refunds.............</w:t>
            </w:r>
          </w:p>
        </w:tc>
        <w:tc>
          <w:tcPr>
            <w:tcW w:w="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19,901,000</w:t>
            </w:r>
          </w:p>
        </w:tc>
        <w:tc>
          <w:tcPr>
            <w:tcW w:w="15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$ 28,153,000</w:t>
            </w:r>
          </w:p>
        </w:tc>
        <w:tc>
          <w:tcPr>
            <w:tcW w:w="13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$ 38,331,000</w:t>
            </w:r>
          </w:p>
        </w:tc>
      </w:tr>
      <w:tr>
        <w:trPr>
          <w:trHeight w:val="183"/>
        </w:trPr>
        <w:tc>
          <w:tcPr>
            <w:tcW w:w="4720" w:type="dxa"/>
            <w:vAlign w:val="bottom"/>
          </w:tcPr>
          <w:p>
            <w:pPr>
              <w:spacing w:after="0"/>
              <w:rPr>
                <w:sz w:val="20"/>
                <w:szCs w:val="20"/>
                <w:color w:val="auto"/>
              </w:rPr>
            </w:pPr>
            <w:r>
              <w:rPr>
                <w:rFonts w:ascii="Courier New" w:cs="Courier New" w:eastAsia="Courier New" w:hAnsi="Courier New"/>
                <w:sz w:val="16"/>
                <w:szCs w:val="16"/>
                <w:color w:val="auto"/>
              </w:rPr>
              <w:t>Supplemental Disclosures of Non-cash Investing</w:t>
            </w:r>
          </w:p>
        </w:tc>
        <w:tc>
          <w:tcPr>
            <w:tcW w:w="3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4720" w:type="dxa"/>
            <w:vAlign w:val="bottom"/>
          </w:tcPr>
          <w:p>
            <w:pPr>
              <w:ind w:left="180"/>
              <w:spacing w:after="0"/>
              <w:rPr>
                <w:sz w:val="20"/>
                <w:szCs w:val="20"/>
                <w:color w:val="auto"/>
              </w:rPr>
            </w:pPr>
            <w:r>
              <w:rPr>
                <w:rFonts w:ascii="Courier New" w:cs="Courier New" w:eastAsia="Courier New" w:hAnsi="Courier New"/>
                <w:sz w:val="16"/>
                <w:szCs w:val="16"/>
                <w:color w:val="auto"/>
              </w:rPr>
              <w:t>and Financing Activities: See Notes 2 and 6</w:t>
            </w:r>
          </w:p>
        </w:tc>
        <w:tc>
          <w:tcPr>
            <w:tcW w:w="3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r>
    </w:tbl>
    <w:p>
      <w:pPr>
        <w:spacing w:after="0" w:line="372" w:lineRule="exact"/>
        <w:rPr>
          <w:sz w:val="20"/>
          <w:szCs w:val="20"/>
          <w:color w:val="auto"/>
        </w:rPr>
      </w:pPr>
    </w:p>
    <w:p>
      <w:pPr>
        <w:ind w:right="2679" w:firstLine="382"/>
        <w:spacing w:after="0" w:line="239" w:lineRule="auto"/>
        <w:rPr>
          <w:sz w:val="20"/>
          <w:szCs w:val="20"/>
          <w:color w:val="auto"/>
        </w:rPr>
      </w:pPr>
      <w:r>
        <w:rPr>
          <w:rFonts w:ascii="Courier New" w:cs="Courier New" w:eastAsia="Courier New" w:hAnsi="Courier New"/>
          <w:sz w:val="16"/>
          <w:szCs w:val="16"/>
          <w:color w:val="auto"/>
        </w:rPr>
        <w:t>The accompanying notes are an integral part of these consolidated financial statements.</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F-6</w:t>
      </w:r>
    </w:p>
    <w:p>
      <w:pPr>
        <w:sectPr>
          <w:pgSz w:w="11900" w:h="16838" w:orient="portrait"/>
          <w:cols w:equalWidth="0" w:num="1">
            <w:col w:w="10219"/>
          </w:cols>
          <w:pgMar w:left="240" w:top="481" w:right="1440" w:bottom="1440" w:gutter="0" w:footer="0" w:header="0"/>
        </w:sectPr>
      </w:pPr>
    </w:p>
    <w:bookmarkStart w:id="56" w:name="page57"/>
    <w:bookmarkEnd w:id="56"/>
    <w:p>
      <w:pPr>
        <w:jc w:val="center"/>
        <w:ind w:right="2419"/>
        <w:spacing w:after="0"/>
        <w:rPr>
          <w:sz w:val="20"/>
          <w:szCs w:val="20"/>
          <w:color w:val="auto"/>
        </w:rPr>
      </w:pPr>
      <w:r>
        <w:rPr>
          <w:rFonts w:ascii="Courier New" w:cs="Courier New" w:eastAsia="Courier New" w:hAnsi="Courier New"/>
          <w:sz w:val="16"/>
          <w:szCs w:val="16"/>
          <w:color w:val="auto"/>
        </w:rPr>
        <w:t>UNIVERSAL HEALTH SERVICES, INC. AND SUBSIDIARIES</w:t>
      </w:r>
    </w:p>
    <w:p>
      <w:pPr>
        <w:spacing w:after="0" w:line="2" w:lineRule="exact"/>
        <w:rPr>
          <w:sz w:val="20"/>
          <w:szCs w:val="20"/>
          <w:color w:val="auto"/>
        </w:rPr>
      </w:pPr>
    </w:p>
    <w:p>
      <w:pPr>
        <w:jc w:val="center"/>
        <w:ind w:right="2419"/>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 SUMMARY OF SIGNIFICANT ACCOUNTING POLICIES</w:t>
      </w:r>
    </w:p>
    <w:p>
      <w:pPr>
        <w:spacing w:after="0" w:line="188" w:lineRule="exact"/>
        <w:rPr>
          <w:sz w:val="20"/>
          <w:szCs w:val="20"/>
          <w:color w:val="auto"/>
        </w:rPr>
      </w:pPr>
    </w:p>
    <w:p>
      <w:pPr>
        <w:ind w:right="2879" w:firstLine="382"/>
        <w:spacing w:after="0" w:line="241" w:lineRule="auto"/>
        <w:rPr>
          <w:sz w:val="20"/>
          <w:szCs w:val="20"/>
          <w:color w:val="auto"/>
        </w:rPr>
      </w:pPr>
      <w:r>
        <w:rPr>
          <w:rFonts w:ascii="Courier New" w:cs="Courier New" w:eastAsia="Courier New" w:hAnsi="Courier New"/>
          <w:sz w:val="16"/>
          <w:szCs w:val="16"/>
          <w:color w:val="auto"/>
        </w:rPr>
        <w:t>The consolidated financial statements include the accounts of Universal Health Services, Inc. (the "Company") and its majority-owned subsidiaries and partnerships controlled by the Company as the managing general partner. All significant intercompany accounts and transactions have been eliminated. The more significant accounting policies follow:</w:t>
      </w:r>
    </w:p>
    <w:p>
      <w:pPr>
        <w:spacing w:after="0" w:line="190" w:lineRule="exact"/>
        <w:rPr>
          <w:sz w:val="20"/>
          <w:szCs w:val="20"/>
          <w:color w:val="auto"/>
        </w:rPr>
      </w:pPr>
    </w:p>
    <w:p>
      <w:pPr>
        <w:ind w:right="2679" w:firstLine="382"/>
        <w:spacing w:after="0" w:line="260" w:lineRule="auto"/>
        <w:rPr>
          <w:sz w:val="20"/>
          <w:szCs w:val="20"/>
          <w:color w:val="auto"/>
        </w:rPr>
      </w:pPr>
      <w:r>
        <w:rPr>
          <w:rFonts w:ascii="Courier New" w:cs="Courier New" w:eastAsia="Courier New" w:hAnsi="Courier New"/>
          <w:sz w:val="15"/>
          <w:szCs w:val="15"/>
          <w:color w:val="auto"/>
        </w:rPr>
        <w:t>NATURE OF OPERATIONS: The principal business of the Company is owning and operating acute care hospitals, behavioral health centers, ambulatory surgery centers and radiation oncology centers. At December 31, 1995, the Company operated 29 hospitals, consisting of 14 acute care hospitals and 15 behavioral health centers, in Arkansas, California, Florida, Georgia, Illinois, Louisiana, Massachusetts, Michigan, Missouri, Nevada, Pennsylvania, South Carolina, Texas and Washington. The Company, as part of its Ambulatory Treatment Centers Division owns outright, or in partnership with physicians, and operates or manages 25 surgery and radiation oncology centers located in 14 states.</w:t>
      </w:r>
    </w:p>
    <w:p>
      <w:pPr>
        <w:spacing w:after="0" w:line="177"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Services provided by the Company's hospitals include general surgery, internal medicine, obstetrics, emergency room care, radiology, diagnostic care, coronary care, pediatric services and psychiatric services. The Company provides capital resources as well as a variety of management services to its facilities, including central purchasing, data processing, finance and control systems, facilities planning, physician recruitment services, administrative personnel management, marketing and public relations.</w:t>
      </w:r>
    </w:p>
    <w:p>
      <w:pPr>
        <w:spacing w:after="0" w:line="188" w:lineRule="exact"/>
        <w:rPr>
          <w:sz w:val="20"/>
          <w:szCs w:val="20"/>
          <w:color w:val="auto"/>
        </w:rPr>
      </w:pPr>
    </w:p>
    <w:p>
      <w:pPr>
        <w:ind w:right="2599" w:firstLine="382"/>
        <w:spacing w:after="0"/>
        <w:rPr>
          <w:sz w:val="20"/>
          <w:szCs w:val="20"/>
          <w:color w:val="auto"/>
        </w:rPr>
      </w:pPr>
      <w:r>
        <w:rPr>
          <w:rFonts w:ascii="Courier New" w:cs="Courier New" w:eastAsia="Courier New" w:hAnsi="Courier New"/>
          <w:sz w:val="16"/>
          <w:szCs w:val="16"/>
          <w:color w:val="auto"/>
        </w:rPr>
        <w:t>Net revenues from the Company's acute care hospitals, and ambulatory treatment centers accounted for 84%, 85% and 86% of consolidated net revenues in 1993, 1994 and 1995, respectively.</w:t>
      </w:r>
    </w:p>
    <w:p>
      <w:pPr>
        <w:spacing w:after="0" w:line="190"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NET REVENUES: Net revenues are reported at the estimated net realizable amounts from patients, third-party payors, and others for services rendered, including estimated retroactive adjustments under reimbursement agreements with third-party payors. These net revenues are accrued on an estimated basis in the period the related services are rendered and adjusted in future periods as final settlements are determined. Medicare and Medicaid net revenues represented 43%, 44% and 48% of net patient revenues for the years 1993, 1994 and 1995, respectively, excluding the additional revenues from special Medicaid reimbursement programs described in Note 11.</w:t>
      </w:r>
    </w:p>
    <w:p>
      <w:pPr>
        <w:spacing w:after="0" w:line="189"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PROPERTY AND EQUIPMENT: Property and equipment are stated at cost. Expenditures for renewals and improvements are charged to the property accounts. Replacements, maintenance and repairs which do not improve or extend the life of the respective asset are expensed as incurred. The Company removes the cost and the related accumulated depreciation from the accounts for assets sold or retired and the resulting gains or losses are included in the results of operations.</w:t>
      </w:r>
    </w:p>
    <w:p>
      <w:pPr>
        <w:spacing w:after="0" w:line="188" w:lineRule="exact"/>
        <w:rPr>
          <w:sz w:val="20"/>
          <w:szCs w:val="20"/>
          <w:color w:val="auto"/>
        </w:rPr>
      </w:pPr>
    </w:p>
    <w:p>
      <w:pPr>
        <w:ind w:right="2599" w:firstLine="382"/>
        <w:spacing w:after="0"/>
        <w:rPr>
          <w:sz w:val="20"/>
          <w:szCs w:val="20"/>
          <w:color w:val="auto"/>
        </w:rPr>
      </w:pPr>
      <w:r>
        <w:rPr>
          <w:rFonts w:ascii="Courier New" w:cs="Courier New" w:eastAsia="Courier New" w:hAnsi="Courier New"/>
          <w:sz w:val="16"/>
          <w:szCs w:val="16"/>
          <w:color w:val="auto"/>
        </w:rPr>
        <w:t>Depreciation is provided on the straightline method over the estimated useful lives of buildings and improvements (twenty to forty years) and equipment (five to fifteen years).</w:t>
      </w:r>
    </w:p>
    <w:p>
      <w:pPr>
        <w:spacing w:after="0" w:line="190" w:lineRule="exact"/>
        <w:rPr>
          <w:sz w:val="20"/>
          <w:szCs w:val="20"/>
          <w:color w:val="auto"/>
        </w:rPr>
      </w:pPr>
    </w:p>
    <w:p>
      <w:pPr>
        <w:ind w:right="2599" w:firstLine="382"/>
        <w:spacing w:after="0" w:line="241" w:lineRule="auto"/>
        <w:rPr>
          <w:sz w:val="20"/>
          <w:szCs w:val="20"/>
          <w:color w:val="auto"/>
        </w:rPr>
      </w:pPr>
      <w:r>
        <w:rPr>
          <w:rFonts w:ascii="Courier New" w:cs="Courier New" w:eastAsia="Courier New" w:hAnsi="Courier New"/>
          <w:sz w:val="16"/>
          <w:szCs w:val="16"/>
          <w:color w:val="auto"/>
        </w:rPr>
        <w:t>OTHER ASSETS: The excess of cost over fair value of net assets acquired in purchase transactions, net of accumulated amortization of $52,261,000 in 1994 and $59,957,000 in 1995 is amortized using the straight-line method over periods ranging from five to forty years.</w:t>
      </w:r>
    </w:p>
    <w:p>
      <w:pPr>
        <w:spacing w:after="0" w:line="189" w:lineRule="exact"/>
        <w:rPr>
          <w:sz w:val="20"/>
          <w:szCs w:val="20"/>
          <w:color w:val="auto"/>
        </w:rPr>
      </w:pPr>
    </w:p>
    <w:p>
      <w:pPr>
        <w:ind w:right="2679" w:firstLine="382"/>
        <w:spacing w:after="0" w:line="241" w:lineRule="auto"/>
        <w:rPr>
          <w:sz w:val="20"/>
          <w:szCs w:val="20"/>
          <w:color w:val="auto"/>
        </w:rPr>
      </w:pPr>
      <w:r>
        <w:rPr>
          <w:rFonts w:ascii="Courier New" w:cs="Courier New" w:eastAsia="Courier New" w:hAnsi="Courier New"/>
          <w:sz w:val="16"/>
          <w:szCs w:val="16"/>
          <w:color w:val="auto"/>
        </w:rPr>
        <w:t>During 1994, the Company established an employee life insurance program covering approximately 2,200 employees. At December 31, 1994 and 1995, the cash surrender value of the policies ($41.3 million and $34.3 million) were recorded net of related loans ($41.0 million and $34.4 million) and is included in other assets.</w:t>
      </w:r>
    </w:p>
    <w:p>
      <w:pPr>
        <w:spacing w:after="0" w:line="18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F-7</w:t>
      </w:r>
    </w:p>
    <w:p>
      <w:pPr>
        <w:sectPr>
          <w:pgSz w:w="11900" w:h="16838" w:orient="portrait"/>
          <w:cols w:equalWidth="0" w:num="1">
            <w:col w:w="10219"/>
          </w:cols>
          <w:pgMar w:left="240" w:top="481" w:right="1440" w:bottom="1440" w:gutter="0" w:footer="0" w:header="0"/>
        </w:sectPr>
      </w:pPr>
    </w:p>
    <w:bookmarkStart w:id="57" w:name="page58"/>
    <w:bookmarkEnd w:id="57"/>
    <w:p>
      <w:pPr>
        <w:ind w:left="1520"/>
        <w:spacing w:after="0"/>
        <w:rPr>
          <w:sz w:val="20"/>
          <w:szCs w:val="20"/>
          <w:color w:val="auto"/>
        </w:rPr>
      </w:pPr>
      <w:r>
        <w:rPr>
          <w:rFonts w:ascii="Courier New" w:cs="Courier New" w:eastAsia="Courier New" w:hAnsi="Courier New"/>
          <w:sz w:val="16"/>
          <w:szCs w:val="16"/>
          <w:color w:val="auto"/>
        </w:rPr>
        <w:t>UNIVERSAL HEALTH SERVICES, INC. AND SUBSIDIARIES</w:t>
      </w:r>
    </w:p>
    <w:p>
      <w:pPr>
        <w:spacing w:after="0" w:line="2"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 SUMMARY OF SIGNIFICANT ACCOUNTING POLICIES--(CONTINUED)</w:t>
      </w:r>
    </w:p>
    <w:p>
      <w:pPr>
        <w:spacing w:after="0" w:line="5" w:lineRule="exact"/>
        <w:rPr>
          <w:sz w:val="20"/>
          <w:szCs w:val="20"/>
          <w:color w:val="auto"/>
        </w:rPr>
      </w:pPr>
    </w:p>
    <w:p>
      <w:pPr>
        <w:ind w:right="2679" w:firstLine="382"/>
        <w:spacing w:after="0" w:line="265" w:lineRule="auto"/>
        <w:rPr>
          <w:sz w:val="20"/>
          <w:szCs w:val="20"/>
          <w:color w:val="auto"/>
        </w:rPr>
      </w:pPr>
      <w:r>
        <w:rPr>
          <w:rFonts w:ascii="Courier New" w:cs="Courier New" w:eastAsia="Courier New" w:hAnsi="Courier New"/>
          <w:sz w:val="15"/>
          <w:szCs w:val="15"/>
          <w:color w:val="auto"/>
        </w:rPr>
        <w:t>LONG-LIVED ASSETS: It is the Company's policy to review the carrying value of long-lived assets for impairment whenever events or changes in circumstances indicate that the carrying value of such assets may not be recoverable.</w:t>
      </w:r>
    </w:p>
    <w:p>
      <w:pPr>
        <w:spacing w:after="0" w:line="171"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In 1995, the Company adopted the provisions of Statement of Financial Accounting Standards (SFAS) No. 121 "Accounting for the Impairment of Long-Lived Assets and for Long-Lived Assets to be Disposed of." The Statement requires the recognition of an impairment loss for an asset held for use when the estimate of undiscounted future cash flows expected to be generated by the asset is less than its carrying amount.</w:t>
      </w:r>
    </w:p>
    <w:p>
      <w:pPr>
        <w:spacing w:after="0" w:line="187" w:lineRule="exact"/>
        <w:rPr>
          <w:sz w:val="20"/>
          <w:szCs w:val="20"/>
          <w:color w:val="auto"/>
        </w:rPr>
      </w:pPr>
    </w:p>
    <w:p>
      <w:pPr>
        <w:ind w:right="2679" w:firstLine="382"/>
        <w:spacing w:after="0"/>
        <w:rPr>
          <w:sz w:val="20"/>
          <w:szCs w:val="20"/>
          <w:color w:val="auto"/>
        </w:rPr>
      </w:pPr>
      <w:r>
        <w:rPr>
          <w:rFonts w:ascii="Courier New" w:cs="Courier New" w:eastAsia="Courier New" w:hAnsi="Courier New"/>
          <w:sz w:val="16"/>
          <w:szCs w:val="16"/>
          <w:color w:val="auto"/>
        </w:rPr>
        <w:t>Measurement of the impairment loss is based on fair value of the asset. Generally, fair value will be determined using valuation techniques such as the present value of expected future cash flows. See Note 9.</w:t>
      </w:r>
    </w:p>
    <w:p>
      <w:pPr>
        <w:spacing w:after="0" w:line="190" w:lineRule="exact"/>
        <w:rPr>
          <w:sz w:val="20"/>
          <w:szCs w:val="20"/>
          <w:color w:val="auto"/>
        </w:rPr>
      </w:pPr>
    </w:p>
    <w:p>
      <w:pPr>
        <w:ind w:right="2599" w:firstLine="382"/>
        <w:spacing w:after="0" w:line="241" w:lineRule="auto"/>
        <w:rPr>
          <w:sz w:val="20"/>
          <w:szCs w:val="20"/>
          <w:color w:val="auto"/>
        </w:rPr>
      </w:pPr>
      <w:r>
        <w:rPr>
          <w:rFonts w:ascii="Courier New" w:cs="Courier New" w:eastAsia="Courier New" w:hAnsi="Courier New"/>
          <w:sz w:val="16"/>
          <w:szCs w:val="16"/>
          <w:color w:val="auto"/>
        </w:rPr>
        <w:t>INCOME TAXES: The Company and its subsidiaries file consolidated Federal tax returns. Deferred taxes are recognized for the amount of taxes payable or deductible in future years as a result of differences between the tax bases of assets and liabilities and their reported amounts in the financial statements.</w:t>
      </w:r>
    </w:p>
    <w:p>
      <w:pPr>
        <w:spacing w:after="0" w:line="189" w:lineRule="exact"/>
        <w:rPr>
          <w:sz w:val="20"/>
          <w:szCs w:val="20"/>
          <w:color w:val="auto"/>
        </w:rPr>
      </w:pPr>
    </w:p>
    <w:p>
      <w:pPr>
        <w:ind w:right="3159" w:firstLine="382"/>
        <w:spacing w:after="0" w:line="241" w:lineRule="auto"/>
        <w:rPr>
          <w:sz w:val="20"/>
          <w:szCs w:val="20"/>
          <w:color w:val="auto"/>
        </w:rPr>
      </w:pPr>
      <w:r>
        <w:rPr>
          <w:rFonts w:ascii="Courier New" w:cs="Courier New" w:eastAsia="Courier New" w:hAnsi="Courier New"/>
          <w:sz w:val="16"/>
          <w:szCs w:val="16"/>
          <w:color w:val="auto"/>
        </w:rPr>
        <w:t>OTHER NONCURRENT LIABILITIES: Other noncurrent liabilities include the long-term portion of the Company's professional and general liability and workers' compensation reserves and minority interests in majority owned subsidiaries and partnerships.</w:t>
      </w:r>
    </w:p>
    <w:p>
      <w:pPr>
        <w:spacing w:after="0" w:line="189" w:lineRule="exact"/>
        <w:rPr>
          <w:sz w:val="20"/>
          <w:szCs w:val="20"/>
          <w:color w:val="auto"/>
        </w:rPr>
      </w:pPr>
    </w:p>
    <w:p>
      <w:pPr>
        <w:ind w:right="2779" w:firstLine="382"/>
        <w:spacing w:after="0" w:line="242" w:lineRule="auto"/>
        <w:rPr>
          <w:sz w:val="20"/>
          <w:szCs w:val="20"/>
          <w:color w:val="auto"/>
        </w:rPr>
      </w:pPr>
      <w:r>
        <w:rPr>
          <w:rFonts w:ascii="Courier New" w:cs="Courier New" w:eastAsia="Courier New" w:hAnsi="Courier New"/>
          <w:sz w:val="16"/>
          <w:szCs w:val="16"/>
          <w:color w:val="auto"/>
        </w:rPr>
        <w:t>EARNINGS PER COMMON AND COMMON SHARE EQUIVALENTS: Earnings per share are based on the weighted average number of common shares outstanding during the year adjusted to give effect to common stock equivalents. The 1993 and 1994 earnings per share have been adjusted to reflect the assumed conversion of the Company's convertible debentures. In April 1994, the Company redeemed the debentures which reduced the fully diluted number of shares outstanding by 902,466.</w:t>
      </w:r>
    </w:p>
    <w:p>
      <w:pPr>
        <w:spacing w:after="0" w:line="188" w:lineRule="exact"/>
        <w:rPr>
          <w:sz w:val="20"/>
          <w:szCs w:val="20"/>
          <w:color w:val="auto"/>
        </w:rPr>
      </w:pPr>
    </w:p>
    <w:p>
      <w:pPr>
        <w:ind w:right="2599" w:firstLine="382"/>
        <w:spacing w:after="0" w:line="241" w:lineRule="auto"/>
        <w:rPr>
          <w:sz w:val="20"/>
          <w:szCs w:val="20"/>
          <w:color w:val="auto"/>
        </w:rPr>
      </w:pPr>
      <w:r>
        <w:rPr>
          <w:rFonts w:ascii="Courier New" w:cs="Courier New" w:eastAsia="Courier New" w:hAnsi="Courier New"/>
          <w:sz w:val="16"/>
          <w:szCs w:val="16"/>
          <w:color w:val="auto"/>
        </w:rPr>
        <w:t>STATEMENT OF CASH FLOWS: For purposes of the consolidated statements of cash flows, the Company considers all highly liquid investments purchased with maturities of three months or less to be cash equivalents. Interest expense in the consolidated statements of income is net of interest income of $498,000, $266,000 and $567,000 in 1993, 1994 and 1995, respectively.</w:t>
      </w:r>
    </w:p>
    <w:p>
      <w:pPr>
        <w:spacing w:after="0" w:line="190"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INTEREST RATE SWAP AGREEMENTS: In managing interest rate exposure, the Company at times enters into interest rate swap agreements. When interest rates change, the differential to be paid or received is accrued as interest expense and is recognized over the life of the agreements. Gains and losses on terminated interest rate swap agreements are amortized into income over the remaining life of the underlying debt obligation or the remaining life of the original swap, if shorter.</w:t>
      </w:r>
    </w:p>
    <w:p>
      <w:pPr>
        <w:spacing w:after="0" w:line="188"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FAIR VALUE OF FINANCIAL INSTRUMENTS: The fair value of the Company's registered debt, interest rate swap agreements and investments is based on quoted market prices. The carrying amounts reported in the balance sheet for cash, accrued liabilities, and short-term borrowings approximates fair value due to the short-term nature of these instruments. Accordingly, these items have been excluded from the fair value disclosures included elsewhere in these notes to consolidated financial statements.</w:t>
      </w:r>
    </w:p>
    <w:p>
      <w:pPr>
        <w:spacing w:after="0" w:line="188"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USE OF ESTIMATES: 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8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F-8</w:t>
      </w:r>
    </w:p>
    <w:p>
      <w:pPr>
        <w:sectPr>
          <w:pgSz w:w="11900" w:h="16838" w:orient="portrait"/>
          <w:cols w:equalWidth="0" w:num="1">
            <w:col w:w="10219"/>
          </w:cols>
          <w:pgMar w:left="240" w:top="481" w:right="1440" w:bottom="1440" w:gutter="0" w:footer="0" w:header="0"/>
        </w:sectPr>
      </w:pPr>
    </w:p>
    <w:bookmarkStart w:id="58" w:name="page59"/>
    <w:bookmarkEnd w:id="58"/>
    <w:p>
      <w:pPr>
        <w:ind w:left="1520"/>
        <w:spacing w:after="0"/>
        <w:rPr>
          <w:sz w:val="20"/>
          <w:szCs w:val="20"/>
          <w:color w:val="auto"/>
        </w:rPr>
      </w:pPr>
      <w:r>
        <w:rPr>
          <w:rFonts w:ascii="Courier New" w:cs="Courier New" w:eastAsia="Courier New" w:hAnsi="Courier New"/>
          <w:sz w:val="16"/>
          <w:szCs w:val="16"/>
          <w:color w:val="auto"/>
        </w:rPr>
        <w:t>UNIVERSAL HEALTH SERVICES, INC. AND SUBSIDIARIES</w:t>
      </w:r>
    </w:p>
    <w:p>
      <w:pPr>
        <w:spacing w:after="0" w:line="2"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 ACQUISITIONS AND DIVESTITURES</w:t>
      </w:r>
    </w:p>
    <w:p>
      <w:pPr>
        <w:spacing w:after="0" w:line="188" w:lineRule="exact"/>
        <w:rPr>
          <w:sz w:val="20"/>
          <w:szCs w:val="20"/>
          <w:color w:val="auto"/>
        </w:rPr>
      </w:pPr>
    </w:p>
    <w:p>
      <w:pPr>
        <w:ind w:right="2599" w:firstLine="382"/>
        <w:spacing w:after="0" w:line="241" w:lineRule="auto"/>
        <w:rPr>
          <w:sz w:val="20"/>
          <w:szCs w:val="20"/>
          <w:color w:val="auto"/>
        </w:rPr>
      </w:pPr>
      <w:r>
        <w:rPr>
          <w:rFonts w:ascii="Courier New" w:cs="Courier New" w:eastAsia="Courier New" w:hAnsi="Courier New"/>
          <w:sz w:val="16"/>
          <w:szCs w:val="16"/>
          <w:color w:val="auto"/>
        </w:rPr>
        <w:t>1995--During the second quarter, the Company acquired an 82-bed psychiatric hospital located in South Attleboro, Massachusetts for approximately $3 million. The Company also purchased for approximately $2 million, a majority interest in two separate partnerships which own and operate outpatient surgery centers located in Fayetteville, Arkansas and Somersworth, New Hampshire.</w:t>
      </w:r>
    </w:p>
    <w:p>
      <w:pPr>
        <w:spacing w:after="0" w:line="190"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During the third quarter, the Company completed the acquisition of Aiken Regional Medical Centers, ("Aiken") a 225-bed acute care facility located in Aiken, South Carolina for approximately $44 million in cash, a 104-bed acute care hospital and a 126-bed acute care hospital. The majority of the real estate assets of the 126-bed facility were being leased from Universal Health Realty Income Trust (the "Trust") pursuant to the terms of an operating lease which was scheduled to expire in 2000. In exchange for the real estate assets of the 126-bed acute care hospital, the Company exchanged substitute properties consisting of additional real estate assets owned by the Company but related to three acute care facilities owned by the Trust and operated by the Company. As a result of the divestiture of the two acute care hospitals in connection with the acquisition of Aiken Regional Medical Centers, the Company recorded a $4.3 million and a $2.7 million pre-tax charge in the 1994 and 1995 consolidated statements of income, respectively.</w:t>
      </w:r>
    </w:p>
    <w:p>
      <w:pPr>
        <w:spacing w:after="0" w:line="192" w:lineRule="exact"/>
        <w:rPr>
          <w:sz w:val="20"/>
          <w:szCs w:val="20"/>
          <w:color w:val="auto"/>
        </w:rPr>
      </w:pPr>
    </w:p>
    <w:p>
      <w:pPr>
        <w:ind w:right="2679" w:firstLine="382"/>
        <w:spacing w:after="0" w:line="241" w:lineRule="auto"/>
        <w:rPr>
          <w:sz w:val="20"/>
          <w:szCs w:val="20"/>
          <w:color w:val="auto"/>
        </w:rPr>
      </w:pPr>
      <w:r>
        <w:rPr>
          <w:rFonts w:ascii="Courier New" w:cs="Courier New" w:eastAsia="Courier New" w:hAnsi="Courier New"/>
          <w:sz w:val="16"/>
          <w:szCs w:val="16"/>
          <w:color w:val="auto"/>
        </w:rPr>
        <w:t>During the third quarter, the Company completed the acquisition of Manatee Memorial Hospital, ("Manatee") a 512-bed acute care hospital located in Bradenton, Florida for approximately $139 million in cash and assumption of net liabilities of approximately $4 million.</w:t>
      </w:r>
    </w:p>
    <w:p>
      <w:pPr>
        <w:spacing w:after="0" w:line="189"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During the fourth quarter, the Company sold the operations and substantially all the assets of Universal Medical Center ("UMC"), a 202-bed acute care hospital located in Plantation, Florida for cash proceeds of approximately $20 million. The sale resulted in a pre-tax gain of approximately $5 million which has been included in nonrecurring charges in the 1995 consolidated statement of income.</w:t>
      </w:r>
    </w:p>
    <w:p>
      <w:pPr>
        <w:spacing w:after="0" w:line="187" w:lineRule="exact"/>
        <w:rPr>
          <w:sz w:val="20"/>
          <w:szCs w:val="20"/>
          <w:color w:val="auto"/>
        </w:rPr>
      </w:pPr>
    </w:p>
    <w:p>
      <w:pPr>
        <w:ind w:right="2599" w:firstLine="382"/>
        <w:spacing w:after="0" w:line="260" w:lineRule="auto"/>
        <w:rPr>
          <w:sz w:val="20"/>
          <w:szCs w:val="20"/>
          <w:color w:val="auto"/>
        </w:rPr>
      </w:pPr>
      <w:r>
        <w:rPr>
          <w:rFonts w:ascii="Courier New" w:cs="Courier New" w:eastAsia="Courier New" w:hAnsi="Courier New"/>
          <w:sz w:val="15"/>
          <w:szCs w:val="15"/>
          <w:color w:val="auto"/>
        </w:rPr>
        <w:t>In September, 1995, the Company signed a letter of intent to acquire Northwest Texas Hospital, a 360-bed acute care facility located in Amarillo, Texas. The closing of this transaction, which is expected to be completed during the second quarter of 1996, is subject to a number of conditions. Cash consideration is expected to approximate $120 million in addition to payments by the Company to the Amarillo Hospital District of 15% of any amount of earnings before depreciation, interest and taxes in excess of $24 million in each year of the seven year period commencing April 1, 1996 and ending March 31, 2003. In addition under terms of the agreement, the Amarillo Hospital District will pay the Company $8 million per year for the first four years and $6 million per year (subject to certain adjustments for inflation) for up to an additional 36 years to help support the cost of medical service to indigent patients.</w:t>
      </w:r>
    </w:p>
    <w:p>
      <w:pPr>
        <w:spacing w:after="0" w:line="175"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Operating results of Aiken and Manatee have been included in the financial statements from their respective dates of acquisition. Assuming the Aiken and Manatee acquisitions had been completed as of January 1, 1995 the unaudited pro forma net revenues and net income would have been approximately $1 billion and $37.9 million, respectively. In addition, the unaudited pro forma earnings per share would have been $1.35. The unaudited pro forma financial information may not be indicative of results that would have been reported if the acquisitions had occurred at the beginning of 1995 and may not be indicative of future operating results.</w:t>
      </w:r>
    </w:p>
    <w:p>
      <w:pPr>
        <w:spacing w:after="0" w:line="189" w:lineRule="exact"/>
        <w:rPr>
          <w:sz w:val="20"/>
          <w:szCs w:val="20"/>
          <w:color w:val="auto"/>
        </w:rPr>
      </w:pPr>
    </w:p>
    <w:p>
      <w:pPr>
        <w:ind w:right="2779" w:firstLine="382"/>
        <w:spacing w:after="0"/>
        <w:rPr>
          <w:sz w:val="20"/>
          <w:szCs w:val="20"/>
          <w:color w:val="auto"/>
        </w:rPr>
      </w:pPr>
      <w:r>
        <w:rPr>
          <w:rFonts w:ascii="Courier New" w:cs="Courier New" w:eastAsia="Courier New" w:hAnsi="Courier New"/>
          <w:sz w:val="16"/>
          <w:szCs w:val="16"/>
          <w:color w:val="auto"/>
        </w:rPr>
        <w:t>The excess of cost over fair value of net assets acquired in the 1995 purchase transactions is amortized using the straight-line method over fifteen years.</w:t>
      </w:r>
    </w:p>
    <w:p>
      <w:pPr>
        <w:spacing w:after="0" w:line="18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F-9</w:t>
      </w:r>
    </w:p>
    <w:p>
      <w:pPr>
        <w:sectPr>
          <w:pgSz w:w="11900" w:h="16838" w:orient="portrait"/>
          <w:cols w:equalWidth="0" w:num="1">
            <w:col w:w="10219"/>
          </w:cols>
          <w:pgMar w:left="240" w:top="481" w:right="1440" w:bottom="1440" w:gutter="0" w:footer="0" w:header="0"/>
        </w:sectPr>
      </w:pPr>
    </w:p>
    <w:bookmarkStart w:id="59" w:name="page60"/>
    <w:bookmarkEnd w:id="59"/>
    <w:p>
      <w:pPr>
        <w:ind w:left="1520"/>
        <w:spacing w:after="0"/>
        <w:rPr>
          <w:sz w:val="20"/>
          <w:szCs w:val="20"/>
          <w:color w:val="auto"/>
        </w:rPr>
      </w:pPr>
      <w:r>
        <w:rPr>
          <w:rFonts w:ascii="Courier New" w:cs="Courier New" w:eastAsia="Courier New" w:hAnsi="Courier New"/>
          <w:sz w:val="16"/>
          <w:szCs w:val="16"/>
          <w:color w:val="auto"/>
        </w:rPr>
        <w:t>UNIVERSAL HEALTH SERVICES, INC. AND SUBSIDIARIES</w:t>
      </w:r>
    </w:p>
    <w:p>
      <w:pPr>
        <w:spacing w:after="0" w:line="2"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 ACQUISITIONS AND DIVESTITURES--(CONTINUED)</w:t>
      </w:r>
    </w:p>
    <w:p>
      <w:pPr>
        <w:spacing w:after="0" w:line="5"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1994--During 1994 the Company purchased majority interests in two separate partnerships which own and operate outpatient surgery facilities. One of these partnerships was merged with an existing partnership in which the Company held a majority ownership. The Company also agreed to manage the operations of, and purchased a majority interest in, these separate partnerships which lease fixed assets to four radiation therapy centers located in Kentucky. In addition, the Company purchased one radiation center and majority interests in two separate partnerships which own and operate radiation therapy centers. Total consideration for these acquisitions was $14.5 million in cash, and the assumption of liabilities totaling $3.0 million.</w:t>
      </w:r>
    </w:p>
    <w:p>
      <w:pPr>
        <w:spacing w:after="0" w:line="190"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In November 1994, the Company acquired a 112-bed acute care hospital located in Edinburg, Texas for net cash of approximately $11.3 million and the assumption of liabilities totaling $2.2 million. In connection with this acquisition, the Company committed to invest at least an additional $30 million, over a ten year period, to renovate the existing facility and construct an additional facility. Approximately $2.2 million was spent on this project during 1995.</w:t>
      </w:r>
    </w:p>
    <w:p>
      <w:pPr>
        <w:spacing w:after="0" w:line="188" w:lineRule="exact"/>
        <w:rPr>
          <w:sz w:val="20"/>
          <w:szCs w:val="20"/>
          <w:color w:val="auto"/>
        </w:rPr>
      </w:pPr>
    </w:p>
    <w:p>
      <w:pPr>
        <w:ind w:right="2679" w:firstLine="382"/>
        <w:spacing w:after="0"/>
        <w:rPr>
          <w:sz w:val="20"/>
          <w:szCs w:val="20"/>
          <w:color w:val="auto"/>
        </w:rPr>
      </w:pPr>
      <w:r>
        <w:rPr>
          <w:rFonts w:ascii="Courier New" w:cs="Courier New" w:eastAsia="Courier New" w:hAnsi="Courier New"/>
          <w:sz w:val="16"/>
          <w:szCs w:val="16"/>
          <w:color w:val="auto"/>
        </w:rPr>
        <w:t>Operating results of the hospital located in Edinburg have been included in the financial statements from the date of acquisition. Assuming the above Edinburg, Aiken and Manatee acquisitions had been completed as of January 1,</w:t>
      </w:r>
    </w:p>
    <w:p>
      <w:pPr>
        <w:spacing w:after="0" w:line="6"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1994 the unaudited pro forma net revenues and net income would have been $952 million and $32 million, respectively. In addition, the unaudited pro forma earnings per share would have been $1.13. The unaudited pro forma financial information may not be indicative of results that would have been reported if the acquisitions had occurred at the beginning of 1994 and may not be indicative of future operating results.</w:t>
      </w:r>
    </w:p>
    <w:p>
      <w:pPr>
        <w:spacing w:after="0" w:line="187" w:lineRule="exact"/>
        <w:rPr>
          <w:sz w:val="20"/>
          <w:szCs w:val="20"/>
          <w:color w:val="auto"/>
        </w:rPr>
      </w:pPr>
    </w:p>
    <w:p>
      <w:pPr>
        <w:ind w:right="2879" w:firstLine="382"/>
        <w:spacing w:after="0" w:line="241" w:lineRule="auto"/>
        <w:rPr>
          <w:sz w:val="20"/>
          <w:szCs w:val="20"/>
          <w:color w:val="auto"/>
        </w:rPr>
      </w:pPr>
      <w:r>
        <w:rPr>
          <w:rFonts w:ascii="Courier New" w:cs="Courier New" w:eastAsia="Courier New" w:hAnsi="Courier New"/>
          <w:sz w:val="16"/>
          <w:szCs w:val="16"/>
          <w:color w:val="auto"/>
        </w:rPr>
        <w:t>1993--During 1993 the Company purchased a radiation therapy center and majority interests in four separate partnerships which own and operate ambulatory surgery facilities for $11.5 million in cash and the assumption of liabilities totaling $300,000.</w:t>
      </w:r>
    </w:p>
    <w:p>
      <w:pPr>
        <w:spacing w:after="0" w:line="189"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During the fourth quarter, the Company sold the operations and fixed assets of a 124-bed acute care hospital for approximately $7.8 million in cash. The Company also sold the operations and certain fixed assets of a 134-bed acute care hospital for cash of $1.5 million. Concurrently, the Company sold certain related real property to Universal Health Realty Income Trust (the "Trust"), an affiliate and the lessor of this 134-bed acute care hospital, for $1 million in cash and a note receivable of $900,000 (see Note 8). In connection with this transaction, the Company's lease with the Trust for this property was terminated. The disposition of these two facilities resulted in a pre-tax loss of $4.4 million ($2.2 million after tax), which is included in nonrecurring charges in the 1993 consolidated statement of income.</w:t>
      </w:r>
    </w:p>
    <w:p>
      <w:pPr>
        <w:spacing w:after="0" w:line="191" w:lineRule="exact"/>
        <w:rPr>
          <w:sz w:val="20"/>
          <w:szCs w:val="20"/>
          <w:color w:val="auto"/>
        </w:rPr>
      </w:pPr>
    </w:p>
    <w:p>
      <w:pPr>
        <w:ind w:right="2679" w:firstLine="382"/>
        <w:spacing w:after="0" w:line="241" w:lineRule="auto"/>
        <w:rPr>
          <w:sz w:val="20"/>
          <w:szCs w:val="20"/>
          <w:color w:val="auto"/>
        </w:rPr>
      </w:pPr>
      <w:r>
        <w:rPr>
          <w:rFonts w:ascii="Courier New" w:cs="Courier New" w:eastAsia="Courier New" w:hAnsi="Courier New"/>
          <w:sz w:val="16"/>
          <w:szCs w:val="16"/>
          <w:color w:val="auto"/>
        </w:rPr>
        <w:t>Also during 1993, the Company recorded a pre-tax charge of $4.4 million related to the winding down or disposition of other non-strategic businesses which is included in nonrecurring charges in the 1993 consolidated statement of income.</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F-10</w:t>
      </w:r>
    </w:p>
    <w:p>
      <w:pPr>
        <w:sectPr>
          <w:pgSz w:w="11900" w:h="16838" w:orient="portrait"/>
          <w:cols w:equalWidth="0" w:num="1">
            <w:col w:w="10219"/>
          </w:cols>
          <w:pgMar w:left="240" w:top="481" w:right="1440" w:bottom="1440" w:gutter="0" w:footer="0" w:header="0"/>
        </w:sectPr>
      </w:pPr>
    </w:p>
    <w:bookmarkStart w:id="60" w:name="page61"/>
    <w:bookmarkEnd w:id="60"/>
    <w:p>
      <w:pPr>
        <w:ind w:left="2200"/>
        <w:spacing w:after="0"/>
        <w:rPr>
          <w:sz w:val="20"/>
          <w:szCs w:val="20"/>
          <w:color w:val="auto"/>
        </w:rPr>
      </w:pPr>
      <w:r>
        <w:rPr>
          <w:rFonts w:ascii="Courier New" w:cs="Courier New" w:eastAsia="Courier New" w:hAnsi="Courier New"/>
          <w:sz w:val="16"/>
          <w:szCs w:val="16"/>
          <w:color w:val="auto"/>
        </w:rPr>
        <w:t>UNIVERSAL HEALTH SERVICES, INC. AND SUBSIDIARIES</w:t>
      </w:r>
    </w:p>
    <w:p>
      <w:pPr>
        <w:spacing w:after="0" w:line="2"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 LONG-TERM DEBT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140" w:type="dxa"/>
            <w:vAlign w:val="bottom"/>
          </w:tcPr>
          <w:p>
            <w:pPr>
              <w:ind w:left="380"/>
              <w:spacing w:after="0"/>
              <w:rPr>
                <w:sz w:val="20"/>
                <w:szCs w:val="20"/>
                <w:color w:val="auto"/>
              </w:rPr>
            </w:pPr>
            <w:r>
              <w:rPr>
                <w:rFonts w:ascii="Courier New" w:cs="Courier New" w:eastAsia="Courier New" w:hAnsi="Courier New"/>
                <w:sz w:val="16"/>
                <w:szCs w:val="16"/>
                <w:color w:val="auto"/>
              </w:rPr>
              <w:t>A summary of long-term debt follows:</w:t>
            </w:r>
          </w:p>
        </w:tc>
        <w:tc>
          <w:tcPr>
            <w:tcW w:w="14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734"/>
        </w:trPr>
        <w:tc>
          <w:tcPr>
            <w:tcW w:w="6140" w:type="dxa"/>
            <w:vAlign w:val="bottom"/>
          </w:tcPr>
          <w:p>
            <w:pPr>
              <w:spacing w:after="0"/>
              <w:rPr>
                <w:sz w:val="24"/>
                <w:szCs w:val="24"/>
                <w:color w:val="auto"/>
              </w:rPr>
            </w:pPr>
          </w:p>
        </w:tc>
        <w:tc>
          <w:tcPr>
            <w:tcW w:w="2820" w:type="dxa"/>
            <w:vAlign w:val="bottom"/>
            <w:gridSpan w:val="2"/>
          </w:tcPr>
          <w:p>
            <w:pPr>
              <w:jc w:val="right"/>
              <w:ind w:right="781"/>
              <w:spacing w:after="0"/>
              <w:rPr>
                <w:sz w:val="20"/>
                <w:szCs w:val="20"/>
                <w:color w:val="auto"/>
              </w:rPr>
            </w:pPr>
            <w:r>
              <w:rPr>
                <w:rFonts w:ascii="Courier New" w:cs="Courier New" w:eastAsia="Courier New" w:hAnsi="Courier New"/>
                <w:sz w:val="16"/>
                <w:szCs w:val="16"/>
                <w:color w:val="auto"/>
              </w:rPr>
              <w:t>DECEMBER 31</w:t>
            </w:r>
          </w:p>
        </w:tc>
      </w:tr>
      <w:tr>
        <w:trPr>
          <w:trHeight w:val="183"/>
        </w:trPr>
        <w:tc>
          <w:tcPr>
            <w:tcW w:w="6140" w:type="dxa"/>
            <w:vAlign w:val="bottom"/>
          </w:tcPr>
          <w:p>
            <w:pPr>
              <w:spacing w:after="0"/>
              <w:rPr>
                <w:sz w:val="15"/>
                <w:szCs w:val="15"/>
                <w:color w:val="auto"/>
              </w:rPr>
            </w:pPr>
          </w:p>
        </w:tc>
        <w:tc>
          <w:tcPr>
            <w:tcW w:w="2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6140" w:type="dxa"/>
            <w:vAlign w:val="bottom"/>
          </w:tcPr>
          <w:p>
            <w:pPr>
              <w:spacing w:after="0"/>
              <w:rPr>
                <w:sz w:val="24"/>
                <w:szCs w:val="24"/>
                <w:color w:val="auto"/>
              </w:rPr>
            </w:pPr>
          </w:p>
        </w:tc>
        <w:tc>
          <w:tcPr>
            <w:tcW w:w="148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1994</w:t>
            </w: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1995</w:t>
            </w:r>
          </w:p>
        </w:tc>
      </w:tr>
      <w:tr>
        <w:trPr>
          <w:trHeight w:val="183"/>
        </w:trPr>
        <w:tc>
          <w:tcPr>
            <w:tcW w:w="6140" w:type="dxa"/>
            <w:vAlign w:val="bottom"/>
          </w:tcPr>
          <w:p>
            <w:pPr>
              <w:spacing w:after="0"/>
              <w:rPr>
                <w:sz w:val="15"/>
                <w:szCs w:val="15"/>
                <w:color w:val="auto"/>
              </w:rPr>
            </w:pPr>
          </w:p>
        </w:tc>
        <w:tc>
          <w:tcPr>
            <w:tcW w:w="14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140" w:type="dxa"/>
            <w:vAlign w:val="bottom"/>
          </w:tcPr>
          <w:p>
            <w:pPr>
              <w:spacing w:after="0"/>
              <w:rPr>
                <w:sz w:val="20"/>
                <w:szCs w:val="20"/>
                <w:color w:val="auto"/>
              </w:rPr>
            </w:pPr>
            <w:r>
              <w:rPr>
                <w:rFonts w:ascii="Courier New" w:cs="Courier New" w:eastAsia="Courier New" w:hAnsi="Courier New"/>
                <w:sz w:val="16"/>
                <w:szCs w:val="16"/>
                <w:color w:val="auto"/>
              </w:rPr>
              <w:t>Long-term debt:</w:t>
            </w:r>
          </w:p>
        </w:tc>
        <w:tc>
          <w:tcPr>
            <w:tcW w:w="14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3"/>
        </w:trPr>
        <w:tc>
          <w:tcPr>
            <w:tcW w:w="6140" w:type="dxa"/>
            <w:vAlign w:val="bottom"/>
          </w:tcPr>
          <w:p>
            <w:pPr>
              <w:ind w:left="180"/>
              <w:spacing w:after="0"/>
              <w:rPr>
                <w:sz w:val="20"/>
                <w:szCs w:val="20"/>
                <w:color w:val="auto"/>
              </w:rPr>
            </w:pPr>
            <w:r>
              <w:rPr>
                <w:rFonts w:ascii="Courier New" w:cs="Courier New" w:eastAsia="Courier New" w:hAnsi="Courier New"/>
                <w:sz w:val="16"/>
                <w:szCs w:val="16"/>
                <w:color w:val="auto"/>
              </w:rPr>
              <w:t>Notes payable (including obligations under capitalized leases</w:t>
            </w:r>
          </w:p>
        </w:tc>
        <w:tc>
          <w:tcPr>
            <w:tcW w:w="14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3"/>
        </w:trPr>
        <w:tc>
          <w:tcPr>
            <w:tcW w:w="6140" w:type="dxa"/>
            <w:vAlign w:val="bottom"/>
          </w:tcPr>
          <w:p>
            <w:pPr>
              <w:ind w:left="380"/>
              <w:spacing w:after="0"/>
              <w:rPr>
                <w:sz w:val="20"/>
                <w:szCs w:val="20"/>
                <w:color w:val="auto"/>
              </w:rPr>
            </w:pPr>
            <w:r>
              <w:rPr>
                <w:rFonts w:ascii="Courier New" w:cs="Courier New" w:eastAsia="Courier New" w:hAnsi="Courier New"/>
                <w:sz w:val="16"/>
                <w:szCs w:val="16"/>
                <w:color w:val="auto"/>
              </w:rPr>
              <w:t>of $14,004,000 in 1994 and $14,220,000 in 1995) with</w:t>
            </w:r>
          </w:p>
        </w:tc>
        <w:tc>
          <w:tcPr>
            <w:tcW w:w="14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3"/>
        </w:trPr>
        <w:tc>
          <w:tcPr>
            <w:tcW w:w="6140" w:type="dxa"/>
            <w:vAlign w:val="bottom"/>
          </w:tcPr>
          <w:p>
            <w:pPr>
              <w:ind w:left="380"/>
              <w:spacing w:after="0"/>
              <w:rPr>
                <w:sz w:val="20"/>
                <w:szCs w:val="20"/>
                <w:color w:val="auto"/>
              </w:rPr>
            </w:pPr>
            <w:r>
              <w:rPr>
                <w:rFonts w:ascii="Courier New" w:cs="Courier New" w:eastAsia="Courier New" w:hAnsi="Courier New"/>
                <w:sz w:val="16"/>
                <w:szCs w:val="16"/>
                <w:color w:val="auto"/>
              </w:rPr>
              <w:t>varying maturities through 2001; weighted average interest</w:t>
            </w:r>
          </w:p>
        </w:tc>
        <w:tc>
          <w:tcPr>
            <w:tcW w:w="14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3"/>
        </w:trPr>
        <w:tc>
          <w:tcPr>
            <w:tcW w:w="6140" w:type="dxa"/>
            <w:vAlign w:val="bottom"/>
          </w:tcPr>
          <w:p>
            <w:pPr>
              <w:ind w:left="380"/>
              <w:spacing w:after="0"/>
              <w:rPr>
                <w:sz w:val="20"/>
                <w:szCs w:val="20"/>
                <w:color w:val="auto"/>
              </w:rPr>
            </w:pPr>
            <w:r>
              <w:rPr>
                <w:rFonts w:ascii="Courier New" w:cs="Courier New" w:eastAsia="Courier New" w:hAnsi="Courier New"/>
                <w:sz w:val="16"/>
                <w:szCs w:val="16"/>
                <w:color w:val="auto"/>
              </w:rPr>
              <w:t>at 6.9% in 1995 and 1994 (see Note 6 regarding capitalized</w:t>
            </w:r>
          </w:p>
        </w:tc>
        <w:tc>
          <w:tcPr>
            <w:tcW w:w="14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3"/>
        </w:trPr>
        <w:tc>
          <w:tcPr>
            <w:tcW w:w="6140" w:type="dxa"/>
            <w:vAlign w:val="bottom"/>
          </w:tcPr>
          <w:p>
            <w:pPr>
              <w:ind w:left="380"/>
              <w:spacing w:after="0"/>
              <w:rPr>
                <w:sz w:val="20"/>
                <w:szCs w:val="20"/>
                <w:color w:val="auto"/>
              </w:rPr>
            </w:pPr>
            <w:r>
              <w:rPr>
                <w:rFonts w:ascii="Courier New" w:cs="Courier New" w:eastAsia="Courier New" w:hAnsi="Courier New"/>
                <w:sz w:val="16"/>
                <w:szCs w:val="16"/>
                <w:color w:val="auto"/>
              </w:rPr>
              <w:t>leases)....................................................</w:t>
            </w:r>
          </w:p>
        </w:tc>
        <w:tc>
          <w:tcPr>
            <w:tcW w:w="14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$ 19,442,000</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$ 20,443,000</w:t>
            </w:r>
          </w:p>
        </w:tc>
      </w:tr>
      <w:tr>
        <w:trPr>
          <w:trHeight w:val="183"/>
        </w:trPr>
        <w:tc>
          <w:tcPr>
            <w:tcW w:w="6140" w:type="dxa"/>
            <w:vAlign w:val="bottom"/>
          </w:tcPr>
          <w:p>
            <w:pPr>
              <w:ind w:left="380"/>
              <w:spacing w:after="0"/>
              <w:rPr>
                <w:sz w:val="20"/>
                <w:szCs w:val="20"/>
                <w:color w:val="auto"/>
              </w:rPr>
            </w:pPr>
            <w:r>
              <w:rPr>
                <w:rFonts w:ascii="Courier New" w:cs="Courier New" w:eastAsia="Courier New" w:hAnsi="Courier New"/>
                <w:sz w:val="16"/>
                <w:szCs w:val="16"/>
                <w:color w:val="auto"/>
              </w:rPr>
              <w:t>Mortgages payable, interest at 6.0% to 9.0% with varying</w:t>
            </w:r>
          </w:p>
        </w:tc>
        <w:tc>
          <w:tcPr>
            <w:tcW w:w="14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3"/>
        </w:trPr>
        <w:tc>
          <w:tcPr>
            <w:tcW w:w="6140" w:type="dxa"/>
            <w:vAlign w:val="bottom"/>
          </w:tcPr>
          <w:p>
            <w:pPr>
              <w:ind w:left="580"/>
              <w:spacing w:after="0"/>
              <w:rPr>
                <w:sz w:val="20"/>
                <w:szCs w:val="20"/>
                <w:color w:val="auto"/>
              </w:rPr>
            </w:pPr>
            <w:r>
              <w:rPr>
                <w:rFonts w:ascii="Courier New" w:cs="Courier New" w:eastAsia="Courier New" w:hAnsi="Courier New"/>
                <w:sz w:val="16"/>
                <w:szCs w:val="16"/>
                <w:color w:val="auto"/>
              </w:rPr>
              <w:t>maturities through 2000..................................</w:t>
            </w:r>
          </w:p>
        </w:tc>
        <w:tc>
          <w:tcPr>
            <w:tcW w:w="14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3,745,000</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2,184,000</w:t>
            </w:r>
          </w:p>
        </w:tc>
      </w:tr>
      <w:tr>
        <w:trPr>
          <w:trHeight w:val="183"/>
        </w:trPr>
        <w:tc>
          <w:tcPr>
            <w:tcW w:w="6140" w:type="dxa"/>
            <w:vAlign w:val="bottom"/>
          </w:tcPr>
          <w:p>
            <w:pPr>
              <w:ind w:left="180"/>
              <w:spacing w:after="0"/>
              <w:rPr>
                <w:sz w:val="20"/>
                <w:szCs w:val="20"/>
                <w:color w:val="auto"/>
              </w:rPr>
            </w:pPr>
            <w:r>
              <w:rPr>
                <w:rFonts w:ascii="Courier New" w:cs="Courier New" w:eastAsia="Courier New" w:hAnsi="Courier New"/>
                <w:sz w:val="16"/>
                <w:szCs w:val="16"/>
                <w:color w:val="auto"/>
              </w:rPr>
              <w:t>Revolving credit and demand notes............................</w:t>
            </w:r>
          </w:p>
        </w:tc>
        <w:tc>
          <w:tcPr>
            <w:tcW w:w="14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8,950,000</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21,450,000</w:t>
            </w:r>
          </w:p>
        </w:tc>
      </w:tr>
      <w:tr>
        <w:trPr>
          <w:trHeight w:val="183"/>
        </w:trPr>
        <w:tc>
          <w:tcPr>
            <w:tcW w:w="6140" w:type="dxa"/>
            <w:vAlign w:val="bottom"/>
          </w:tcPr>
          <w:p>
            <w:pPr>
              <w:ind w:left="180"/>
              <w:spacing w:after="0"/>
              <w:rPr>
                <w:sz w:val="20"/>
                <w:szCs w:val="20"/>
                <w:color w:val="auto"/>
              </w:rPr>
            </w:pPr>
            <w:r>
              <w:rPr>
                <w:rFonts w:ascii="Courier New" w:cs="Courier New" w:eastAsia="Courier New" w:hAnsi="Courier New"/>
                <w:sz w:val="16"/>
                <w:szCs w:val="16"/>
                <w:color w:val="auto"/>
              </w:rPr>
              <w:t>Commercial paper.............................................</w:t>
            </w:r>
          </w:p>
        </w:tc>
        <w:tc>
          <w:tcPr>
            <w:tcW w:w="14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38,500,000</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48,000,000</w:t>
            </w:r>
          </w:p>
        </w:tc>
      </w:tr>
      <w:tr>
        <w:trPr>
          <w:trHeight w:val="183"/>
        </w:trPr>
        <w:tc>
          <w:tcPr>
            <w:tcW w:w="6140" w:type="dxa"/>
            <w:vAlign w:val="bottom"/>
          </w:tcPr>
          <w:p>
            <w:pPr>
              <w:ind w:left="180"/>
              <w:spacing w:after="0"/>
              <w:rPr>
                <w:sz w:val="20"/>
                <w:szCs w:val="20"/>
                <w:color w:val="auto"/>
              </w:rPr>
            </w:pPr>
            <w:r>
              <w:rPr>
                <w:rFonts w:ascii="Courier New" w:cs="Courier New" w:eastAsia="Courier New" w:hAnsi="Courier New"/>
                <w:sz w:val="16"/>
                <w:szCs w:val="16"/>
                <w:color w:val="auto"/>
              </w:rPr>
              <w:t>Revenue bonds:</w:t>
            </w:r>
          </w:p>
        </w:tc>
        <w:tc>
          <w:tcPr>
            <w:tcW w:w="14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3"/>
        </w:trPr>
        <w:tc>
          <w:tcPr>
            <w:tcW w:w="6140" w:type="dxa"/>
            <w:vAlign w:val="bottom"/>
          </w:tcPr>
          <w:p>
            <w:pPr>
              <w:ind w:left="380"/>
              <w:spacing w:after="0"/>
              <w:rPr>
                <w:sz w:val="20"/>
                <w:szCs w:val="20"/>
                <w:color w:val="auto"/>
              </w:rPr>
            </w:pPr>
            <w:r>
              <w:rPr>
                <w:rFonts w:ascii="Courier New" w:cs="Courier New" w:eastAsia="Courier New" w:hAnsi="Courier New"/>
                <w:sz w:val="16"/>
                <w:szCs w:val="16"/>
                <w:color w:val="auto"/>
              </w:rPr>
              <w:t>interest at floating rates ranging from 5.0% to 5.2% at</w:t>
            </w:r>
          </w:p>
        </w:tc>
        <w:tc>
          <w:tcPr>
            <w:tcW w:w="14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3"/>
        </w:trPr>
        <w:tc>
          <w:tcPr>
            <w:tcW w:w="6140" w:type="dxa"/>
            <w:vAlign w:val="bottom"/>
          </w:tcPr>
          <w:p>
            <w:pPr>
              <w:ind w:left="580"/>
              <w:spacing w:after="0"/>
              <w:rPr>
                <w:sz w:val="20"/>
                <w:szCs w:val="20"/>
                <w:color w:val="auto"/>
              </w:rPr>
            </w:pPr>
            <w:r>
              <w:rPr>
                <w:rFonts w:ascii="Courier New" w:cs="Courier New" w:eastAsia="Courier New" w:hAnsi="Courier New"/>
                <w:sz w:val="16"/>
                <w:szCs w:val="16"/>
                <w:color w:val="auto"/>
              </w:rPr>
              <w:t>December 31, 1995 with varying maturities through 2015...</w:t>
            </w:r>
          </w:p>
        </w:tc>
        <w:tc>
          <w:tcPr>
            <w:tcW w:w="14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21,724,000</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18,200,000</w:t>
            </w:r>
          </w:p>
        </w:tc>
      </w:tr>
      <w:tr>
        <w:trPr>
          <w:trHeight w:val="183"/>
        </w:trPr>
        <w:tc>
          <w:tcPr>
            <w:tcW w:w="6140" w:type="dxa"/>
            <w:vAlign w:val="bottom"/>
          </w:tcPr>
          <w:p>
            <w:pPr>
              <w:ind w:left="180"/>
              <w:spacing w:after="0"/>
              <w:rPr>
                <w:sz w:val="20"/>
                <w:szCs w:val="20"/>
                <w:color w:val="auto"/>
              </w:rPr>
            </w:pPr>
            <w:r>
              <w:rPr>
                <w:rFonts w:ascii="Courier New" w:cs="Courier New" w:eastAsia="Courier New" w:hAnsi="Courier New"/>
                <w:sz w:val="16"/>
                <w:szCs w:val="16"/>
                <w:color w:val="auto"/>
              </w:rPr>
              <w:t>8.75% Senior Notes due 2005, net of the unamortized discount</w:t>
            </w:r>
          </w:p>
        </w:tc>
        <w:tc>
          <w:tcPr>
            <w:tcW w:w="14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3"/>
        </w:trPr>
        <w:tc>
          <w:tcPr>
            <w:tcW w:w="6140" w:type="dxa"/>
            <w:vAlign w:val="bottom"/>
          </w:tcPr>
          <w:p>
            <w:pPr>
              <w:ind w:left="380"/>
              <w:spacing w:after="0"/>
              <w:rPr>
                <w:sz w:val="20"/>
                <w:szCs w:val="20"/>
                <w:color w:val="auto"/>
              </w:rPr>
            </w:pPr>
            <w:r>
              <w:rPr>
                <w:rFonts w:ascii="Courier New" w:cs="Courier New" w:eastAsia="Courier New" w:hAnsi="Courier New"/>
                <w:sz w:val="16"/>
                <w:szCs w:val="16"/>
                <w:color w:val="auto"/>
              </w:rPr>
              <w:t>of $1,066,000..............................................</w:t>
            </w:r>
          </w:p>
        </w:tc>
        <w:tc>
          <w:tcPr>
            <w:tcW w:w="14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133,934,000</w:t>
            </w:r>
          </w:p>
        </w:tc>
      </w:tr>
      <w:tr>
        <w:trPr>
          <w:trHeight w:val="183"/>
        </w:trPr>
        <w:tc>
          <w:tcPr>
            <w:tcW w:w="6140" w:type="dxa"/>
            <w:vAlign w:val="bottom"/>
          </w:tcPr>
          <w:p>
            <w:pPr>
              <w:spacing w:after="0"/>
              <w:rPr>
                <w:sz w:val="15"/>
                <w:szCs w:val="15"/>
                <w:color w:val="auto"/>
              </w:rPr>
            </w:pPr>
          </w:p>
        </w:tc>
        <w:tc>
          <w:tcPr>
            <w:tcW w:w="14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140" w:type="dxa"/>
            <w:vAlign w:val="bottom"/>
          </w:tcPr>
          <w:p>
            <w:pPr>
              <w:spacing w:after="0"/>
              <w:rPr>
                <w:sz w:val="15"/>
                <w:szCs w:val="15"/>
                <w:color w:val="auto"/>
              </w:rPr>
            </w:pPr>
          </w:p>
        </w:tc>
        <w:tc>
          <w:tcPr>
            <w:tcW w:w="14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92,361,000</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244,211,000</w:t>
            </w:r>
          </w:p>
        </w:tc>
      </w:tr>
      <w:tr>
        <w:trPr>
          <w:trHeight w:val="183"/>
        </w:trPr>
        <w:tc>
          <w:tcPr>
            <w:tcW w:w="6140" w:type="dxa"/>
            <w:vAlign w:val="bottom"/>
          </w:tcPr>
          <w:p>
            <w:pPr>
              <w:ind w:left="380"/>
              <w:spacing w:after="0"/>
              <w:rPr>
                <w:sz w:val="20"/>
                <w:szCs w:val="20"/>
                <w:color w:val="auto"/>
              </w:rPr>
            </w:pPr>
            <w:r>
              <w:rPr>
                <w:rFonts w:ascii="Courier New" w:cs="Courier New" w:eastAsia="Courier New" w:hAnsi="Courier New"/>
                <w:sz w:val="16"/>
                <w:szCs w:val="16"/>
                <w:color w:val="auto"/>
              </w:rPr>
              <w:t>Less-Amounts due within one year...........................</w:t>
            </w:r>
          </w:p>
        </w:tc>
        <w:tc>
          <w:tcPr>
            <w:tcW w:w="14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7,236,000</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7,125,000</w:t>
            </w:r>
          </w:p>
        </w:tc>
      </w:tr>
      <w:tr>
        <w:trPr>
          <w:trHeight w:val="183"/>
        </w:trPr>
        <w:tc>
          <w:tcPr>
            <w:tcW w:w="6140" w:type="dxa"/>
            <w:vAlign w:val="bottom"/>
          </w:tcPr>
          <w:p>
            <w:pPr>
              <w:spacing w:after="0"/>
              <w:rPr>
                <w:sz w:val="15"/>
                <w:szCs w:val="15"/>
                <w:color w:val="auto"/>
              </w:rPr>
            </w:pPr>
          </w:p>
        </w:tc>
        <w:tc>
          <w:tcPr>
            <w:tcW w:w="14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140" w:type="dxa"/>
            <w:vAlign w:val="bottom"/>
          </w:tcPr>
          <w:p>
            <w:pPr>
              <w:spacing w:after="0"/>
              <w:rPr>
                <w:sz w:val="15"/>
                <w:szCs w:val="15"/>
                <w:color w:val="auto"/>
              </w:rPr>
            </w:pPr>
          </w:p>
        </w:tc>
        <w:tc>
          <w:tcPr>
            <w:tcW w:w="14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$ 85,125,000</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$237,086,000</w:t>
            </w:r>
          </w:p>
        </w:tc>
      </w:tr>
      <w:tr>
        <w:trPr>
          <w:trHeight w:val="183"/>
        </w:trPr>
        <w:tc>
          <w:tcPr>
            <w:tcW w:w="6140" w:type="dxa"/>
            <w:vAlign w:val="bottom"/>
          </w:tcPr>
          <w:p>
            <w:pPr>
              <w:spacing w:after="0"/>
              <w:rPr>
                <w:sz w:val="15"/>
                <w:szCs w:val="15"/>
                <w:color w:val="auto"/>
              </w:rPr>
            </w:pPr>
          </w:p>
        </w:tc>
        <w:tc>
          <w:tcPr>
            <w:tcW w:w="14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140" w:type="dxa"/>
            <w:vAlign w:val="bottom"/>
          </w:tcPr>
          <w:p>
            <w:pPr>
              <w:spacing w:after="0"/>
              <w:rPr>
                <w:sz w:val="15"/>
                <w:szCs w:val="15"/>
                <w:color w:val="auto"/>
              </w:rPr>
            </w:pPr>
          </w:p>
        </w:tc>
        <w:tc>
          <w:tcPr>
            <w:tcW w:w="14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69"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During the third quarter of 1995, the Company completed the issuance of $135</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million of Senior Notes which have an 8.75% coupon rate and which mature 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August 15, 2005. The Notes can be redeemed in whole or in part, at any time 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 after August 15, 2000, initially at a price of 102.265%, declining ratably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 on or after August 15, 2002. The interest on the bonds will be paid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semiannually in arrears on February 15 and August 15 of each year. The net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proceeds generated from the issuance were approximately $131 million and were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used to finance the acquisitions described in Note 2. In anticipation of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Note issuance, the Company entered into interest rate swaps having 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total notional principal amount of $100 million to hedge the interest rate 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Notes. These interest rate swaps were terminated simultaneously with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issuance of the Notes at which time the Company paid a net termination fee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$5.4 million. The effective rate on the Notes including the amortization of swap</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termination fees and bond discount is 9.2%.</w:t>
      </w:r>
    </w:p>
    <w:p>
      <w:pPr>
        <w:spacing w:after="0" w:line="188"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The Company amended its unsecured non-amortizing revolving credit agreement in 1995. The amended agreement, which expires on March 31, 2000, provides for $225 million of borrowing capacity, subject to certain conditions, until March 31, 1998, $210 million until March 31, 1999 and $185 million until March 31, 2000. The agreement provides for interest, at the Company's option at the prime rate, certificate of deposit rate plus 5/8% to 1 1/8% or Euro-dollar plus 1/2% to 1%. A fee ranging from 1/8% to 3/8% is required on the unused portion of this commitment. The margins over the certificate of deposit, the Euro-dollar rates and the commitment fee are based upon specified leverage and coverage ratios. At December 31, 1995 the applicable margins over the certificate of deposit and the Euro-dollar rate were 7/8% and 3/4%, respectively, and the commitment fee was 1/4%. There are no compensating balance requirements. The agreement contains a provision whereby 50% of the net consideration, in excess of $25 million, from the disposition of assets will be applied to reduce commitments unless such net consideration is reinvested in newly acquired capital over a twelve month period. At December 31, 1995,</w:t>
      </w:r>
    </w:p>
    <w:p>
      <w:pPr>
        <w:spacing w:after="0" w:line="19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F-11</w:t>
      </w:r>
    </w:p>
    <w:p>
      <w:pPr>
        <w:sectPr>
          <w:pgSz w:w="11900" w:h="16838" w:orient="portrait"/>
          <w:cols w:equalWidth="0" w:num="1">
            <w:col w:w="10219"/>
          </w:cols>
          <w:pgMar w:left="240" w:top="481" w:right="1440" w:bottom="1440" w:gutter="0" w:footer="0" w:header="0"/>
        </w:sectPr>
      </w:pPr>
    </w:p>
    <w:bookmarkStart w:id="61" w:name="page62"/>
    <w:bookmarkEnd w:id="61"/>
    <w:p>
      <w:pPr>
        <w:ind w:left="1520"/>
        <w:spacing w:after="0"/>
        <w:rPr>
          <w:sz w:val="20"/>
          <w:szCs w:val="20"/>
          <w:color w:val="auto"/>
        </w:rPr>
      </w:pPr>
      <w:r>
        <w:rPr>
          <w:rFonts w:ascii="Courier New" w:cs="Courier New" w:eastAsia="Courier New" w:hAnsi="Courier New"/>
          <w:sz w:val="16"/>
          <w:szCs w:val="16"/>
          <w:color w:val="auto"/>
        </w:rPr>
        <w:t>UNIVERSAL HEALTH SERVICES, INC. AND SUBSIDIARIES</w:t>
      </w:r>
    </w:p>
    <w:p>
      <w:pPr>
        <w:spacing w:after="0" w:line="2"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 LONG-TERM DEBT--(CONTINUED)</w:t>
      </w:r>
    </w:p>
    <w:p>
      <w:pPr>
        <w:spacing w:after="0" w:line="5" w:lineRule="exact"/>
        <w:rPr>
          <w:sz w:val="20"/>
          <w:szCs w:val="20"/>
          <w:color w:val="auto"/>
        </w:rPr>
      </w:pPr>
    </w:p>
    <w:p>
      <w:pPr>
        <w:ind w:right="2879"/>
        <w:spacing w:after="0" w:line="239" w:lineRule="auto"/>
        <w:rPr>
          <w:sz w:val="20"/>
          <w:szCs w:val="20"/>
          <w:color w:val="auto"/>
        </w:rPr>
      </w:pPr>
      <w:r>
        <w:rPr>
          <w:rFonts w:ascii="Courier New" w:cs="Courier New" w:eastAsia="Courier New" w:hAnsi="Courier New"/>
          <w:sz w:val="16"/>
          <w:szCs w:val="16"/>
          <w:color w:val="auto"/>
        </w:rPr>
        <w:t>the Company had $207 million of unused borrowing capacity available under the revolving credit agreement.</w:t>
      </w:r>
    </w:p>
    <w:p>
      <w:pPr>
        <w:spacing w:after="0" w:line="189"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The average amounts outstanding during 1993, 1994 and 1995 under the revolving credit and demand notes and commercial paper program were $25,069,000, $16,324,000 and $46,984,000, respectively with corresponding effective interest rates of 4.6%, 7.9% and 8.0% including commitment fees. The maximum amounts outstanding at any month-end were $46,800,000, $47,450,000 and $79,450,000 during 1993, 1994 and 1995, respectively.</w:t>
      </w:r>
    </w:p>
    <w:p>
      <w:pPr>
        <w:spacing w:after="0" w:line="187"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Substantially all of the Company's accounts receivable are pledged as collateral to secure its $50 million, daily valued commercial paper program. The Company has sufficient patient receivables to support a larger program, and upon the mutual consent of the Company and the participating lending institutions, the commitment can be increased. A fee of .76% is required on this $50 million commitment. Outstanding amounts of commercial paper that can be refinanced through available borrowings under the Company's revolving credit agreement are classified as long-term.</w:t>
      </w:r>
    </w:p>
    <w:p>
      <w:pPr>
        <w:spacing w:after="0" w:line="189"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At December 31, 1995, the Company had one interest rate swap agreement with a notional principal amount of $10 million. This agreement calls for the payment of interest at a fixed rate by the Company in return for payment of a variable rate interest by a commercial bank. This swap effectively fixes the Company's interest rate on $10 million of its floating rate debt at 9.015%. The interest rate swap expires in March, 1996. The effective interest rate on the Company's revolving credit, demand notes and commercial paper program including the interest rate swap expense was 13.9%, 16.1% and 8.4% during 1993, 1994 and 1995, respectively. Additional interest expense recorded as a result of the Company's hedging activity was $3,160,000, $1,981,000 and $209,000 in 1993, 1994 and 1995, respectively. The Company is exposed to credit loss in the event of non-performance by the counterparty to the interest rate swap agreement. This counterparty is a major financial institution which is rated AA by Moody's Investors Service and the Company does not anticipate nonperformance. The cost to terminate the swap obligation at December 31, 1994 and 1995, was approximately $151,000 and $113,000, respectively.</w:t>
      </w:r>
    </w:p>
    <w:p>
      <w:pPr>
        <w:spacing w:after="0" w:line="194"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Covenants relating to long-term debt require maintenance of a minimum net worth, specified debt to total capital, debt to EBITDA and fixed charge coverage ratios. Covenants also limit the Company's ability to incur additional senior debt and to pay cash dividends and repurchase its shares and limit capital expenditures, among other restrictions. Management believes the Company is in compliance with all required covenants as of December 31, 1995.</w:t>
      </w:r>
    </w:p>
    <w:p>
      <w:pPr>
        <w:spacing w:after="0" w:line="187" w:lineRule="exact"/>
        <w:rPr>
          <w:sz w:val="20"/>
          <w:szCs w:val="20"/>
          <w:color w:val="auto"/>
        </w:rPr>
      </w:pPr>
    </w:p>
    <w:p>
      <w:pPr>
        <w:ind w:right="3059" w:firstLine="382"/>
        <w:spacing w:after="0" w:line="239" w:lineRule="auto"/>
        <w:rPr>
          <w:sz w:val="20"/>
          <w:szCs w:val="20"/>
          <w:color w:val="auto"/>
        </w:rPr>
      </w:pPr>
      <w:r>
        <w:rPr>
          <w:rFonts w:ascii="Courier New" w:cs="Courier New" w:eastAsia="Courier New" w:hAnsi="Courier New"/>
          <w:sz w:val="16"/>
          <w:szCs w:val="16"/>
          <w:color w:val="auto"/>
        </w:rPr>
        <w:t>The fair value of the Company's long-term debt at December 31, 1995 was approximately $247,302,000.</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620" w:type="dxa"/>
            <w:vAlign w:val="bottom"/>
          </w:tcPr>
          <w:p>
            <w:pPr>
              <w:ind w:left="380"/>
              <w:spacing w:after="0"/>
              <w:rPr>
                <w:sz w:val="20"/>
                <w:szCs w:val="20"/>
                <w:color w:val="auto"/>
              </w:rPr>
            </w:pPr>
            <w:r>
              <w:rPr>
                <w:rFonts w:ascii="Courier New" w:cs="Courier New" w:eastAsia="Courier New" w:hAnsi="Courier New"/>
                <w:sz w:val="16"/>
                <w:szCs w:val="16"/>
                <w:color w:val="auto"/>
              </w:rPr>
              <w:t>Aggregate maturities follow:</w:t>
            </w:r>
          </w:p>
        </w:tc>
        <w:tc>
          <w:tcPr>
            <w:tcW w:w="3540" w:type="dxa"/>
            <w:vAlign w:val="bottom"/>
          </w:tcPr>
          <w:p>
            <w:pPr>
              <w:spacing w:after="0"/>
              <w:rPr>
                <w:sz w:val="15"/>
                <w:szCs w:val="15"/>
                <w:color w:val="auto"/>
              </w:rPr>
            </w:pPr>
          </w:p>
        </w:tc>
      </w:tr>
      <w:tr>
        <w:trPr>
          <w:trHeight w:val="367"/>
        </w:trPr>
        <w:tc>
          <w:tcPr>
            <w:tcW w:w="3620" w:type="dxa"/>
            <w:vAlign w:val="bottom"/>
          </w:tcPr>
          <w:p>
            <w:pPr>
              <w:spacing w:after="0"/>
              <w:rPr>
                <w:sz w:val="20"/>
                <w:szCs w:val="20"/>
                <w:color w:val="auto"/>
              </w:rPr>
            </w:pPr>
            <w:r>
              <w:rPr>
                <w:rFonts w:ascii="Courier New" w:cs="Courier New" w:eastAsia="Courier New" w:hAnsi="Courier New"/>
                <w:sz w:val="14"/>
                <w:szCs w:val="14"/>
                <w:color w:val="auto"/>
                <w:w w:val="71"/>
              </w:rPr>
              <w:t>1996........................................................</w:t>
            </w:r>
          </w:p>
        </w:tc>
        <w:tc>
          <w:tcPr>
            <w:tcW w:w="3540" w:type="dxa"/>
            <w:vAlign w:val="bottom"/>
          </w:tcPr>
          <w:p>
            <w:pPr>
              <w:jc w:val="right"/>
              <w:spacing w:after="0"/>
              <w:rPr>
                <w:sz w:val="20"/>
                <w:szCs w:val="20"/>
                <w:color w:val="auto"/>
              </w:rPr>
            </w:pPr>
            <w:r>
              <w:rPr>
                <w:rFonts w:ascii="Courier New" w:cs="Courier New" w:eastAsia="Courier New" w:hAnsi="Courier New"/>
                <w:sz w:val="16"/>
                <w:szCs w:val="16"/>
                <w:color w:val="auto"/>
              </w:rPr>
              <w:t>$  7,125,000</w:t>
            </w:r>
          </w:p>
        </w:tc>
      </w:tr>
      <w:tr>
        <w:trPr>
          <w:trHeight w:val="183"/>
        </w:trPr>
        <w:tc>
          <w:tcPr>
            <w:tcW w:w="3620" w:type="dxa"/>
            <w:vAlign w:val="bottom"/>
          </w:tcPr>
          <w:p>
            <w:pPr>
              <w:spacing w:after="0"/>
              <w:rPr>
                <w:sz w:val="20"/>
                <w:szCs w:val="20"/>
                <w:color w:val="auto"/>
              </w:rPr>
            </w:pPr>
            <w:r>
              <w:rPr>
                <w:rFonts w:ascii="Courier New" w:cs="Courier New" w:eastAsia="Courier New" w:hAnsi="Courier New"/>
                <w:sz w:val="14"/>
                <w:szCs w:val="14"/>
                <w:color w:val="auto"/>
                <w:w w:val="71"/>
              </w:rPr>
              <w:t>1997........................................................</w:t>
            </w:r>
          </w:p>
        </w:tc>
        <w:tc>
          <w:tcPr>
            <w:tcW w:w="3540" w:type="dxa"/>
            <w:vAlign w:val="bottom"/>
          </w:tcPr>
          <w:p>
            <w:pPr>
              <w:jc w:val="right"/>
              <w:spacing w:after="0"/>
              <w:rPr>
                <w:sz w:val="20"/>
                <w:szCs w:val="20"/>
                <w:color w:val="auto"/>
              </w:rPr>
            </w:pPr>
            <w:r>
              <w:rPr>
                <w:rFonts w:ascii="Courier New" w:cs="Courier New" w:eastAsia="Courier New" w:hAnsi="Courier New"/>
                <w:sz w:val="16"/>
                <w:szCs w:val="16"/>
                <w:color w:val="auto"/>
              </w:rPr>
              <w:t>6,300,000</w:t>
            </w:r>
          </w:p>
        </w:tc>
      </w:tr>
      <w:tr>
        <w:trPr>
          <w:trHeight w:val="183"/>
        </w:trPr>
        <w:tc>
          <w:tcPr>
            <w:tcW w:w="3620" w:type="dxa"/>
            <w:vAlign w:val="bottom"/>
          </w:tcPr>
          <w:p>
            <w:pPr>
              <w:spacing w:after="0"/>
              <w:rPr>
                <w:sz w:val="20"/>
                <w:szCs w:val="20"/>
                <w:color w:val="auto"/>
              </w:rPr>
            </w:pPr>
            <w:r>
              <w:rPr>
                <w:rFonts w:ascii="Courier New" w:cs="Courier New" w:eastAsia="Courier New" w:hAnsi="Courier New"/>
                <w:sz w:val="14"/>
                <w:szCs w:val="14"/>
                <w:color w:val="auto"/>
                <w:w w:val="71"/>
              </w:rPr>
              <w:t>1998........................................................</w:t>
            </w:r>
          </w:p>
        </w:tc>
        <w:tc>
          <w:tcPr>
            <w:tcW w:w="3540" w:type="dxa"/>
            <w:vAlign w:val="bottom"/>
          </w:tcPr>
          <w:p>
            <w:pPr>
              <w:jc w:val="right"/>
              <w:spacing w:after="0"/>
              <w:rPr>
                <w:sz w:val="20"/>
                <w:szCs w:val="20"/>
                <w:color w:val="auto"/>
              </w:rPr>
            </w:pPr>
            <w:r>
              <w:rPr>
                <w:rFonts w:ascii="Courier New" w:cs="Courier New" w:eastAsia="Courier New" w:hAnsi="Courier New"/>
                <w:sz w:val="16"/>
                <w:szCs w:val="16"/>
                <w:color w:val="auto"/>
              </w:rPr>
              <w:t>3,838,000</w:t>
            </w:r>
          </w:p>
        </w:tc>
      </w:tr>
      <w:tr>
        <w:trPr>
          <w:trHeight w:val="183"/>
        </w:trPr>
        <w:tc>
          <w:tcPr>
            <w:tcW w:w="3620" w:type="dxa"/>
            <w:vAlign w:val="bottom"/>
          </w:tcPr>
          <w:p>
            <w:pPr>
              <w:spacing w:after="0"/>
              <w:rPr>
                <w:sz w:val="20"/>
                <w:szCs w:val="20"/>
                <w:color w:val="auto"/>
              </w:rPr>
            </w:pPr>
            <w:r>
              <w:rPr>
                <w:rFonts w:ascii="Courier New" w:cs="Courier New" w:eastAsia="Courier New" w:hAnsi="Courier New"/>
                <w:sz w:val="14"/>
                <w:szCs w:val="14"/>
                <w:color w:val="auto"/>
                <w:w w:val="71"/>
              </w:rPr>
              <w:t>1999........................................................</w:t>
            </w:r>
          </w:p>
        </w:tc>
        <w:tc>
          <w:tcPr>
            <w:tcW w:w="3540" w:type="dxa"/>
            <w:vAlign w:val="bottom"/>
          </w:tcPr>
          <w:p>
            <w:pPr>
              <w:jc w:val="right"/>
              <w:spacing w:after="0"/>
              <w:rPr>
                <w:sz w:val="20"/>
                <w:szCs w:val="20"/>
                <w:color w:val="auto"/>
              </w:rPr>
            </w:pPr>
            <w:r>
              <w:rPr>
                <w:rFonts w:ascii="Courier New" w:cs="Courier New" w:eastAsia="Courier New" w:hAnsi="Courier New"/>
                <w:sz w:val="16"/>
                <w:szCs w:val="16"/>
                <w:color w:val="auto"/>
              </w:rPr>
              <w:t>2,644,000</w:t>
            </w:r>
          </w:p>
        </w:tc>
      </w:tr>
      <w:tr>
        <w:trPr>
          <w:trHeight w:val="183"/>
        </w:trPr>
        <w:tc>
          <w:tcPr>
            <w:tcW w:w="3620" w:type="dxa"/>
            <w:vAlign w:val="bottom"/>
          </w:tcPr>
          <w:p>
            <w:pPr>
              <w:spacing w:after="0"/>
              <w:rPr>
                <w:sz w:val="20"/>
                <w:szCs w:val="20"/>
                <w:color w:val="auto"/>
              </w:rPr>
            </w:pPr>
            <w:r>
              <w:rPr>
                <w:rFonts w:ascii="Courier New" w:cs="Courier New" w:eastAsia="Courier New" w:hAnsi="Courier New"/>
                <w:sz w:val="14"/>
                <w:szCs w:val="14"/>
                <w:color w:val="auto"/>
                <w:w w:val="71"/>
              </w:rPr>
              <w:t>2000........................................................</w:t>
            </w:r>
          </w:p>
        </w:tc>
        <w:tc>
          <w:tcPr>
            <w:tcW w:w="3540" w:type="dxa"/>
            <w:vAlign w:val="bottom"/>
          </w:tcPr>
          <w:p>
            <w:pPr>
              <w:jc w:val="right"/>
              <w:spacing w:after="0"/>
              <w:rPr>
                <w:sz w:val="20"/>
                <w:szCs w:val="20"/>
                <w:color w:val="auto"/>
              </w:rPr>
            </w:pPr>
            <w:r>
              <w:rPr>
                <w:rFonts w:ascii="Courier New" w:cs="Courier New" w:eastAsia="Courier New" w:hAnsi="Courier New"/>
                <w:sz w:val="16"/>
                <w:szCs w:val="16"/>
                <w:color w:val="auto"/>
              </w:rPr>
              <w:t>72,143,000</w:t>
            </w:r>
          </w:p>
        </w:tc>
      </w:tr>
      <w:tr>
        <w:trPr>
          <w:trHeight w:val="183"/>
        </w:trPr>
        <w:tc>
          <w:tcPr>
            <w:tcW w:w="3620" w:type="dxa"/>
            <w:vAlign w:val="bottom"/>
          </w:tcPr>
          <w:p>
            <w:pPr>
              <w:spacing w:after="0"/>
              <w:rPr>
                <w:sz w:val="20"/>
                <w:szCs w:val="20"/>
                <w:color w:val="auto"/>
              </w:rPr>
            </w:pPr>
            <w:r>
              <w:rPr>
                <w:rFonts w:ascii="Courier New" w:cs="Courier New" w:eastAsia="Courier New" w:hAnsi="Courier New"/>
                <w:sz w:val="14"/>
                <w:szCs w:val="14"/>
                <w:color w:val="auto"/>
                <w:w w:val="71"/>
              </w:rPr>
              <w:t>Later.......................................................</w:t>
            </w:r>
          </w:p>
        </w:tc>
        <w:tc>
          <w:tcPr>
            <w:tcW w:w="3540" w:type="dxa"/>
            <w:vAlign w:val="bottom"/>
          </w:tcPr>
          <w:p>
            <w:pPr>
              <w:jc w:val="right"/>
              <w:spacing w:after="0"/>
              <w:rPr>
                <w:sz w:val="20"/>
                <w:szCs w:val="20"/>
                <w:color w:val="auto"/>
              </w:rPr>
            </w:pPr>
            <w:r>
              <w:rPr>
                <w:rFonts w:ascii="Courier New" w:cs="Courier New" w:eastAsia="Courier New" w:hAnsi="Courier New"/>
                <w:sz w:val="16"/>
                <w:szCs w:val="16"/>
                <w:color w:val="auto"/>
              </w:rPr>
              <w:t>152,161,000</w:t>
            </w:r>
          </w:p>
        </w:tc>
      </w:tr>
      <w:tr>
        <w:trPr>
          <w:trHeight w:val="183"/>
        </w:trPr>
        <w:tc>
          <w:tcPr>
            <w:tcW w:w="3620" w:type="dxa"/>
            <w:vAlign w:val="bottom"/>
          </w:tcPr>
          <w:p>
            <w:pPr>
              <w:spacing w:after="0"/>
              <w:rPr>
                <w:sz w:val="15"/>
                <w:szCs w:val="15"/>
                <w:color w:val="auto"/>
              </w:rPr>
            </w:pPr>
          </w:p>
        </w:tc>
        <w:tc>
          <w:tcPr>
            <w:tcW w:w="3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3620" w:type="dxa"/>
            <w:vAlign w:val="bottom"/>
          </w:tcPr>
          <w:p>
            <w:pPr>
              <w:spacing w:after="0"/>
              <w:rPr>
                <w:sz w:val="20"/>
                <w:szCs w:val="20"/>
                <w:color w:val="auto"/>
              </w:rPr>
            </w:pPr>
            <w:r>
              <w:rPr>
                <w:rFonts w:ascii="Courier New" w:cs="Courier New" w:eastAsia="Courier New" w:hAnsi="Courier New"/>
                <w:sz w:val="14"/>
                <w:szCs w:val="14"/>
                <w:color w:val="auto"/>
                <w:w w:val="71"/>
              </w:rPr>
              <w:t>Total.......................................................</w:t>
            </w:r>
          </w:p>
        </w:tc>
        <w:tc>
          <w:tcPr>
            <w:tcW w:w="3540" w:type="dxa"/>
            <w:vAlign w:val="bottom"/>
          </w:tcPr>
          <w:p>
            <w:pPr>
              <w:jc w:val="right"/>
              <w:spacing w:after="0"/>
              <w:rPr>
                <w:sz w:val="20"/>
                <w:szCs w:val="20"/>
                <w:color w:val="auto"/>
              </w:rPr>
            </w:pPr>
            <w:r>
              <w:rPr>
                <w:rFonts w:ascii="Courier New" w:cs="Courier New" w:eastAsia="Courier New" w:hAnsi="Courier New"/>
                <w:sz w:val="16"/>
                <w:szCs w:val="16"/>
                <w:color w:val="auto"/>
              </w:rPr>
              <w:t>$244,211,000</w:t>
            </w:r>
          </w:p>
        </w:tc>
      </w:tr>
      <w:tr>
        <w:trPr>
          <w:trHeight w:val="183"/>
        </w:trPr>
        <w:tc>
          <w:tcPr>
            <w:tcW w:w="3620" w:type="dxa"/>
            <w:vAlign w:val="bottom"/>
          </w:tcPr>
          <w:p>
            <w:pPr>
              <w:spacing w:after="0"/>
              <w:rPr>
                <w:sz w:val="15"/>
                <w:szCs w:val="15"/>
                <w:color w:val="auto"/>
              </w:rPr>
            </w:pPr>
          </w:p>
        </w:tc>
        <w:tc>
          <w:tcPr>
            <w:tcW w:w="3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3620" w:type="dxa"/>
            <w:vAlign w:val="bottom"/>
          </w:tcPr>
          <w:p>
            <w:pPr>
              <w:spacing w:after="0"/>
              <w:rPr>
                <w:sz w:val="24"/>
                <w:szCs w:val="24"/>
                <w:color w:val="auto"/>
              </w:rPr>
            </w:pPr>
          </w:p>
        </w:tc>
        <w:tc>
          <w:tcPr>
            <w:tcW w:w="3540" w:type="dxa"/>
            <w:vAlign w:val="bottom"/>
          </w:tcPr>
          <w:p>
            <w:pPr>
              <w:jc w:val="right"/>
              <w:ind w:right="3081"/>
              <w:spacing w:after="0"/>
              <w:rPr>
                <w:sz w:val="20"/>
                <w:szCs w:val="20"/>
                <w:color w:val="auto"/>
              </w:rPr>
            </w:pPr>
            <w:r>
              <w:rPr>
                <w:rFonts w:ascii="Courier New" w:cs="Courier New" w:eastAsia="Courier New" w:hAnsi="Courier New"/>
                <w:sz w:val="16"/>
                <w:szCs w:val="16"/>
                <w:color w:val="auto"/>
                <w:w w:val="93"/>
              </w:rPr>
              <w:t>F-12</w:t>
            </w:r>
          </w:p>
        </w:tc>
      </w:tr>
    </w:tbl>
    <w:p>
      <w:pPr>
        <w:sectPr>
          <w:pgSz w:w="11900" w:h="16838" w:orient="portrait"/>
          <w:cols w:equalWidth="0" w:num="1">
            <w:col w:w="10219"/>
          </w:cols>
          <w:pgMar w:left="240" w:top="481" w:right="1440" w:bottom="1440" w:gutter="0" w:footer="0" w:header="0"/>
        </w:sectPr>
      </w:pPr>
    </w:p>
    <w:bookmarkStart w:id="62" w:name="page63"/>
    <w:bookmarkEnd w:id="62"/>
    <w:p>
      <w:pPr>
        <w:ind w:left="1520"/>
        <w:spacing w:after="0"/>
        <w:rPr>
          <w:sz w:val="20"/>
          <w:szCs w:val="20"/>
          <w:color w:val="auto"/>
        </w:rPr>
      </w:pPr>
      <w:r>
        <w:rPr>
          <w:rFonts w:ascii="Courier New" w:cs="Courier New" w:eastAsia="Courier New" w:hAnsi="Courier New"/>
          <w:sz w:val="16"/>
          <w:szCs w:val="16"/>
          <w:color w:val="auto"/>
        </w:rPr>
        <w:t>UNIVERSAL HEALTH SERVICES, INC. AND SUBSIDIARIES</w:t>
      </w:r>
    </w:p>
    <w:p>
      <w:pPr>
        <w:spacing w:after="0" w:line="2"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 COMMON STOCK</w:t>
      </w:r>
    </w:p>
    <w:p>
      <w:pPr>
        <w:spacing w:after="0" w:line="188"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During 1993 and 1994, the Company repurchased 449,600 and 1,019,600 shares of Class B Common Stock, respectively, at an average purchase price of $7.20 and $12.90 per share, respectively, or an aggregate of approximately $3.2 million and $13.2 million, respectively. All repurchases during 1994 were made subsequent to March 1, 1994. The Company's ability to repurchase its shares is limited by long-term debt covenants to $50 million plus 50% of cumulative net income since March, 1994. Under the terms of these covenants, the Company had the ability to repurchase an additional $79.4 million of its Common Stock as of December 31, 1995. The repurchased shares are treated as retired.</w:t>
      </w:r>
    </w:p>
    <w:p>
      <w:pPr>
        <w:spacing w:after="0" w:line="189"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At December 31, 1995 6,089,686 shares of Class B Common Stock were reserved for issuance upon conversion of shares of Class A, C and D Common Stock outstanding, for issuance upon exercise of options to purchase Class B Common Stock, and for issuance of stock under other incentive plans. Class A, C and D Common Stock are convertible on a share for share basis into Class B Common Stock.</w:t>
      </w:r>
    </w:p>
    <w:p>
      <w:pPr>
        <w:spacing w:after="0" w:line="187" w:lineRule="exact"/>
        <w:rPr>
          <w:sz w:val="20"/>
          <w:szCs w:val="20"/>
          <w:color w:val="auto"/>
        </w:rPr>
      </w:pPr>
    </w:p>
    <w:p>
      <w:pPr>
        <w:ind w:right="2679" w:firstLine="382"/>
        <w:spacing w:after="0" w:line="241" w:lineRule="auto"/>
        <w:rPr>
          <w:sz w:val="20"/>
          <w:szCs w:val="20"/>
          <w:color w:val="auto"/>
        </w:rPr>
      </w:pPr>
      <w:r>
        <w:rPr>
          <w:rFonts w:ascii="Courier New" w:cs="Courier New" w:eastAsia="Courier New" w:hAnsi="Courier New"/>
          <w:sz w:val="16"/>
          <w:szCs w:val="16"/>
          <w:color w:val="auto"/>
        </w:rPr>
        <w:t>In 1994, the Company adopted a Stock Compensation Plan under which up to 100,000 Class B Common Shares may be granted to key employees, consultants and independent contractors, but not to officers or directors. The Plan will terminate on November 16, 2004, unless terminated sooner by the Board. In 1994, 3,600 shares were granted under this plan.</w:t>
      </w:r>
    </w:p>
    <w:p>
      <w:pPr>
        <w:spacing w:after="0" w:line="190"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Under the terms of the Stock Bonus Plan adopted in 1992, eligible employees may elect to receive all or part of their annual bonuses in shares of restricted stock (the "Bonus Shares"). Those electing to receive Bonus Shares also receive additional restricted shares in an amount equal to 20% of their Bonus Shares (the "Premium Shares"). Restrictions on one-half of the Bonus Shares and one-half of the Premium Shares lapse after one year and the restrictions on the remaining shares lapse after two years. The Company has reserved 300,000 shares of Class B Common Stock for this plan and has issued 145,316 shares at December 31, 1995.</w:t>
      </w:r>
    </w:p>
    <w:p>
      <w:pPr>
        <w:spacing w:after="0" w:line="189"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Under the terms of the Stock Ownership Plan, eligible employees may purchase shares of Class B Common Stock directly from the Company at the market price. The Company will loan each eligible employee an amount equal to 90% of the purchase price for the shares. The loans, which are partially recourse to the employee, bear interest at the applicable Federal rate and are due five years from the purchase date. Shares purchased under this plan are restricted from sale or transfer. Restrictions on one-half of the shares lapse after one year and restrictions on the remaining shares lapse after two years. The Company has reserved 200,000 shares of Class B Common Stock for this plan. As of December 31, 1995, 69,500 shares were sold under the terms of this plan.</w:t>
      </w:r>
    </w:p>
    <w:p>
      <w:pPr>
        <w:spacing w:after="0" w:line="190" w:lineRule="exact"/>
        <w:rPr>
          <w:sz w:val="20"/>
          <w:szCs w:val="20"/>
          <w:color w:val="auto"/>
        </w:rPr>
      </w:pPr>
    </w:p>
    <w:p>
      <w:pPr>
        <w:ind w:right="2599" w:firstLine="382"/>
        <w:spacing w:after="0" w:line="260" w:lineRule="auto"/>
        <w:rPr>
          <w:sz w:val="20"/>
          <w:szCs w:val="20"/>
          <w:color w:val="auto"/>
        </w:rPr>
      </w:pPr>
      <w:r>
        <w:rPr>
          <w:rFonts w:ascii="Courier New" w:cs="Courier New" w:eastAsia="Courier New" w:hAnsi="Courier New"/>
          <w:sz w:val="15"/>
          <w:szCs w:val="15"/>
          <w:color w:val="auto"/>
        </w:rPr>
        <w:t>The Company also has a Restricted Stock Purchase Plan which allows eligible participants to purchase shares of Class B Common Stock at par value, subject to certain restrictions. Under the terms of this plan, 600,000 shares of Class B Common Stock have been reserved for purchase by officers, key employees and consultants. The restrictions lapse at various dates, as determined by the Board of Directors, ranging from six months to five years from the date of purchase. The Company has issued 369,026 shares under this plan, of which 90,000, 82,672 and 93,348 became fully vested during 1993, 1994, and 1995, respectively. Compensation expense, based on the difference between the market price on the date of purchase and par value, is being amortized over the restriction period and was $240,000 in 1993, $148,000 in 1994 and $415,000 in 1995.</w:t>
      </w:r>
    </w:p>
    <w:p>
      <w:pPr>
        <w:spacing w:after="0" w:line="176" w:lineRule="exact"/>
        <w:rPr>
          <w:sz w:val="20"/>
          <w:szCs w:val="20"/>
          <w:color w:val="auto"/>
        </w:rPr>
      </w:pPr>
    </w:p>
    <w:p>
      <w:pPr>
        <w:ind w:right="2679" w:firstLine="382"/>
        <w:spacing w:after="0" w:line="241" w:lineRule="auto"/>
        <w:rPr>
          <w:sz w:val="20"/>
          <w:szCs w:val="20"/>
          <w:color w:val="auto"/>
        </w:rPr>
      </w:pPr>
      <w:r>
        <w:rPr>
          <w:rFonts w:ascii="Courier New" w:cs="Courier New" w:eastAsia="Courier New" w:hAnsi="Courier New"/>
          <w:sz w:val="16"/>
          <w:szCs w:val="16"/>
          <w:color w:val="auto"/>
        </w:rPr>
        <w:t>Effective January 1, 1996, the Company adopted a Stock Purchase Plan, subject to shareholder approval, which allows eligible employees to purchase shares of Class B Common Stock at a ten percent discount. The maximum number of shares of stock that can be issued under the plan is 800,000.</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F-13</w:t>
      </w:r>
    </w:p>
    <w:p>
      <w:pPr>
        <w:sectPr>
          <w:pgSz w:w="11900" w:h="16838" w:orient="portrait"/>
          <w:cols w:equalWidth="0" w:num="1">
            <w:col w:w="10219"/>
          </w:cols>
          <w:pgMar w:left="240" w:top="481" w:right="1440" w:bottom="1440" w:gutter="0" w:footer="0" w:header="0"/>
        </w:sectPr>
      </w:pPr>
    </w:p>
    <w:bookmarkStart w:id="63" w:name="page64"/>
    <w:bookmarkEnd w:id="63"/>
    <w:p>
      <w:pPr>
        <w:ind w:left="1520"/>
        <w:spacing w:after="0"/>
        <w:rPr>
          <w:sz w:val="20"/>
          <w:szCs w:val="20"/>
          <w:color w:val="auto"/>
        </w:rPr>
      </w:pPr>
      <w:r>
        <w:rPr>
          <w:rFonts w:ascii="Courier New" w:cs="Courier New" w:eastAsia="Courier New" w:hAnsi="Courier New"/>
          <w:sz w:val="16"/>
          <w:szCs w:val="16"/>
          <w:color w:val="auto"/>
        </w:rPr>
        <w:t>UNIVERSAL HEALTH SERVICES, INC. AND SUBSIDIARIES</w:t>
      </w:r>
    </w:p>
    <w:p>
      <w:pPr>
        <w:spacing w:after="0" w:line="2"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 COMMON STOCK--(CONTINUED)</w:t>
      </w:r>
    </w:p>
    <w:p>
      <w:pPr>
        <w:spacing w:after="0" w:line="5"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Stock options to purchase Class B Common Stock have been granted to officers, key employees and directors of the Company under various plans. During 1994 and 1995 the Board of Directors and shareholders, respectively, approved a 1,200,000 share increase in the reserve for Class B Common Stock available for grant, pursuant to the terms of the 1992 Stock Option Plan. Also during 1995, subject to shareholder approval, the Board of Directors approved a 1,000,000 share increase in the reserve for Class B Common Stock available for grant pursuant to the terms of the 1992 Stock Option Plan. All stock options were granted with an exercise price equal to the fair market value on the date of the grant. Options are exercisable ratably over a four year period beginning one year after the date of the grant. The options expire five years after the date of the grant.</w:t>
      </w:r>
    </w:p>
    <w:p>
      <w:pPr>
        <w:spacing w:after="0" w:line="188"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Information with respect to these options is summarized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AVERAGE</w:t>
            </w:r>
          </w:p>
        </w:tc>
      </w:tr>
      <w:tr>
        <w:trPr>
          <w:trHeight w:val="183"/>
        </w:trPr>
        <w:tc>
          <w:tcPr>
            <w:tcW w:w="5200" w:type="dxa"/>
            <w:vAlign w:val="bottom"/>
          </w:tcPr>
          <w:p>
            <w:pPr>
              <w:spacing w:after="0"/>
              <w:rPr>
                <w:sz w:val="15"/>
                <w:szCs w:val="15"/>
                <w:color w:val="auto"/>
              </w:rPr>
            </w:pPr>
          </w:p>
        </w:tc>
        <w:tc>
          <w:tcPr>
            <w:tcW w:w="138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NUMBER</w:t>
            </w:r>
          </w:p>
        </w:tc>
        <w:tc>
          <w:tcPr>
            <w:tcW w:w="10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OPTION</w:t>
            </w:r>
          </w:p>
        </w:tc>
      </w:tr>
      <w:tr>
        <w:trPr>
          <w:trHeight w:val="183"/>
        </w:trPr>
        <w:tc>
          <w:tcPr>
            <w:tcW w:w="5200" w:type="dxa"/>
            <w:vAlign w:val="bottom"/>
          </w:tcPr>
          <w:p>
            <w:pPr>
              <w:spacing w:after="0"/>
              <w:rPr>
                <w:sz w:val="20"/>
                <w:szCs w:val="20"/>
                <w:color w:val="auto"/>
              </w:rPr>
            </w:pPr>
            <w:r>
              <w:rPr>
                <w:rFonts w:ascii="Courier New" w:cs="Courier New" w:eastAsia="Courier New" w:hAnsi="Courier New"/>
                <w:sz w:val="16"/>
                <w:szCs w:val="16"/>
                <w:color w:val="auto"/>
              </w:rPr>
              <w:t>OUTSTANDING OPTIONS</w:t>
            </w:r>
          </w:p>
        </w:tc>
        <w:tc>
          <w:tcPr>
            <w:tcW w:w="1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OF SHARES</w:t>
            </w:r>
          </w:p>
        </w:tc>
        <w:tc>
          <w:tcPr>
            <w:tcW w:w="280" w:type="dxa"/>
            <w:vAlign w:val="bottom"/>
          </w:tcPr>
          <w:p>
            <w:pPr>
              <w:spacing w:after="0"/>
              <w:rPr>
                <w:sz w:val="15"/>
                <w:szCs w:val="15"/>
                <w:color w:val="auto"/>
              </w:rPr>
            </w:pP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5"/>
              </w:rPr>
              <w:t>PRICE</w:t>
            </w:r>
          </w:p>
        </w:tc>
      </w:tr>
      <w:tr>
        <w:trPr>
          <w:trHeight w:val="183"/>
        </w:trPr>
        <w:tc>
          <w:tcPr>
            <w:tcW w:w="52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52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9"/>
              </w:rPr>
              <w:t>Balance, January 1, 1993.............................</w:t>
            </w:r>
          </w:p>
        </w:tc>
        <w:tc>
          <w:tcPr>
            <w:tcW w:w="1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400,350</w:t>
            </w:r>
          </w:p>
        </w:tc>
        <w:tc>
          <w:tcPr>
            <w:tcW w:w="280" w:type="dxa"/>
            <w:vAlign w:val="bottom"/>
          </w:tcPr>
          <w:p>
            <w:pPr>
              <w:ind w:left="180"/>
              <w:spacing w:after="0"/>
              <w:rPr>
                <w:sz w:val="20"/>
                <w:szCs w:val="20"/>
                <w:color w:val="auto"/>
              </w:rPr>
            </w:pPr>
            <w:r>
              <w:rPr>
                <w:rFonts w:ascii="Courier New" w:cs="Courier New" w:eastAsia="Courier New" w:hAnsi="Courier New"/>
                <w:sz w:val="16"/>
                <w:szCs w:val="16"/>
                <w:color w:val="auto"/>
                <w:w w:val="82"/>
              </w:rPr>
              <w:t>$</w:t>
            </w:r>
          </w:p>
        </w:tc>
        <w:tc>
          <w:tcPr>
            <w:tcW w:w="7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5.70</w:t>
            </w:r>
          </w:p>
        </w:tc>
      </w:tr>
      <w:tr>
        <w:trPr>
          <w:trHeight w:val="183"/>
        </w:trPr>
        <w:tc>
          <w:tcPr>
            <w:tcW w:w="52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Granted............................................</w:t>
            </w:r>
          </w:p>
        </w:tc>
        <w:tc>
          <w:tcPr>
            <w:tcW w:w="1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14,800</w:t>
            </w:r>
          </w:p>
        </w:tc>
        <w:tc>
          <w:tcPr>
            <w:tcW w:w="280" w:type="dxa"/>
            <w:vAlign w:val="bottom"/>
          </w:tcPr>
          <w:p>
            <w:pPr>
              <w:ind w:left="180"/>
              <w:spacing w:after="0"/>
              <w:rPr>
                <w:sz w:val="20"/>
                <w:szCs w:val="20"/>
                <w:color w:val="auto"/>
              </w:rPr>
            </w:pPr>
            <w:r>
              <w:rPr>
                <w:rFonts w:ascii="Courier New" w:cs="Courier New" w:eastAsia="Courier New" w:hAnsi="Courier New"/>
                <w:sz w:val="16"/>
                <w:szCs w:val="16"/>
                <w:color w:val="auto"/>
                <w:w w:val="82"/>
              </w:rPr>
              <w:t>$</w:t>
            </w:r>
          </w:p>
        </w:tc>
        <w:tc>
          <w:tcPr>
            <w:tcW w:w="7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7.44</w:t>
            </w:r>
          </w:p>
        </w:tc>
      </w:tr>
      <w:tr>
        <w:trPr>
          <w:trHeight w:val="183"/>
        </w:trPr>
        <w:tc>
          <w:tcPr>
            <w:tcW w:w="52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Exercised..........................................</w:t>
            </w:r>
          </w:p>
        </w:tc>
        <w:tc>
          <w:tcPr>
            <w:tcW w:w="13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(80,476)</w:t>
            </w:r>
          </w:p>
        </w:tc>
        <w:tc>
          <w:tcPr>
            <w:tcW w:w="280" w:type="dxa"/>
            <w:vAlign w:val="bottom"/>
          </w:tcPr>
          <w:p>
            <w:pPr>
              <w:ind w:left="180"/>
              <w:spacing w:after="0"/>
              <w:rPr>
                <w:sz w:val="20"/>
                <w:szCs w:val="20"/>
                <w:color w:val="auto"/>
              </w:rPr>
            </w:pPr>
            <w:r>
              <w:rPr>
                <w:rFonts w:ascii="Courier New" w:cs="Courier New" w:eastAsia="Courier New" w:hAnsi="Courier New"/>
                <w:sz w:val="16"/>
                <w:szCs w:val="16"/>
                <w:color w:val="auto"/>
                <w:w w:val="82"/>
              </w:rPr>
              <w:t>$</w:t>
            </w:r>
          </w:p>
        </w:tc>
        <w:tc>
          <w:tcPr>
            <w:tcW w:w="7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3.61</w:t>
            </w:r>
          </w:p>
        </w:tc>
      </w:tr>
      <w:tr>
        <w:trPr>
          <w:trHeight w:val="183"/>
        </w:trPr>
        <w:tc>
          <w:tcPr>
            <w:tcW w:w="52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Cancelled..........................................</w:t>
            </w:r>
          </w:p>
        </w:tc>
        <w:tc>
          <w:tcPr>
            <w:tcW w:w="13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(6,000)</w:t>
            </w:r>
          </w:p>
        </w:tc>
        <w:tc>
          <w:tcPr>
            <w:tcW w:w="280" w:type="dxa"/>
            <w:vAlign w:val="bottom"/>
          </w:tcPr>
          <w:p>
            <w:pPr>
              <w:ind w:left="180"/>
              <w:spacing w:after="0"/>
              <w:rPr>
                <w:sz w:val="20"/>
                <w:szCs w:val="20"/>
                <w:color w:val="auto"/>
              </w:rPr>
            </w:pPr>
            <w:r>
              <w:rPr>
                <w:rFonts w:ascii="Courier New" w:cs="Courier New" w:eastAsia="Courier New" w:hAnsi="Courier New"/>
                <w:sz w:val="16"/>
                <w:szCs w:val="16"/>
                <w:color w:val="auto"/>
                <w:w w:val="82"/>
              </w:rPr>
              <w:t>$</w:t>
            </w:r>
          </w:p>
        </w:tc>
        <w:tc>
          <w:tcPr>
            <w:tcW w:w="7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6.25</w:t>
            </w:r>
          </w:p>
        </w:tc>
      </w:tr>
      <w:tr>
        <w:trPr>
          <w:trHeight w:val="183"/>
        </w:trPr>
        <w:tc>
          <w:tcPr>
            <w:tcW w:w="5200" w:type="dxa"/>
            <w:vAlign w:val="bottom"/>
          </w:tcPr>
          <w:p>
            <w:pPr>
              <w:spacing w:after="0"/>
              <w:rPr>
                <w:sz w:val="15"/>
                <w:szCs w:val="15"/>
                <w:color w:val="auto"/>
              </w:rPr>
            </w:pPr>
          </w:p>
        </w:tc>
        <w:tc>
          <w:tcPr>
            <w:tcW w:w="1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52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9"/>
              </w:rPr>
              <w:t>Balance, January 1, 1994.............................</w:t>
            </w:r>
          </w:p>
        </w:tc>
        <w:tc>
          <w:tcPr>
            <w:tcW w:w="1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328,674</w:t>
            </w:r>
          </w:p>
        </w:tc>
        <w:tc>
          <w:tcPr>
            <w:tcW w:w="280" w:type="dxa"/>
            <w:vAlign w:val="bottom"/>
          </w:tcPr>
          <w:p>
            <w:pPr>
              <w:ind w:left="180"/>
              <w:spacing w:after="0"/>
              <w:rPr>
                <w:sz w:val="20"/>
                <w:szCs w:val="20"/>
                <w:color w:val="auto"/>
              </w:rPr>
            </w:pPr>
            <w:r>
              <w:rPr>
                <w:rFonts w:ascii="Courier New" w:cs="Courier New" w:eastAsia="Courier New" w:hAnsi="Courier New"/>
                <w:sz w:val="16"/>
                <w:szCs w:val="16"/>
                <w:color w:val="auto"/>
                <w:w w:val="82"/>
              </w:rPr>
              <w:t>$</w:t>
            </w:r>
          </w:p>
        </w:tc>
        <w:tc>
          <w:tcPr>
            <w:tcW w:w="7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6.27</w:t>
            </w:r>
          </w:p>
        </w:tc>
      </w:tr>
      <w:tr>
        <w:trPr>
          <w:trHeight w:val="183"/>
        </w:trPr>
        <w:tc>
          <w:tcPr>
            <w:tcW w:w="52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Granted............................................</w:t>
            </w:r>
          </w:p>
        </w:tc>
        <w:tc>
          <w:tcPr>
            <w:tcW w:w="1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1,121,500</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$ 11.03</w:t>
            </w:r>
          </w:p>
        </w:tc>
      </w:tr>
      <w:tr>
        <w:trPr>
          <w:trHeight w:val="183"/>
        </w:trPr>
        <w:tc>
          <w:tcPr>
            <w:tcW w:w="52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Exercised..........................................</w:t>
            </w:r>
          </w:p>
        </w:tc>
        <w:tc>
          <w:tcPr>
            <w:tcW w:w="13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(31,976)</w:t>
            </w:r>
          </w:p>
        </w:tc>
        <w:tc>
          <w:tcPr>
            <w:tcW w:w="280" w:type="dxa"/>
            <w:vAlign w:val="bottom"/>
          </w:tcPr>
          <w:p>
            <w:pPr>
              <w:ind w:left="180"/>
              <w:spacing w:after="0"/>
              <w:rPr>
                <w:sz w:val="20"/>
                <w:szCs w:val="20"/>
                <w:color w:val="auto"/>
              </w:rPr>
            </w:pPr>
            <w:r>
              <w:rPr>
                <w:rFonts w:ascii="Courier New" w:cs="Courier New" w:eastAsia="Courier New" w:hAnsi="Courier New"/>
                <w:sz w:val="16"/>
                <w:szCs w:val="16"/>
                <w:color w:val="auto"/>
                <w:w w:val="82"/>
              </w:rPr>
              <w:t>$</w:t>
            </w:r>
          </w:p>
        </w:tc>
        <w:tc>
          <w:tcPr>
            <w:tcW w:w="7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5.49</w:t>
            </w:r>
          </w:p>
        </w:tc>
      </w:tr>
      <w:tr>
        <w:trPr>
          <w:trHeight w:val="183"/>
        </w:trPr>
        <w:tc>
          <w:tcPr>
            <w:tcW w:w="52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Cancelled..........................................</w:t>
            </w:r>
          </w:p>
        </w:tc>
        <w:tc>
          <w:tcPr>
            <w:tcW w:w="13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(11,000)</w:t>
            </w:r>
          </w:p>
        </w:tc>
        <w:tc>
          <w:tcPr>
            <w:tcW w:w="280" w:type="dxa"/>
            <w:vAlign w:val="bottom"/>
          </w:tcPr>
          <w:p>
            <w:pPr>
              <w:ind w:left="180"/>
              <w:spacing w:after="0"/>
              <w:rPr>
                <w:sz w:val="20"/>
                <w:szCs w:val="20"/>
                <w:color w:val="auto"/>
              </w:rPr>
            </w:pPr>
            <w:r>
              <w:rPr>
                <w:rFonts w:ascii="Courier New" w:cs="Courier New" w:eastAsia="Courier New" w:hAnsi="Courier New"/>
                <w:sz w:val="16"/>
                <w:szCs w:val="16"/>
                <w:color w:val="auto"/>
                <w:w w:val="82"/>
              </w:rPr>
              <w:t>$</w:t>
            </w:r>
          </w:p>
        </w:tc>
        <w:tc>
          <w:tcPr>
            <w:tcW w:w="7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8.32</w:t>
            </w:r>
          </w:p>
        </w:tc>
      </w:tr>
      <w:tr>
        <w:trPr>
          <w:trHeight w:val="183"/>
        </w:trPr>
        <w:tc>
          <w:tcPr>
            <w:tcW w:w="5200" w:type="dxa"/>
            <w:vAlign w:val="bottom"/>
          </w:tcPr>
          <w:p>
            <w:pPr>
              <w:spacing w:after="0"/>
              <w:rPr>
                <w:sz w:val="15"/>
                <w:szCs w:val="15"/>
                <w:color w:val="auto"/>
              </w:rPr>
            </w:pPr>
          </w:p>
        </w:tc>
        <w:tc>
          <w:tcPr>
            <w:tcW w:w="1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52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9"/>
              </w:rPr>
              <w:t>Balance, January 1, 1995.............................</w:t>
            </w:r>
          </w:p>
        </w:tc>
        <w:tc>
          <w:tcPr>
            <w:tcW w:w="1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1,407,198</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$ 10.06</w:t>
            </w:r>
          </w:p>
        </w:tc>
      </w:tr>
      <w:tr>
        <w:trPr>
          <w:trHeight w:val="183"/>
        </w:trPr>
        <w:tc>
          <w:tcPr>
            <w:tcW w:w="52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Granted............................................</w:t>
            </w:r>
          </w:p>
        </w:tc>
        <w:tc>
          <w:tcPr>
            <w:tcW w:w="1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621,000</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$ 16.48</w:t>
            </w:r>
          </w:p>
        </w:tc>
      </w:tr>
      <w:tr>
        <w:trPr>
          <w:trHeight w:val="183"/>
        </w:trPr>
        <w:tc>
          <w:tcPr>
            <w:tcW w:w="52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Exercised..........................................</w:t>
            </w:r>
          </w:p>
        </w:tc>
        <w:tc>
          <w:tcPr>
            <w:tcW w:w="13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(48,926)</w:t>
            </w:r>
          </w:p>
        </w:tc>
        <w:tc>
          <w:tcPr>
            <w:tcW w:w="280" w:type="dxa"/>
            <w:vAlign w:val="bottom"/>
          </w:tcPr>
          <w:p>
            <w:pPr>
              <w:ind w:left="180"/>
              <w:spacing w:after="0"/>
              <w:rPr>
                <w:sz w:val="20"/>
                <w:szCs w:val="20"/>
                <w:color w:val="auto"/>
              </w:rPr>
            </w:pPr>
            <w:r>
              <w:rPr>
                <w:rFonts w:ascii="Courier New" w:cs="Courier New" w:eastAsia="Courier New" w:hAnsi="Courier New"/>
                <w:sz w:val="16"/>
                <w:szCs w:val="16"/>
                <w:color w:val="auto"/>
                <w:w w:val="82"/>
              </w:rPr>
              <w:t>$</w:t>
            </w:r>
          </w:p>
        </w:tc>
        <w:tc>
          <w:tcPr>
            <w:tcW w:w="7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8.06</w:t>
            </w:r>
          </w:p>
        </w:tc>
      </w:tr>
      <w:tr>
        <w:trPr>
          <w:trHeight w:val="183"/>
        </w:trPr>
        <w:tc>
          <w:tcPr>
            <w:tcW w:w="52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Cancelled..........................................</w:t>
            </w:r>
          </w:p>
        </w:tc>
        <w:tc>
          <w:tcPr>
            <w:tcW w:w="13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(9,750)</w:t>
            </w:r>
          </w:p>
        </w:tc>
        <w:tc>
          <w:tcPr>
            <w:tcW w:w="280" w:type="dxa"/>
            <w:vAlign w:val="bottom"/>
          </w:tcPr>
          <w:p>
            <w:pPr>
              <w:ind w:left="180"/>
              <w:spacing w:after="0"/>
              <w:rPr>
                <w:sz w:val="20"/>
                <w:szCs w:val="20"/>
                <w:color w:val="auto"/>
              </w:rPr>
            </w:pPr>
            <w:r>
              <w:rPr>
                <w:rFonts w:ascii="Courier New" w:cs="Courier New" w:eastAsia="Courier New" w:hAnsi="Courier New"/>
                <w:sz w:val="16"/>
                <w:szCs w:val="16"/>
                <w:color w:val="auto"/>
                <w:w w:val="82"/>
              </w:rPr>
              <w:t>$</w:t>
            </w:r>
          </w:p>
        </w:tc>
        <w:tc>
          <w:tcPr>
            <w:tcW w:w="7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9.25</w:t>
            </w:r>
          </w:p>
        </w:tc>
      </w:tr>
      <w:tr>
        <w:trPr>
          <w:trHeight w:val="183"/>
        </w:trPr>
        <w:tc>
          <w:tcPr>
            <w:tcW w:w="5200" w:type="dxa"/>
            <w:vAlign w:val="bottom"/>
          </w:tcPr>
          <w:p>
            <w:pPr>
              <w:spacing w:after="0"/>
              <w:rPr>
                <w:sz w:val="15"/>
                <w:szCs w:val="15"/>
                <w:color w:val="auto"/>
              </w:rPr>
            </w:pPr>
          </w:p>
        </w:tc>
        <w:tc>
          <w:tcPr>
            <w:tcW w:w="1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52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9"/>
              </w:rPr>
              <w:t>Balance, December 31, 1995...........................</w:t>
            </w:r>
          </w:p>
        </w:tc>
        <w:tc>
          <w:tcPr>
            <w:tcW w:w="1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1,969,522</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$ 12.13</w:t>
            </w:r>
          </w:p>
        </w:tc>
      </w:tr>
      <w:tr>
        <w:trPr>
          <w:trHeight w:val="183"/>
        </w:trPr>
        <w:tc>
          <w:tcPr>
            <w:tcW w:w="5200" w:type="dxa"/>
            <w:vAlign w:val="bottom"/>
          </w:tcPr>
          <w:p>
            <w:pPr>
              <w:spacing w:after="0"/>
              <w:rPr>
                <w:sz w:val="15"/>
                <w:szCs w:val="15"/>
                <w:color w:val="auto"/>
              </w:rPr>
            </w:pPr>
          </w:p>
        </w:tc>
        <w:tc>
          <w:tcPr>
            <w:tcW w:w="1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5200" w:type="dxa"/>
            <w:vAlign w:val="bottom"/>
          </w:tcPr>
          <w:p>
            <w:pPr>
              <w:spacing w:after="0"/>
              <w:rPr>
                <w:sz w:val="15"/>
                <w:szCs w:val="15"/>
                <w:color w:val="auto"/>
              </w:rPr>
            </w:pPr>
          </w:p>
        </w:tc>
        <w:tc>
          <w:tcPr>
            <w:tcW w:w="1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r>
    </w:tbl>
    <w:p>
      <w:pPr>
        <w:spacing w:after="0" w:line="188" w:lineRule="exact"/>
        <w:rPr>
          <w:sz w:val="20"/>
          <w:szCs w:val="20"/>
          <w:color w:val="auto"/>
        </w:rPr>
      </w:pPr>
    </w:p>
    <w:p>
      <w:pPr>
        <w:jc w:val="both"/>
        <w:ind w:right="2779" w:firstLine="382"/>
        <w:spacing w:after="0" w:line="265" w:lineRule="auto"/>
        <w:rPr>
          <w:sz w:val="20"/>
          <w:szCs w:val="20"/>
          <w:color w:val="auto"/>
        </w:rPr>
      </w:pPr>
      <w:r>
        <w:rPr>
          <w:rFonts w:ascii="Courier New" w:cs="Courier New" w:eastAsia="Courier New" w:hAnsi="Courier New"/>
          <w:sz w:val="15"/>
          <w:szCs w:val="15"/>
          <w:color w:val="auto"/>
        </w:rPr>
        <w:t>At December 31, 1995, 994,450 shares were available for grant. At December 31, 1995, options for 444,250 shares of Class B Common Stock with an aggregate purchase price of $4,023,852 (average of $9.06 per share) were exercisable.</w:t>
      </w:r>
    </w:p>
    <w:p>
      <w:pPr>
        <w:spacing w:after="0" w:line="171"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In October 1995, the Financial Accounting Standards Board issued Statement No. 123, "Accounting for Stock-Based Compensation." The Statement encourages a fair value based method of accounting for employee stock options and similar equity instruments, which generally would result in the recording of additional compensation expense in an entity's financial statements. The Statement also allows an entity to continue to account for stock-based employee using the intrinsic value based method in APB Opinion No. 25. The Company intends to continue its accounting for equity instruments using APB No. 25. As a result, beginning in 1996, the Company will be required to make pro forma disclosures of net income and earnings per share as if the fair value based method of accounting had been applied.</w:t>
      </w:r>
    </w:p>
    <w:p>
      <w:pPr>
        <w:spacing w:after="0" w:line="18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F-14</w:t>
      </w:r>
    </w:p>
    <w:p>
      <w:pPr>
        <w:sectPr>
          <w:pgSz w:w="11900" w:h="16838" w:orient="portrait"/>
          <w:cols w:equalWidth="0" w:num="1">
            <w:col w:w="10219"/>
          </w:cols>
          <w:pgMar w:left="240" w:top="481" w:right="1440" w:bottom="1440" w:gutter="0" w:footer="0" w:header="0"/>
        </w:sectPr>
      </w:pPr>
    </w:p>
    <w:bookmarkStart w:id="64" w:name="page65"/>
    <w:bookmarkEnd w:id="64"/>
    <w:p>
      <w:pPr>
        <w:ind w:left="2200"/>
        <w:spacing w:after="0"/>
        <w:rPr>
          <w:sz w:val="20"/>
          <w:szCs w:val="20"/>
          <w:color w:val="auto"/>
        </w:rPr>
      </w:pPr>
      <w:r>
        <w:rPr>
          <w:rFonts w:ascii="Courier New" w:cs="Courier New" w:eastAsia="Courier New" w:hAnsi="Courier New"/>
          <w:sz w:val="16"/>
          <w:szCs w:val="16"/>
          <w:color w:val="auto"/>
        </w:rPr>
        <w:t>UNIVERSAL HEALTH SERVICES, INC. AND SUBSIDIARIES</w:t>
      </w:r>
    </w:p>
    <w:p>
      <w:pPr>
        <w:spacing w:after="0" w:line="2"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 INCOME TAXES</w:t>
      </w:r>
    </w:p>
    <w:p>
      <w:pPr>
        <w:spacing w:after="0" w:line="186"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Components of income tax expense are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480" w:type="dxa"/>
            <w:vAlign w:val="bottom"/>
          </w:tcPr>
          <w:p>
            <w:pPr>
              <w:spacing w:after="0"/>
              <w:rPr>
                <w:sz w:val="15"/>
                <w:szCs w:val="15"/>
                <w:color w:val="auto"/>
              </w:rPr>
            </w:pPr>
          </w:p>
        </w:tc>
        <w:tc>
          <w:tcPr>
            <w:tcW w:w="4140" w:type="dxa"/>
            <w:vAlign w:val="bottom"/>
            <w:gridSpan w:val="3"/>
          </w:tcPr>
          <w:p>
            <w:pPr>
              <w:jc w:val="right"/>
              <w:ind w:right="961"/>
              <w:spacing w:after="0"/>
              <w:rPr>
                <w:sz w:val="20"/>
                <w:szCs w:val="20"/>
                <w:color w:val="auto"/>
              </w:rPr>
            </w:pPr>
            <w:r>
              <w:rPr>
                <w:rFonts w:ascii="Courier New" w:cs="Courier New" w:eastAsia="Courier New" w:hAnsi="Courier New"/>
                <w:sz w:val="16"/>
                <w:szCs w:val="16"/>
                <w:color w:val="auto"/>
              </w:rPr>
              <w:t>YEAR ENDED DECEMBER 31</w:t>
            </w:r>
          </w:p>
        </w:tc>
      </w:tr>
      <w:tr>
        <w:trPr>
          <w:trHeight w:val="183"/>
        </w:trPr>
        <w:tc>
          <w:tcPr>
            <w:tcW w:w="3480" w:type="dxa"/>
            <w:vAlign w:val="bottom"/>
          </w:tcPr>
          <w:p>
            <w:pPr>
              <w:spacing w:after="0"/>
              <w:rPr>
                <w:sz w:val="15"/>
                <w:szCs w:val="15"/>
                <w:color w:val="auto"/>
              </w:rPr>
            </w:pPr>
          </w:p>
        </w:tc>
        <w:tc>
          <w:tcPr>
            <w:tcW w:w="4140" w:type="dxa"/>
            <w:vAlign w:val="bottom"/>
            <w:gridSpan w:val="3"/>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3480" w:type="dxa"/>
            <w:vAlign w:val="bottom"/>
          </w:tcPr>
          <w:p>
            <w:pPr>
              <w:spacing w:after="0"/>
              <w:rPr>
                <w:sz w:val="15"/>
                <w:szCs w:val="15"/>
                <w:color w:val="auto"/>
              </w:rPr>
            </w:pPr>
          </w:p>
        </w:tc>
        <w:tc>
          <w:tcPr>
            <w:tcW w:w="14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1993</w:t>
            </w:r>
          </w:p>
        </w:tc>
        <w:tc>
          <w:tcPr>
            <w:tcW w:w="14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1994</w:t>
            </w:r>
          </w:p>
        </w:tc>
        <w:tc>
          <w:tcPr>
            <w:tcW w:w="128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1995</w:t>
            </w:r>
          </w:p>
        </w:tc>
      </w:tr>
      <w:tr>
        <w:trPr>
          <w:trHeight w:val="183"/>
        </w:trPr>
        <w:tc>
          <w:tcPr>
            <w:tcW w:w="3480" w:type="dxa"/>
            <w:vAlign w:val="bottom"/>
          </w:tcPr>
          <w:p>
            <w:pPr>
              <w:spacing w:after="0"/>
              <w:rPr>
                <w:sz w:val="15"/>
                <w:szCs w:val="15"/>
                <w:color w:val="auto"/>
              </w:rPr>
            </w:pPr>
          </w:p>
        </w:tc>
        <w:tc>
          <w:tcPr>
            <w:tcW w:w="14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3480" w:type="dxa"/>
            <w:vAlign w:val="bottom"/>
          </w:tcPr>
          <w:p>
            <w:pPr>
              <w:spacing w:after="0"/>
              <w:rPr>
                <w:sz w:val="20"/>
                <w:szCs w:val="20"/>
                <w:color w:val="auto"/>
              </w:rPr>
            </w:pPr>
            <w:r>
              <w:rPr>
                <w:rFonts w:ascii="Courier New" w:cs="Courier New" w:eastAsia="Courier New" w:hAnsi="Courier New"/>
                <w:sz w:val="16"/>
                <w:szCs w:val="16"/>
                <w:color w:val="auto"/>
              </w:rPr>
              <w:t>Currently payable</w:t>
            </w:r>
          </w:p>
        </w:tc>
        <w:tc>
          <w:tcPr>
            <w:tcW w:w="14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3"/>
        </w:trPr>
        <w:tc>
          <w:tcPr>
            <w:tcW w:w="3480" w:type="dxa"/>
            <w:vAlign w:val="bottom"/>
          </w:tcPr>
          <w:p>
            <w:pPr>
              <w:ind w:left="180"/>
              <w:spacing w:after="0"/>
              <w:rPr>
                <w:sz w:val="20"/>
                <w:szCs w:val="20"/>
                <w:color w:val="auto"/>
              </w:rPr>
            </w:pPr>
            <w:r>
              <w:rPr>
                <w:rFonts w:ascii="Courier New" w:cs="Courier New" w:eastAsia="Courier New" w:hAnsi="Courier New"/>
                <w:sz w:val="16"/>
                <w:szCs w:val="16"/>
                <w:color w:val="auto"/>
              </w:rPr>
              <w:t>Federal..........................</w:t>
            </w:r>
          </w:p>
        </w:tc>
        <w:tc>
          <w:tcPr>
            <w:tcW w:w="14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$17,315,000</w:t>
            </w:r>
          </w:p>
        </w:tc>
        <w:tc>
          <w:tcPr>
            <w:tcW w:w="14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$27,014,000</w:t>
            </w:r>
          </w:p>
        </w:tc>
        <w:tc>
          <w:tcPr>
            <w:tcW w:w="1280" w:type="dxa"/>
            <w:vAlign w:val="bottom"/>
          </w:tcPr>
          <w:p>
            <w:pPr>
              <w:jc w:val="right"/>
              <w:ind w:right="1"/>
              <w:spacing w:after="0"/>
              <w:rPr>
                <w:sz w:val="20"/>
                <w:szCs w:val="20"/>
                <w:color w:val="auto"/>
              </w:rPr>
            </w:pPr>
            <w:r>
              <w:rPr>
                <w:rFonts w:ascii="Courier New" w:cs="Courier New" w:eastAsia="Courier New" w:hAnsi="Courier New"/>
                <w:sz w:val="16"/>
                <w:szCs w:val="16"/>
                <w:color w:val="auto"/>
              </w:rPr>
              <w:t>$33,659,000</w:t>
            </w:r>
          </w:p>
        </w:tc>
      </w:tr>
      <w:tr>
        <w:trPr>
          <w:trHeight w:val="183"/>
        </w:trPr>
        <w:tc>
          <w:tcPr>
            <w:tcW w:w="3480" w:type="dxa"/>
            <w:vAlign w:val="bottom"/>
          </w:tcPr>
          <w:p>
            <w:pPr>
              <w:ind w:left="180"/>
              <w:spacing w:after="0"/>
              <w:rPr>
                <w:sz w:val="20"/>
                <w:szCs w:val="20"/>
                <w:color w:val="auto"/>
              </w:rPr>
            </w:pPr>
            <w:r>
              <w:rPr>
                <w:rFonts w:ascii="Courier New" w:cs="Courier New" w:eastAsia="Courier New" w:hAnsi="Courier New"/>
                <w:sz w:val="16"/>
                <w:szCs w:val="16"/>
                <w:color w:val="auto"/>
              </w:rPr>
              <w:t>State............................</w:t>
            </w:r>
          </w:p>
        </w:tc>
        <w:tc>
          <w:tcPr>
            <w:tcW w:w="14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1,136,000</w:t>
            </w:r>
          </w:p>
        </w:tc>
        <w:tc>
          <w:tcPr>
            <w:tcW w:w="14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3,009,000</w:t>
            </w:r>
          </w:p>
        </w:tc>
        <w:tc>
          <w:tcPr>
            <w:tcW w:w="1280" w:type="dxa"/>
            <w:vAlign w:val="bottom"/>
          </w:tcPr>
          <w:p>
            <w:pPr>
              <w:jc w:val="right"/>
              <w:ind w:right="1"/>
              <w:spacing w:after="0"/>
              <w:rPr>
                <w:sz w:val="20"/>
                <w:szCs w:val="20"/>
                <w:color w:val="auto"/>
              </w:rPr>
            </w:pPr>
            <w:r>
              <w:rPr>
                <w:rFonts w:ascii="Courier New" w:cs="Courier New" w:eastAsia="Courier New" w:hAnsi="Courier New"/>
                <w:sz w:val="16"/>
                <w:szCs w:val="16"/>
                <w:color w:val="auto"/>
              </w:rPr>
              <w:t>4,434,000</w:t>
            </w:r>
          </w:p>
        </w:tc>
      </w:tr>
      <w:tr>
        <w:trPr>
          <w:trHeight w:val="183"/>
        </w:trPr>
        <w:tc>
          <w:tcPr>
            <w:tcW w:w="3480" w:type="dxa"/>
            <w:vAlign w:val="bottom"/>
          </w:tcPr>
          <w:p>
            <w:pPr>
              <w:spacing w:after="0"/>
              <w:rPr>
                <w:sz w:val="15"/>
                <w:szCs w:val="15"/>
                <w:color w:val="auto"/>
              </w:rPr>
            </w:pPr>
          </w:p>
        </w:tc>
        <w:tc>
          <w:tcPr>
            <w:tcW w:w="14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3480" w:type="dxa"/>
            <w:vAlign w:val="bottom"/>
          </w:tcPr>
          <w:p>
            <w:pPr>
              <w:spacing w:after="0"/>
              <w:rPr>
                <w:sz w:val="15"/>
                <w:szCs w:val="15"/>
                <w:color w:val="auto"/>
              </w:rPr>
            </w:pPr>
          </w:p>
        </w:tc>
        <w:tc>
          <w:tcPr>
            <w:tcW w:w="14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18,451,000</w:t>
            </w:r>
          </w:p>
        </w:tc>
        <w:tc>
          <w:tcPr>
            <w:tcW w:w="14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30,023,000</w:t>
            </w:r>
          </w:p>
        </w:tc>
        <w:tc>
          <w:tcPr>
            <w:tcW w:w="1280" w:type="dxa"/>
            <w:vAlign w:val="bottom"/>
          </w:tcPr>
          <w:p>
            <w:pPr>
              <w:jc w:val="right"/>
              <w:ind w:right="1"/>
              <w:spacing w:after="0"/>
              <w:rPr>
                <w:sz w:val="20"/>
                <w:szCs w:val="20"/>
                <w:color w:val="auto"/>
              </w:rPr>
            </w:pPr>
            <w:r>
              <w:rPr>
                <w:rFonts w:ascii="Courier New" w:cs="Courier New" w:eastAsia="Courier New" w:hAnsi="Courier New"/>
                <w:sz w:val="16"/>
                <w:szCs w:val="16"/>
                <w:color w:val="auto"/>
              </w:rPr>
              <w:t>38,093,000</w:t>
            </w:r>
          </w:p>
        </w:tc>
      </w:tr>
      <w:tr>
        <w:trPr>
          <w:trHeight w:val="183"/>
        </w:trPr>
        <w:tc>
          <w:tcPr>
            <w:tcW w:w="3480" w:type="dxa"/>
            <w:vAlign w:val="bottom"/>
          </w:tcPr>
          <w:p>
            <w:pPr>
              <w:spacing w:after="0"/>
              <w:rPr>
                <w:sz w:val="15"/>
                <w:szCs w:val="15"/>
                <w:color w:val="auto"/>
              </w:rPr>
            </w:pPr>
          </w:p>
        </w:tc>
        <w:tc>
          <w:tcPr>
            <w:tcW w:w="14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3480" w:type="dxa"/>
            <w:vAlign w:val="bottom"/>
          </w:tcPr>
          <w:p>
            <w:pPr>
              <w:spacing w:after="0"/>
              <w:rPr>
                <w:sz w:val="20"/>
                <w:szCs w:val="20"/>
                <w:color w:val="auto"/>
              </w:rPr>
            </w:pPr>
            <w:r>
              <w:rPr>
                <w:rFonts w:ascii="Courier New" w:cs="Courier New" w:eastAsia="Courier New" w:hAnsi="Courier New"/>
                <w:sz w:val="16"/>
                <w:szCs w:val="16"/>
                <w:color w:val="auto"/>
              </w:rPr>
              <w:t>Deferred</w:t>
            </w:r>
          </w:p>
        </w:tc>
        <w:tc>
          <w:tcPr>
            <w:tcW w:w="14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3"/>
        </w:trPr>
        <w:tc>
          <w:tcPr>
            <w:tcW w:w="3480" w:type="dxa"/>
            <w:vAlign w:val="bottom"/>
          </w:tcPr>
          <w:p>
            <w:pPr>
              <w:ind w:left="180"/>
              <w:spacing w:after="0"/>
              <w:rPr>
                <w:sz w:val="20"/>
                <w:szCs w:val="20"/>
                <w:color w:val="auto"/>
              </w:rPr>
            </w:pPr>
            <w:r>
              <w:rPr>
                <w:rFonts w:ascii="Courier New" w:cs="Courier New" w:eastAsia="Courier New" w:hAnsi="Courier New"/>
                <w:sz w:val="16"/>
                <w:szCs w:val="16"/>
                <w:color w:val="auto"/>
              </w:rPr>
              <w:t>Federal..........................</w:t>
            </w:r>
          </w:p>
        </w:tc>
        <w:tc>
          <w:tcPr>
            <w:tcW w:w="14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(6,482,000)</w:t>
            </w:r>
          </w:p>
        </w:tc>
        <w:tc>
          <w:tcPr>
            <w:tcW w:w="14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(10,412,000)</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(17,912,000)</w:t>
            </w:r>
          </w:p>
        </w:tc>
      </w:tr>
      <w:tr>
        <w:trPr>
          <w:trHeight w:val="183"/>
        </w:trPr>
        <w:tc>
          <w:tcPr>
            <w:tcW w:w="3480" w:type="dxa"/>
            <w:vAlign w:val="bottom"/>
          </w:tcPr>
          <w:p>
            <w:pPr>
              <w:ind w:left="180"/>
              <w:spacing w:after="0"/>
              <w:rPr>
                <w:sz w:val="20"/>
                <w:szCs w:val="20"/>
                <w:color w:val="auto"/>
              </w:rPr>
            </w:pPr>
            <w:r>
              <w:rPr>
                <w:rFonts w:ascii="Courier New" w:cs="Courier New" w:eastAsia="Courier New" w:hAnsi="Courier New"/>
                <w:sz w:val="16"/>
                <w:szCs w:val="16"/>
                <w:color w:val="auto"/>
              </w:rPr>
              <w:t>State............................</w:t>
            </w:r>
          </w:p>
        </w:tc>
        <w:tc>
          <w:tcPr>
            <w:tcW w:w="14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(884,000)</w:t>
            </w:r>
          </w:p>
        </w:tc>
        <w:tc>
          <w:tcPr>
            <w:tcW w:w="14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(1,402,000)</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(2,676,000)</w:t>
            </w:r>
          </w:p>
        </w:tc>
      </w:tr>
      <w:tr>
        <w:trPr>
          <w:trHeight w:val="183"/>
        </w:trPr>
        <w:tc>
          <w:tcPr>
            <w:tcW w:w="3480" w:type="dxa"/>
            <w:vAlign w:val="bottom"/>
          </w:tcPr>
          <w:p>
            <w:pPr>
              <w:spacing w:after="0"/>
              <w:rPr>
                <w:sz w:val="15"/>
                <w:szCs w:val="15"/>
                <w:color w:val="auto"/>
              </w:rPr>
            </w:pPr>
          </w:p>
        </w:tc>
        <w:tc>
          <w:tcPr>
            <w:tcW w:w="14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3480" w:type="dxa"/>
            <w:vAlign w:val="bottom"/>
          </w:tcPr>
          <w:p>
            <w:pPr>
              <w:spacing w:after="0"/>
              <w:rPr>
                <w:sz w:val="15"/>
                <w:szCs w:val="15"/>
                <w:color w:val="auto"/>
              </w:rPr>
            </w:pPr>
          </w:p>
        </w:tc>
        <w:tc>
          <w:tcPr>
            <w:tcW w:w="14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(7,366,000)</w:t>
            </w:r>
          </w:p>
        </w:tc>
        <w:tc>
          <w:tcPr>
            <w:tcW w:w="14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(11,814,000)</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(20,588,000)</w:t>
            </w:r>
          </w:p>
        </w:tc>
      </w:tr>
      <w:tr>
        <w:trPr>
          <w:trHeight w:val="183"/>
        </w:trPr>
        <w:tc>
          <w:tcPr>
            <w:tcW w:w="3480" w:type="dxa"/>
            <w:vAlign w:val="bottom"/>
          </w:tcPr>
          <w:p>
            <w:pPr>
              <w:spacing w:after="0"/>
              <w:rPr>
                <w:sz w:val="15"/>
                <w:szCs w:val="15"/>
                <w:color w:val="auto"/>
              </w:rPr>
            </w:pPr>
          </w:p>
        </w:tc>
        <w:tc>
          <w:tcPr>
            <w:tcW w:w="14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3480" w:type="dxa"/>
            <w:vAlign w:val="bottom"/>
          </w:tcPr>
          <w:p>
            <w:pPr>
              <w:ind w:left="180"/>
              <w:spacing w:after="0"/>
              <w:rPr>
                <w:sz w:val="20"/>
                <w:szCs w:val="20"/>
                <w:color w:val="auto"/>
              </w:rPr>
            </w:pPr>
            <w:r>
              <w:rPr>
                <w:rFonts w:ascii="Courier New" w:cs="Courier New" w:eastAsia="Courier New" w:hAnsi="Courier New"/>
                <w:sz w:val="16"/>
                <w:szCs w:val="16"/>
                <w:color w:val="auto"/>
              </w:rPr>
              <w:t>Total............................</w:t>
            </w:r>
          </w:p>
        </w:tc>
        <w:tc>
          <w:tcPr>
            <w:tcW w:w="14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$11,085,000</w:t>
            </w:r>
          </w:p>
        </w:tc>
        <w:tc>
          <w:tcPr>
            <w:tcW w:w="14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$18,209,000</w:t>
            </w:r>
          </w:p>
        </w:tc>
        <w:tc>
          <w:tcPr>
            <w:tcW w:w="12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$17,505,000</w:t>
            </w:r>
          </w:p>
        </w:tc>
      </w:tr>
      <w:tr>
        <w:trPr>
          <w:trHeight w:val="183"/>
        </w:trPr>
        <w:tc>
          <w:tcPr>
            <w:tcW w:w="3480" w:type="dxa"/>
            <w:vAlign w:val="bottom"/>
          </w:tcPr>
          <w:p>
            <w:pPr>
              <w:spacing w:after="0"/>
              <w:rPr>
                <w:sz w:val="15"/>
                <w:szCs w:val="15"/>
                <w:color w:val="auto"/>
              </w:rPr>
            </w:pPr>
          </w:p>
        </w:tc>
        <w:tc>
          <w:tcPr>
            <w:tcW w:w="14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3480" w:type="dxa"/>
            <w:vAlign w:val="bottom"/>
          </w:tcPr>
          <w:p>
            <w:pPr>
              <w:spacing w:after="0"/>
              <w:rPr>
                <w:sz w:val="15"/>
                <w:szCs w:val="15"/>
                <w:color w:val="auto"/>
              </w:rPr>
            </w:pPr>
          </w:p>
        </w:tc>
        <w:tc>
          <w:tcPr>
            <w:tcW w:w="14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bl>
    <w:p>
      <w:pPr>
        <w:spacing w:after="0" w:line="188" w:lineRule="exact"/>
        <w:rPr>
          <w:sz w:val="20"/>
          <w:szCs w:val="20"/>
          <w:color w:val="auto"/>
        </w:rPr>
      </w:pPr>
    </w:p>
    <w:p>
      <w:pPr>
        <w:ind w:right="2779" w:firstLine="382"/>
        <w:spacing w:after="0" w:line="259" w:lineRule="auto"/>
        <w:rPr>
          <w:sz w:val="20"/>
          <w:szCs w:val="20"/>
          <w:color w:val="auto"/>
        </w:rPr>
      </w:pPr>
      <w:r>
        <w:rPr>
          <w:rFonts w:ascii="Courier New" w:cs="Courier New" w:eastAsia="Courier New" w:hAnsi="Courier New"/>
          <w:sz w:val="15"/>
          <w:szCs w:val="15"/>
          <w:color w:val="auto"/>
        </w:rPr>
        <w:t>The Company accounts for income taxes under the provisions of Statement of Financial Accounting Standards No. 109, "Accounting for Income Taxes," (SFAS</w:t>
      </w:r>
    </w:p>
    <w:p>
      <w:pPr>
        <w:ind w:right="2599"/>
        <w:spacing w:after="0" w:line="241" w:lineRule="auto"/>
        <w:rPr>
          <w:sz w:val="20"/>
          <w:szCs w:val="20"/>
          <w:color w:val="auto"/>
        </w:rPr>
      </w:pPr>
      <w:r>
        <w:rPr>
          <w:rFonts w:ascii="Courier New" w:cs="Courier New" w:eastAsia="Courier New" w:hAnsi="Courier New"/>
          <w:sz w:val="16"/>
          <w:szCs w:val="16"/>
          <w:color w:val="auto"/>
        </w:rPr>
        <w:t>109). Under SFAS 109, deferred taxes are required to be classified based on the financial statement classification of the related assets and liabilities which give rise to temporary differences. The net effect of the impact of the 1993 tax law changes on the current and deferred tax provisions was immaterial.</w:t>
      </w:r>
    </w:p>
    <w:p>
      <w:pPr>
        <w:spacing w:after="0" w:line="189" w:lineRule="exact"/>
        <w:rPr>
          <w:sz w:val="20"/>
          <w:szCs w:val="20"/>
          <w:color w:val="auto"/>
        </w:rPr>
      </w:pPr>
    </w:p>
    <w:p>
      <w:pPr>
        <w:jc w:val="both"/>
        <w:ind w:right="3059" w:firstLine="382"/>
        <w:spacing w:after="0"/>
        <w:rPr>
          <w:sz w:val="20"/>
          <w:szCs w:val="20"/>
          <w:color w:val="auto"/>
        </w:rPr>
      </w:pPr>
      <w:r>
        <w:rPr>
          <w:rFonts w:ascii="Courier New" w:cs="Courier New" w:eastAsia="Courier New" w:hAnsi="Courier New"/>
          <w:sz w:val="16"/>
          <w:szCs w:val="16"/>
          <w:color w:val="auto"/>
        </w:rPr>
        <w:t>Deferred taxes result from temporary differences between the financial statement carrying amounts and the tax bases of assets and liabilities. The components of deferred taxes are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720" w:type="dxa"/>
            <w:vAlign w:val="bottom"/>
          </w:tcPr>
          <w:p>
            <w:pPr>
              <w:spacing w:after="0"/>
              <w:rPr>
                <w:sz w:val="15"/>
                <w:szCs w:val="15"/>
                <w:color w:val="auto"/>
              </w:rPr>
            </w:pPr>
          </w:p>
        </w:tc>
        <w:tc>
          <w:tcPr>
            <w:tcW w:w="27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YEAR ENDED DECEMBER 31</w:t>
            </w:r>
          </w:p>
        </w:tc>
      </w:tr>
      <w:tr>
        <w:trPr>
          <w:trHeight w:val="183"/>
        </w:trPr>
        <w:tc>
          <w:tcPr>
            <w:tcW w:w="4720" w:type="dxa"/>
            <w:vAlign w:val="bottom"/>
          </w:tcPr>
          <w:p>
            <w:pPr>
              <w:spacing w:after="0"/>
              <w:rPr>
                <w:sz w:val="15"/>
                <w:szCs w:val="15"/>
                <w:color w:val="auto"/>
              </w:rPr>
            </w:pPr>
          </w:p>
        </w:tc>
        <w:tc>
          <w:tcPr>
            <w:tcW w:w="27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720" w:type="dxa"/>
            <w:vAlign w:val="bottom"/>
          </w:tcPr>
          <w:p>
            <w:pPr>
              <w:spacing w:after="0"/>
              <w:rPr>
                <w:sz w:val="15"/>
                <w:szCs w:val="15"/>
                <w:color w:val="auto"/>
              </w:rPr>
            </w:pPr>
          </w:p>
        </w:tc>
        <w:tc>
          <w:tcPr>
            <w:tcW w:w="14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1994</w:t>
            </w:r>
          </w:p>
        </w:tc>
        <w:tc>
          <w:tcPr>
            <w:tcW w:w="13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1995</w:t>
            </w:r>
          </w:p>
        </w:tc>
      </w:tr>
      <w:tr>
        <w:trPr>
          <w:trHeight w:val="183"/>
        </w:trPr>
        <w:tc>
          <w:tcPr>
            <w:tcW w:w="4720" w:type="dxa"/>
            <w:vAlign w:val="bottom"/>
          </w:tcPr>
          <w:p>
            <w:pPr>
              <w:spacing w:after="0"/>
              <w:rPr>
                <w:sz w:val="15"/>
                <w:szCs w:val="15"/>
                <w:color w:val="auto"/>
              </w:rPr>
            </w:pPr>
          </w:p>
        </w:tc>
        <w:tc>
          <w:tcPr>
            <w:tcW w:w="14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720" w:type="dxa"/>
            <w:vAlign w:val="bottom"/>
          </w:tcPr>
          <w:p>
            <w:pPr>
              <w:spacing w:after="0"/>
              <w:rPr>
                <w:sz w:val="20"/>
                <w:szCs w:val="20"/>
                <w:color w:val="auto"/>
              </w:rPr>
            </w:pPr>
            <w:r>
              <w:rPr>
                <w:rFonts w:ascii="Courier New" w:cs="Courier New" w:eastAsia="Courier New" w:hAnsi="Courier New"/>
                <w:sz w:val="16"/>
                <w:szCs w:val="16"/>
                <w:color w:val="auto"/>
              </w:rPr>
              <w:t>Self-insurance reserves.........................</w:t>
            </w:r>
          </w:p>
        </w:tc>
        <w:tc>
          <w:tcPr>
            <w:tcW w:w="14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$28,944,000</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$30,401,000</w:t>
            </w:r>
          </w:p>
        </w:tc>
      </w:tr>
      <w:tr>
        <w:trPr>
          <w:trHeight w:val="183"/>
        </w:trPr>
        <w:tc>
          <w:tcPr>
            <w:tcW w:w="4720" w:type="dxa"/>
            <w:vAlign w:val="bottom"/>
          </w:tcPr>
          <w:p>
            <w:pPr>
              <w:spacing w:after="0"/>
              <w:rPr>
                <w:sz w:val="20"/>
                <w:szCs w:val="20"/>
                <w:color w:val="auto"/>
              </w:rPr>
            </w:pPr>
            <w:r>
              <w:rPr>
                <w:rFonts w:ascii="Courier New" w:cs="Courier New" w:eastAsia="Courier New" w:hAnsi="Courier New"/>
                <w:sz w:val="16"/>
                <w:szCs w:val="16"/>
                <w:color w:val="auto"/>
              </w:rPr>
              <w:t>Doubtful accounts and other reserves............</w:t>
            </w:r>
          </w:p>
        </w:tc>
        <w:tc>
          <w:tcPr>
            <w:tcW w:w="14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9,921,000</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14,185,000</w:t>
            </w:r>
          </w:p>
        </w:tc>
      </w:tr>
      <w:tr>
        <w:trPr>
          <w:trHeight w:val="183"/>
        </w:trPr>
        <w:tc>
          <w:tcPr>
            <w:tcW w:w="4720" w:type="dxa"/>
            <w:vAlign w:val="bottom"/>
          </w:tcPr>
          <w:p>
            <w:pPr>
              <w:spacing w:after="0"/>
              <w:rPr>
                <w:sz w:val="20"/>
                <w:szCs w:val="20"/>
                <w:color w:val="auto"/>
              </w:rPr>
            </w:pPr>
            <w:r>
              <w:rPr>
                <w:rFonts w:ascii="Courier New" w:cs="Courier New" w:eastAsia="Courier New" w:hAnsi="Courier New"/>
                <w:sz w:val="16"/>
                <w:szCs w:val="16"/>
                <w:color w:val="auto"/>
              </w:rPr>
              <w:t>State income taxes..............................</w:t>
            </w:r>
          </w:p>
        </w:tc>
        <w:tc>
          <w:tcPr>
            <w:tcW w:w="14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(126,000)</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73,000</w:t>
            </w:r>
          </w:p>
        </w:tc>
      </w:tr>
      <w:tr>
        <w:trPr>
          <w:trHeight w:val="183"/>
        </w:trPr>
        <w:tc>
          <w:tcPr>
            <w:tcW w:w="4720" w:type="dxa"/>
            <w:vAlign w:val="bottom"/>
          </w:tcPr>
          <w:p>
            <w:pPr>
              <w:spacing w:after="0"/>
              <w:rPr>
                <w:sz w:val="20"/>
                <w:szCs w:val="20"/>
                <w:color w:val="auto"/>
              </w:rPr>
            </w:pPr>
            <w:r>
              <w:rPr>
                <w:rFonts w:ascii="Courier New" w:cs="Courier New" w:eastAsia="Courier New" w:hAnsi="Courier New"/>
                <w:sz w:val="16"/>
                <w:szCs w:val="16"/>
                <w:color w:val="auto"/>
              </w:rPr>
              <w:t>Other deferred tax assets.......................</w:t>
            </w:r>
          </w:p>
        </w:tc>
        <w:tc>
          <w:tcPr>
            <w:tcW w:w="14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382,000</w:t>
            </w:r>
          </w:p>
        </w:tc>
        <w:tc>
          <w:tcPr>
            <w:tcW w:w="130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r>
      <w:tr>
        <w:trPr>
          <w:trHeight w:val="183"/>
        </w:trPr>
        <w:tc>
          <w:tcPr>
            <w:tcW w:w="4720" w:type="dxa"/>
            <w:vAlign w:val="bottom"/>
          </w:tcPr>
          <w:p>
            <w:pPr>
              <w:spacing w:after="0"/>
              <w:rPr>
                <w:sz w:val="20"/>
                <w:szCs w:val="20"/>
                <w:color w:val="auto"/>
              </w:rPr>
            </w:pPr>
            <w:r>
              <w:rPr>
                <w:rFonts w:ascii="Courier New" w:cs="Courier New" w:eastAsia="Courier New" w:hAnsi="Courier New"/>
                <w:sz w:val="16"/>
                <w:szCs w:val="16"/>
                <w:color w:val="auto"/>
              </w:rPr>
              <w:t>Depreciable and amortizable assets..............</w:t>
            </w:r>
          </w:p>
        </w:tc>
        <w:tc>
          <w:tcPr>
            <w:tcW w:w="14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(17,319,000)</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(4,466,000)</w:t>
            </w:r>
          </w:p>
        </w:tc>
      </w:tr>
      <w:tr>
        <w:trPr>
          <w:trHeight w:val="183"/>
        </w:trPr>
        <w:tc>
          <w:tcPr>
            <w:tcW w:w="4720" w:type="dxa"/>
            <w:vAlign w:val="bottom"/>
          </w:tcPr>
          <w:p>
            <w:pPr>
              <w:spacing w:after="0"/>
              <w:rPr>
                <w:sz w:val="20"/>
                <w:szCs w:val="20"/>
                <w:color w:val="auto"/>
              </w:rPr>
            </w:pPr>
            <w:r>
              <w:rPr>
                <w:rFonts w:ascii="Courier New" w:cs="Courier New" w:eastAsia="Courier New" w:hAnsi="Courier New"/>
                <w:sz w:val="16"/>
                <w:szCs w:val="16"/>
                <w:color w:val="auto"/>
              </w:rPr>
              <w:t>Conversion from cash basis to accrual basis of</w:t>
            </w:r>
          </w:p>
        </w:tc>
        <w:tc>
          <w:tcPr>
            <w:tcW w:w="142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3"/>
        </w:trPr>
        <w:tc>
          <w:tcPr>
            <w:tcW w:w="4720" w:type="dxa"/>
            <w:vAlign w:val="bottom"/>
          </w:tcPr>
          <w:p>
            <w:pPr>
              <w:spacing w:after="0"/>
              <w:rPr>
                <w:sz w:val="20"/>
                <w:szCs w:val="20"/>
                <w:color w:val="auto"/>
              </w:rPr>
            </w:pPr>
            <w:r>
              <w:rPr>
                <w:rFonts w:ascii="Courier New" w:cs="Courier New" w:eastAsia="Courier New" w:hAnsi="Courier New"/>
                <w:sz w:val="16"/>
                <w:szCs w:val="16"/>
                <w:color w:val="auto"/>
              </w:rPr>
              <w:t>accounting......................................</w:t>
            </w:r>
          </w:p>
        </w:tc>
        <w:tc>
          <w:tcPr>
            <w:tcW w:w="14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(5,017,000)</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(2,509,000)</w:t>
            </w:r>
          </w:p>
        </w:tc>
      </w:tr>
      <w:tr>
        <w:trPr>
          <w:trHeight w:val="183"/>
        </w:trPr>
        <w:tc>
          <w:tcPr>
            <w:tcW w:w="4720" w:type="dxa"/>
            <w:vAlign w:val="bottom"/>
          </w:tcPr>
          <w:p>
            <w:pPr>
              <w:spacing w:after="0"/>
              <w:rPr>
                <w:sz w:val="20"/>
                <w:szCs w:val="20"/>
                <w:color w:val="auto"/>
              </w:rPr>
            </w:pPr>
            <w:r>
              <w:rPr>
                <w:rFonts w:ascii="Courier New" w:cs="Courier New" w:eastAsia="Courier New" w:hAnsi="Courier New"/>
                <w:sz w:val="16"/>
                <w:szCs w:val="16"/>
                <w:color w:val="auto"/>
              </w:rPr>
              <w:t>Other deferred tax liabilities..................</w:t>
            </w:r>
          </w:p>
        </w:tc>
        <w:tc>
          <w:tcPr>
            <w:tcW w:w="14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(1,101,000)</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(1,412,000)</w:t>
            </w:r>
          </w:p>
        </w:tc>
      </w:tr>
      <w:tr>
        <w:trPr>
          <w:trHeight w:val="183"/>
        </w:trPr>
        <w:tc>
          <w:tcPr>
            <w:tcW w:w="4720" w:type="dxa"/>
            <w:vAlign w:val="bottom"/>
          </w:tcPr>
          <w:p>
            <w:pPr>
              <w:spacing w:after="0"/>
              <w:rPr>
                <w:sz w:val="15"/>
                <w:szCs w:val="15"/>
                <w:color w:val="auto"/>
              </w:rPr>
            </w:pPr>
          </w:p>
        </w:tc>
        <w:tc>
          <w:tcPr>
            <w:tcW w:w="14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720" w:type="dxa"/>
            <w:vAlign w:val="bottom"/>
          </w:tcPr>
          <w:p>
            <w:pPr>
              <w:spacing w:after="0"/>
              <w:rPr>
                <w:sz w:val="20"/>
                <w:szCs w:val="20"/>
                <w:color w:val="auto"/>
              </w:rPr>
            </w:pPr>
            <w:r>
              <w:rPr>
                <w:rFonts w:ascii="Courier New" w:cs="Courier New" w:eastAsia="Courier New" w:hAnsi="Courier New"/>
                <w:sz w:val="16"/>
                <w:szCs w:val="16"/>
                <w:color w:val="auto"/>
              </w:rPr>
              <w:t>Total deferred taxes............................</w:t>
            </w:r>
          </w:p>
        </w:tc>
        <w:tc>
          <w:tcPr>
            <w:tcW w:w="14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$15,684,000</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$36,272,000</w:t>
            </w:r>
          </w:p>
        </w:tc>
      </w:tr>
      <w:tr>
        <w:trPr>
          <w:trHeight w:val="183"/>
        </w:trPr>
        <w:tc>
          <w:tcPr>
            <w:tcW w:w="4720" w:type="dxa"/>
            <w:vAlign w:val="bottom"/>
          </w:tcPr>
          <w:p>
            <w:pPr>
              <w:spacing w:after="0"/>
              <w:rPr>
                <w:sz w:val="15"/>
                <w:szCs w:val="15"/>
                <w:color w:val="auto"/>
              </w:rPr>
            </w:pPr>
          </w:p>
        </w:tc>
        <w:tc>
          <w:tcPr>
            <w:tcW w:w="14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720" w:type="dxa"/>
            <w:vAlign w:val="bottom"/>
          </w:tcPr>
          <w:p>
            <w:pPr>
              <w:spacing w:after="0"/>
              <w:rPr>
                <w:sz w:val="15"/>
                <w:szCs w:val="15"/>
                <w:color w:val="auto"/>
              </w:rPr>
            </w:pPr>
          </w:p>
        </w:tc>
        <w:tc>
          <w:tcPr>
            <w:tcW w:w="14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188" w:lineRule="exact"/>
        <w:rPr>
          <w:sz w:val="20"/>
          <w:szCs w:val="20"/>
          <w:color w:val="auto"/>
        </w:rPr>
      </w:pPr>
    </w:p>
    <w:p>
      <w:pPr>
        <w:ind w:right="2879" w:firstLine="382"/>
        <w:spacing w:after="0" w:line="239" w:lineRule="auto"/>
        <w:rPr>
          <w:sz w:val="20"/>
          <w:szCs w:val="20"/>
          <w:color w:val="auto"/>
        </w:rPr>
      </w:pPr>
      <w:r>
        <w:rPr>
          <w:rFonts w:ascii="Courier New" w:cs="Courier New" w:eastAsia="Courier New" w:hAnsi="Courier New"/>
          <w:sz w:val="16"/>
          <w:szCs w:val="16"/>
          <w:color w:val="auto"/>
        </w:rPr>
        <w:t>A reconciliation between the Federal statutory rate and the effective tax rate is a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900" w:type="dxa"/>
            <w:vAlign w:val="bottom"/>
          </w:tcPr>
          <w:p>
            <w:pPr>
              <w:spacing w:after="0"/>
              <w:rPr>
                <w:sz w:val="15"/>
                <w:szCs w:val="15"/>
                <w:color w:val="auto"/>
              </w:rPr>
            </w:pPr>
          </w:p>
        </w:tc>
        <w:tc>
          <w:tcPr>
            <w:tcW w:w="2640" w:type="dxa"/>
            <w:vAlign w:val="bottom"/>
            <w:gridSpan w:val="3"/>
          </w:tcPr>
          <w:p>
            <w:pPr>
              <w:jc w:val="right"/>
              <w:ind w:right="121"/>
              <w:spacing w:after="0"/>
              <w:rPr>
                <w:sz w:val="20"/>
                <w:szCs w:val="20"/>
                <w:color w:val="auto"/>
              </w:rPr>
            </w:pPr>
            <w:r>
              <w:rPr>
                <w:rFonts w:ascii="Courier New" w:cs="Courier New" w:eastAsia="Courier New" w:hAnsi="Courier New"/>
                <w:sz w:val="16"/>
                <w:szCs w:val="16"/>
                <w:color w:val="auto"/>
              </w:rPr>
              <w:t>YEAR ENDED DECEMBER 31</w:t>
            </w:r>
          </w:p>
        </w:tc>
      </w:tr>
      <w:tr>
        <w:trPr>
          <w:trHeight w:val="183"/>
        </w:trPr>
        <w:tc>
          <w:tcPr>
            <w:tcW w:w="4900" w:type="dxa"/>
            <w:vAlign w:val="bottom"/>
          </w:tcPr>
          <w:p>
            <w:pPr>
              <w:spacing w:after="0"/>
              <w:rPr>
                <w:sz w:val="15"/>
                <w:szCs w:val="15"/>
                <w:color w:val="auto"/>
              </w:rPr>
            </w:pPr>
          </w:p>
        </w:tc>
        <w:tc>
          <w:tcPr>
            <w:tcW w:w="264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900" w:type="dxa"/>
            <w:vAlign w:val="bottom"/>
          </w:tcPr>
          <w:p>
            <w:pPr>
              <w:spacing w:after="0"/>
              <w:rPr>
                <w:sz w:val="15"/>
                <w:szCs w:val="15"/>
                <w:color w:val="auto"/>
              </w:rPr>
            </w:pPr>
          </w:p>
        </w:tc>
        <w:tc>
          <w:tcPr>
            <w:tcW w:w="9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1993</w:t>
            </w:r>
          </w:p>
        </w:tc>
        <w:tc>
          <w:tcPr>
            <w:tcW w:w="9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1994</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1995</w:t>
            </w:r>
          </w:p>
        </w:tc>
      </w:tr>
      <w:tr>
        <w:trPr>
          <w:trHeight w:val="183"/>
        </w:trPr>
        <w:tc>
          <w:tcPr>
            <w:tcW w:w="4900" w:type="dxa"/>
            <w:vAlign w:val="bottom"/>
          </w:tcPr>
          <w:p>
            <w:pPr>
              <w:spacing w:after="0"/>
              <w:rPr>
                <w:sz w:val="15"/>
                <w:szCs w:val="15"/>
                <w:color w:val="auto"/>
              </w:rPr>
            </w:pPr>
          </w:p>
        </w:tc>
        <w:tc>
          <w:tcPr>
            <w:tcW w:w="9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900" w:type="dxa"/>
            <w:vAlign w:val="bottom"/>
          </w:tcPr>
          <w:p>
            <w:pPr>
              <w:spacing w:after="0"/>
              <w:rPr>
                <w:sz w:val="20"/>
                <w:szCs w:val="20"/>
                <w:color w:val="auto"/>
              </w:rPr>
            </w:pPr>
            <w:r>
              <w:rPr>
                <w:rFonts w:ascii="Courier New" w:cs="Courier New" w:eastAsia="Courier New" w:hAnsi="Courier New"/>
                <w:sz w:val="16"/>
                <w:szCs w:val="16"/>
                <w:color w:val="auto"/>
              </w:rPr>
              <w:t>Federal statutory rate...........................</w:t>
            </w:r>
          </w:p>
        </w:tc>
        <w:tc>
          <w:tcPr>
            <w:tcW w:w="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35.0%</w:t>
            </w:r>
          </w:p>
        </w:tc>
        <w:tc>
          <w:tcPr>
            <w:tcW w:w="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35.0%</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35.0%</w:t>
            </w:r>
          </w:p>
        </w:tc>
      </w:tr>
      <w:tr>
        <w:trPr>
          <w:trHeight w:val="183"/>
        </w:trPr>
        <w:tc>
          <w:tcPr>
            <w:tcW w:w="4900" w:type="dxa"/>
            <w:vAlign w:val="bottom"/>
          </w:tcPr>
          <w:p>
            <w:pPr>
              <w:spacing w:after="0"/>
              <w:rPr>
                <w:sz w:val="20"/>
                <w:szCs w:val="20"/>
                <w:color w:val="auto"/>
              </w:rPr>
            </w:pPr>
            <w:r>
              <w:rPr>
                <w:rFonts w:ascii="Courier New" w:cs="Courier New" w:eastAsia="Courier New" w:hAnsi="Courier New"/>
                <w:sz w:val="16"/>
                <w:szCs w:val="16"/>
                <w:color w:val="auto"/>
              </w:rPr>
              <w:t>Nondeductible (deductible) depreciation,</w:t>
            </w:r>
          </w:p>
        </w:tc>
        <w:tc>
          <w:tcPr>
            <w:tcW w:w="9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3"/>
        </w:trPr>
        <w:tc>
          <w:tcPr>
            <w:tcW w:w="4900" w:type="dxa"/>
            <w:vAlign w:val="bottom"/>
          </w:tcPr>
          <w:p>
            <w:pPr>
              <w:spacing w:after="0"/>
              <w:rPr>
                <w:sz w:val="20"/>
                <w:szCs w:val="20"/>
                <w:color w:val="auto"/>
              </w:rPr>
            </w:pPr>
            <w:r>
              <w:rPr>
                <w:rFonts w:ascii="Courier New" w:cs="Courier New" w:eastAsia="Courier New" w:hAnsi="Courier New"/>
                <w:sz w:val="16"/>
                <w:szCs w:val="16"/>
                <w:color w:val="auto"/>
              </w:rPr>
              <w:t>amortization and other...........................</w:t>
            </w:r>
          </w:p>
        </w:tc>
        <w:tc>
          <w:tcPr>
            <w:tcW w:w="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(3.9)</w:t>
            </w:r>
          </w:p>
        </w:tc>
        <w:tc>
          <w:tcPr>
            <w:tcW w:w="9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1.6</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(4.1)</w:t>
            </w:r>
          </w:p>
        </w:tc>
      </w:tr>
      <w:tr>
        <w:trPr>
          <w:trHeight w:val="183"/>
        </w:trPr>
        <w:tc>
          <w:tcPr>
            <w:tcW w:w="4900" w:type="dxa"/>
            <w:vAlign w:val="bottom"/>
          </w:tcPr>
          <w:p>
            <w:pPr>
              <w:spacing w:after="0"/>
              <w:rPr>
                <w:sz w:val="20"/>
                <w:szCs w:val="20"/>
                <w:color w:val="auto"/>
              </w:rPr>
            </w:pPr>
            <w:r>
              <w:rPr>
                <w:rFonts w:ascii="Courier New" w:cs="Courier New" w:eastAsia="Courier New" w:hAnsi="Courier New"/>
                <w:sz w:val="16"/>
                <w:szCs w:val="16"/>
                <w:color w:val="auto"/>
              </w:rPr>
              <w:t>State taxes, net of Federal income tax benefit...</w:t>
            </w:r>
          </w:p>
        </w:tc>
        <w:tc>
          <w:tcPr>
            <w:tcW w:w="9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0.5</w:t>
            </w:r>
          </w:p>
        </w:tc>
        <w:tc>
          <w:tcPr>
            <w:tcW w:w="9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2.2</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2.1</w:t>
            </w:r>
          </w:p>
        </w:tc>
      </w:tr>
      <w:tr>
        <w:trPr>
          <w:trHeight w:val="183"/>
        </w:trPr>
        <w:tc>
          <w:tcPr>
            <w:tcW w:w="4900" w:type="dxa"/>
            <w:vAlign w:val="bottom"/>
          </w:tcPr>
          <w:p>
            <w:pPr>
              <w:spacing w:after="0"/>
              <w:rPr>
                <w:sz w:val="15"/>
                <w:szCs w:val="15"/>
                <w:color w:val="auto"/>
              </w:rPr>
            </w:pPr>
          </w:p>
        </w:tc>
        <w:tc>
          <w:tcPr>
            <w:tcW w:w="9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900" w:type="dxa"/>
            <w:vAlign w:val="bottom"/>
          </w:tcPr>
          <w:p>
            <w:pPr>
              <w:spacing w:after="0"/>
              <w:rPr>
                <w:sz w:val="20"/>
                <w:szCs w:val="20"/>
                <w:color w:val="auto"/>
              </w:rPr>
            </w:pPr>
            <w:r>
              <w:rPr>
                <w:rFonts w:ascii="Courier New" w:cs="Courier New" w:eastAsia="Courier New" w:hAnsi="Courier New"/>
                <w:sz w:val="16"/>
                <w:szCs w:val="16"/>
                <w:color w:val="auto"/>
              </w:rPr>
              <w:t>Effective tax rate...............................</w:t>
            </w:r>
          </w:p>
        </w:tc>
        <w:tc>
          <w:tcPr>
            <w:tcW w:w="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31.6%</w:t>
            </w:r>
          </w:p>
        </w:tc>
        <w:tc>
          <w:tcPr>
            <w:tcW w:w="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38.8%</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33.0%</w:t>
            </w:r>
          </w:p>
        </w:tc>
      </w:tr>
      <w:tr>
        <w:trPr>
          <w:trHeight w:val="183"/>
        </w:trPr>
        <w:tc>
          <w:tcPr>
            <w:tcW w:w="4900" w:type="dxa"/>
            <w:vAlign w:val="bottom"/>
          </w:tcPr>
          <w:p>
            <w:pPr>
              <w:spacing w:after="0"/>
              <w:rPr>
                <w:sz w:val="15"/>
                <w:szCs w:val="15"/>
                <w:color w:val="auto"/>
              </w:rPr>
            </w:pPr>
          </w:p>
        </w:tc>
        <w:tc>
          <w:tcPr>
            <w:tcW w:w="9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900" w:type="dxa"/>
            <w:vAlign w:val="bottom"/>
          </w:tcPr>
          <w:p>
            <w:pPr>
              <w:spacing w:after="0"/>
              <w:rPr>
                <w:sz w:val="15"/>
                <w:szCs w:val="15"/>
                <w:color w:val="auto"/>
              </w:rPr>
            </w:pPr>
          </w:p>
        </w:tc>
        <w:tc>
          <w:tcPr>
            <w:tcW w:w="9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4900" w:type="dxa"/>
            <w:vAlign w:val="bottom"/>
          </w:tcPr>
          <w:p>
            <w:pPr>
              <w:ind w:left="3620"/>
              <w:spacing w:after="0"/>
              <w:rPr>
                <w:sz w:val="20"/>
                <w:szCs w:val="20"/>
                <w:color w:val="auto"/>
              </w:rPr>
            </w:pPr>
            <w:r>
              <w:rPr>
                <w:rFonts w:ascii="Courier New" w:cs="Courier New" w:eastAsia="Courier New" w:hAnsi="Courier New"/>
                <w:sz w:val="16"/>
                <w:szCs w:val="16"/>
                <w:color w:val="auto"/>
              </w:rPr>
              <w:t>F-15</w:t>
            </w: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0219"/>
          </w:cols>
          <w:pgMar w:left="240" w:top="481" w:right="1440" w:bottom="1440" w:gutter="0" w:footer="0" w:header="0"/>
        </w:sectPr>
      </w:pPr>
    </w:p>
    <w:bookmarkStart w:id="65" w:name="page66"/>
    <w:bookmarkEnd w:id="65"/>
    <w:p>
      <w:pPr>
        <w:ind w:left="2200"/>
        <w:spacing w:after="0"/>
        <w:rPr>
          <w:sz w:val="20"/>
          <w:szCs w:val="20"/>
          <w:color w:val="auto"/>
        </w:rPr>
      </w:pPr>
      <w:r>
        <w:rPr>
          <w:rFonts w:ascii="Courier New" w:cs="Courier New" w:eastAsia="Courier New" w:hAnsi="Courier New"/>
          <w:sz w:val="16"/>
          <w:szCs w:val="16"/>
          <w:color w:val="auto"/>
        </w:rPr>
        <w:t>UNIVERSAL HEALTH SERVICES, INC. AND SUBSIDIARIES</w:t>
      </w:r>
    </w:p>
    <w:p>
      <w:pPr>
        <w:spacing w:after="0" w:line="2"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 INCOME TAXES--(CONTINUED)</w:t>
      </w:r>
    </w:p>
    <w:p>
      <w:pPr>
        <w:spacing w:after="0" w:line="5" w:lineRule="exact"/>
        <w:rPr>
          <w:sz w:val="20"/>
          <w:szCs w:val="20"/>
          <w:color w:val="auto"/>
        </w:rPr>
      </w:pPr>
    </w:p>
    <w:p>
      <w:pPr>
        <w:ind w:right="2599" w:firstLine="382"/>
        <w:spacing w:after="0"/>
        <w:rPr>
          <w:sz w:val="20"/>
          <w:szCs w:val="20"/>
          <w:color w:val="auto"/>
        </w:rPr>
      </w:pPr>
      <w:r>
        <w:rPr>
          <w:rFonts w:ascii="Courier New" w:cs="Courier New" w:eastAsia="Courier New" w:hAnsi="Courier New"/>
          <w:sz w:val="16"/>
          <w:szCs w:val="16"/>
          <w:color w:val="auto"/>
        </w:rPr>
        <w:t>In 1995 and 1994, the Company reviewed its deferred state tax balances and as a result reduced its tax provision by $390,000 in each year. The net deferred tax assets and liabilities are comprised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720" w:type="dxa"/>
            <w:vAlign w:val="bottom"/>
          </w:tcPr>
          <w:p>
            <w:pPr>
              <w:spacing w:after="0"/>
              <w:rPr>
                <w:sz w:val="15"/>
                <w:szCs w:val="15"/>
                <w:color w:val="auto"/>
              </w:rPr>
            </w:pPr>
          </w:p>
        </w:tc>
        <w:tc>
          <w:tcPr>
            <w:tcW w:w="27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YEAR ENDED DECEMBER 31</w:t>
            </w:r>
          </w:p>
        </w:tc>
      </w:tr>
      <w:tr>
        <w:trPr>
          <w:trHeight w:val="183"/>
        </w:trPr>
        <w:tc>
          <w:tcPr>
            <w:tcW w:w="4720" w:type="dxa"/>
            <w:vAlign w:val="bottom"/>
          </w:tcPr>
          <w:p>
            <w:pPr>
              <w:spacing w:after="0"/>
              <w:rPr>
                <w:sz w:val="15"/>
                <w:szCs w:val="15"/>
                <w:color w:val="auto"/>
              </w:rPr>
            </w:pPr>
          </w:p>
        </w:tc>
        <w:tc>
          <w:tcPr>
            <w:tcW w:w="27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720" w:type="dxa"/>
            <w:vAlign w:val="bottom"/>
          </w:tcPr>
          <w:p>
            <w:pPr>
              <w:spacing w:after="0"/>
              <w:rPr>
                <w:sz w:val="15"/>
                <w:szCs w:val="15"/>
                <w:color w:val="auto"/>
              </w:rPr>
            </w:pPr>
          </w:p>
        </w:tc>
        <w:tc>
          <w:tcPr>
            <w:tcW w:w="14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1994</w:t>
            </w:r>
          </w:p>
        </w:tc>
        <w:tc>
          <w:tcPr>
            <w:tcW w:w="13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1995</w:t>
            </w:r>
          </w:p>
        </w:tc>
      </w:tr>
      <w:tr>
        <w:trPr>
          <w:trHeight w:val="183"/>
        </w:trPr>
        <w:tc>
          <w:tcPr>
            <w:tcW w:w="4720" w:type="dxa"/>
            <w:vAlign w:val="bottom"/>
          </w:tcPr>
          <w:p>
            <w:pPr>
              <w:spacing w:after="0"/>
              <w:rPr>
                <w:sz w:val="15"/>
                <w:szCs w:val="15"/>
                <w:color w:val="auto"/>
              </w:rPr>
            </w:pPr>
          </w:p>
        </w:tc>
        <w:tc>
          <w:tcPr>
            <w:tcW w:w="14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720" w:type="dxa"/>
            <w:vAlign w:val="bottom"/>
          </w:tcPr>
          <w:p>
            <w:pPr>
              <w:spacing w:after="0"/>
              <w:rPr>
                <w:sz w:val="20"/>
                <w:szCs w:val="20"/>
                <w:color w:val="auto"/>
              </w:rPr>
            </w:pPr>
            <w:r>
              <w:rPr>
                <w:rFonts w:ascii="Courier New" w:cs="Courier New" w:eastAsia="Courier New" w:hAnsi="Courier New"/>
                <w:sz w:val="16"/>
                <w:szCs w:val="16"/>
                <w:color w:val="auto"/>
              </w:rPr>
              <w:t>Current deferred taxes</w:t>
            </w:r>
          </w:p>
        </w:tc>
        <w:tc>
          <w:tcPr>
            <w:tcW w:w="142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3"/>
        </w:trPr>
        <w:tc>
          <w:tcPr>
            <w:tcW w:w="4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Assets........................................</w:t>
            </w:r>
          </w:p>
        </w:tc>
        <w:tc>
          <w:tcPr>
            <w:tcW w:w="14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$16,622,000</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$22,910,000</w:t>
            </w:r>
          </w:p>
        </w:tc>
      </w:tr>
      <w:tr>
        <w:trPr>
          <w:trHeight w:val="183"/>
        </w:trPr>
        <w:tc>
          <w:tcPr>
            <w:tcW w:w="4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Liabilities...................................</w:t>
            </w:r>
          </w:p>
        </w:tc>
        <w:tc>
          <w:tcPr>
            <w:tcW w:w="14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(3,680,000)</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(3,921,000)</w:t>
            </w:r>
          </w:p>
        </w:tc>
      </w:tr>
      <w:tr>
        <w:trPr>
          <w:trHeight w:val="183"/>
        </w:trPr>
        <w:tc>
          <w:tcPr>
            <w:tcW w:w="4720" w:type="dxa"/>
            <w:vAlign w:val="bottom"/>
          </w:tcPr>
          <w:p>
            <w:pPr>
              <w:spacing w:after="0"/>
              <w:rPr>
                <w:sz w:val="15"/>
                <w:szCs w:val="15"/>
                <w:color w:val="auto"/>
              </w:rPr>
            </w:pPr>
          </w:p>
        </w:tc>
        <w:tc>
          <w:tcPr>
            <w:tcW w:w="14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Total deferred taxes-current..................</w:t>
            </w:r>
          </w:p>
        </w:tc>
        <w:tc>
          <w:tcPr>
            <w:tcW w:w="14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12,942,000</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18,989,000</w:t>
            </w:r>
          </w:p>
        </w:tc>
      </w:tr>
      <w:tr>
        <w:trPr>
          <w:trHeight w:val="183"/>
        </w:trPr>
        <w:tc>
          <w:tcPr>
            <w:tcW w:w="4720" w:type="dxa"/>
            <w:vAlign w:val="bottom"/>
          </w:tcPr>
          <w:p>
            <w:pPr>
              <w:spacing w:after="0"/>
              <w:rPr>
                <w:sz w:val="20"/>
                <w:szCs w:val="20"/>
                <w:color w:val="auto"/>
              </w:rPr>
            </w:pPr>
            <w:r>
              <w:rPr>
                <w:rFonts w:ascii="Courier New" w:cs="Courier New" w:eastAsia="Courier New" w:hAnsi="Courier New"/>
                <w:sz w:val="16"/>
                <w:szCs w:val="16"/>
                <w:color w:val="auto"/>
              </w:rPr>
              <w:t>Noncurrent deferred taxes</w:t>
            </w:r>
          </w:p>
        </w:tc>
        <w:tc>
          <w:tcPr>
            <w:tcW w:w="142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3"/>
        </w:trPr>
        <w:tc>
          <w:tcPr>
            <w:tcW w:w="4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Assets........................................</w:t>
            </w:r>
          </w:p>
        </w:tc>
        <w:tc>
          <w:tcPr>
            <w:tcW w:w="14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22,625,000</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21,749,000</w:t>
            </w:r>
          </w:p>
        </w:tc>
      </w:tr>
      <w:tr>
        <w:trPr>
          <w:trHeight w:val="183"/>
        </w:trPr>
        <w:tc>
          <w:tcPr>
            <w:tcW w:w="4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Liabilities...................................</w:t>
            </w:r>
          </w:p>
        </w:tc>
        <w:tc>
          <w:tcPr>
            <w:tcW w:w="14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(19,883,000)</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(4,466,000)</w:t>
            </w:r>
          </w:p>
        </w:tc>
      </w:tr>
      <w:tr>
        <w:trPr>
          <w:trHeight w:val="183"/>
        </w:trPr>
        <w:tc>
          <w:tcPr>
            <w:tcW w:w="4720" w:type="dxa"/>
            <w:vAlign w:val="bottom"/>
          </w:tcPr>
          <w:p>
            <w:pPr>
              <w:spacing w:after="0"/>
              <w:rPr>
                <w:sz w:val="15"/>
                <w:szCs w:val="15"/>
                <w:color w:val="auto"/>
              </w:rPr>
            </w:pPr>
          </w:p>
        </w:tc>
        <w:tc>
          <w:tcPr>
            <w:tcW w:w="14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Total deferred taxes-noncurrent...............</w:t>
            </w:r>
          </w:p>
        </w:tc>
        <w:tc>
          <w:tcPr>
            <w:tcW w:w="14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2,742,000</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17,283,000</w:t>
            </w:r>
          </w:p>
        </w:tc>
      </w:tr>
      <w:tr>
        <w:trPr>
          <w:trHeight w:val="183"/>
        </w:trPr>
        <w:tc>
          <w:tcPr>
            <w:tcW w:w="4720" w:type="dxa"/>
            <w:vAlign w:val="bottom"/>
          </w:tcPr>
          <w:p>
            <w:pPr>
              <w:spacing w:after="0"/>
              <w:rPr>
                <w:sz w:val="15"/>
                <w:szCs w:val="15"/>
                <w:color w:val="auto"/>
              </w:rPr>
            </w:pPr>
          </w:p>
        </w:tc>
        <w:tc>
          <w:tcPr>
            <w:tcW w:w="14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7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Total deferred taxes............................</w:t>
            </w:r>
          </w:p>
        </w:tc>
        <w:tc>
          <w:tcPr>
            <w:tcW w:w="14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$15,684,000</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$36,272,000</w:t>
            </w:r>
          </w:p>
        </w:tc>
      </w:tr>
      <w:tr>
        <w:trPr>
          <w:trHeight w:val="183"/>
        </w:trPr>
        <w:tc>
          <w:tcPr>
            <w:tcW w:w="4720" w:type="dxa"/>
            <w:vAlign w:val="bottom"/>
          </w:tcPr>
          <w:p>
            <w:pPr>
              <w:spacing w:after="0"/>
              <w:rPr>
                <w:sz w:val="15"/>
                <w:szCs w:val="15"/>
                <w:color w:val="auto"/>
              </w:rPr>
            </w:pPr>
          </w:p>
        </w:tc>
        <w:tc>
          <w:tcPr>
            <w:tcW w:w="14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720" w:type="dxa"/>
            <w:vAlign w:val="bottom"/>
          </w:tcPr>
          <w:p>
            <w:pPr>
              <w:spacing w:after="0"/>
              <w:rPr>
                <w:sz w:val="15"/>
                <w:szCs w:val="15"/>
                <w:color w:val="auto"/>
              </w:rPr>
            </w:pPr>
          </w:p>
        </w:tc>
        <w:tc>
          <w:tcPr>
            <w:tcW w:w="14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188"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The assets and liabilities classified as current relate primarily to the allowance for uncollectible patient accounts and the current portion of the temporary differences related to self-insurance reserves and the change in accounting method. Under SFAS 109, a valuation allowance is required when it is more likely than not that some portion of the deferred tax assets will not be realized. Realization is dependent on generating sufficient future taxable income. Although realization in not assured, management believes it is more likely than not that all the deferred tax assets will be realized. Accordingly, the Company has not provided a valuation allowance. The amount of the deferred tax asset considered realizable, however, could be reduced if estimates of future taxable income during the carryforward period are reduced.</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 LEASE COMMITMENTS</w:t>
      </w:r>
    </w:p>
    <w:p>
      <w:pPr>
        <w:spacing w:after="0" w:line="188" w:lineRule="exact"/>
        <w:rPr>
          <w:sz w:val="20"/>
          <w:szCs w:val="20"/>
          <w:color w:val="auto"/>
        </w:rPr>
      </w:pPr>
    </w:p>
    <w:p>
      <w:pPr>
        <w:ind w:right="2779" w:firstLine="382"/>
        <w:spacing w:after="0" w:line="242" w:lineRule="auto"/>
        <w:rPr>
          <w:sz w:val="20"/>
          <w:szCs w:val="20"/>
          <w:color w:val="auto"/>
        </w:rPr>
      </w:pPr>
      <w:r>
        <w:rPr>
          <w:rFonts w:ascii="Courier New" w:cs="Courier New" w:eastAsia="Courier New" w:hAnsi="Courier New"/>
          <w:sz w:val="16"/>
          <w:szCs w:val="16"/>
          <w:color w:val="auto"/>
        </w:rPr>
        <w:t>Certain of the Company's hospital and medical office facilities and equipment are held under operating or capital leases which expire through 2013 (see Note 8). Certain of these leases also contain provisions allowing the Company to purchase the leased assets during the term or at the expiration of the lease at fair market value. A summary of property under capital lease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620" w:type="dxa"/>
            <w:vAlign w:val="bottom"/>
          </w:tcPr>
          <w:p>
            <w:pPr>
              <w:spacing w:after="0"/>
              <w:rPr>
                <w:sz w:val="15"/>
                <w:szCs w:val="15"/>
                <w:color w:val="auto"/>
              </w:rPr>
            </w:pPr>
          </w:p>
        </w:tc>
        <w:tc>
          <w:tcPr>
            <w:tcW w:w="3720" w:type="dxa"/>
            <w:vAlign w:val="bottom"/>
            <w:gridSpan w:val="2"/>
          </w:tcPr>
          <w:p>
            <w:pPr>
              <w:jc w:val="right"/>
              <w:ind w:right="681"/>
              <w:spacing w:after="0"/>
              <w:rPr>
                <w:sz w:val="20"/>
                <w:szCs w:val="20"/>
                <w:color w:val="auto"/>
              </w:rPr>
            </w:pPr>
            <w:r>
              <w:rPr>
                <w:rFonts w:ascii="Courier New" w:cs="Courier New" w:eastAsia="Courier New" w:hAnsi="Courier New"/>
                <w:sz w:val="16"/>
                <w:szCs w:val="16"/>
                <w:color w:val="auto"/>
              </w:rPr>
              <w:t>DECEMBER 31</w:t>
            </w:r>
          </w:p>
        </w:tc>
      </w:tr>
      <w:tr>
        <w:trPr>
          <w:trHeight w:val="183"/>
        </w:trPr>
        <w:tc>
          <w:tcPr>
            <w:tcW w:w="3620" w:type="dxa"/>
            <w:vAlign w:val="bottom"/>
          </w:tcPr>
          <w:p>
            <w:pPr>
              <w:spacing w:after="0"/>
              <w:rPr>
                <w:sz w:val="15"/>
                <w:szCs w:val="15"/>
                <w:color w:val="auto"/>
              </w:rPr>
            </w:pPr>
          </w:p>
        </w:tc>
        <w:tc>
          <w:tcPr>
            <w:tcW w:w="37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3620" w:type="dxa"/>
            <w:vAlign w:val="bottom"/>
          </w:tcPr>
          <w:p>
            <w:pPr>
              <w:spacing w:after="0"/>
              <w:rPr>
                <w:sz w:val="15"/>
                <w:szCs w:val="15"/>
                <w:color w:val="auto"/>
              </w:rPr>
            </w:pPr>
          </w:p>
        </w:tc>
        <w:tc>
          <w:tcPr>
            <w:tcW w:w="248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1994</w:t>
            </w: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1995</w:t>
            </w:r>
          </w:p>
        </w:tc>
      </w:tr>
      <w:tr>
        <w:trPr>
          <w:trHeight w:val="183"/>
        </w:trPr>
        <w:tc>
          <w:tcPr>
            <w:tcW w:w="3620" w:type="dxa"/>
            <w:vAlign w:val="bottom"/>
          </w:tcPr>
          <w:p>
            <w:pPr>
              <w:spacing w:after="0"/>
              <w:rPr>
                <w:sz w:val="15"/>
                <w:szCs w:val="15"/>
                <w:color w:val="auto"/>
              </w:rPr>
            </w:pPr>
          </w:p>
        </w:tc>
        <w:tc>
          <w:tcPr>
            <w:tcW w:w="24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3620" w:type="dxa"/>
            <w:vAlign w:val="bottom"/>
          </w:tcPr>
          <w:p>
            <w:pPr>
              <w:spacing w:after="0"/>
              <w:rPr>
                <w:sz w:val="20"/>
                <w:szCs w:val="20"/>
                <w:color w:val="auto"/>
              </w:rPr>
            </w:pPr>
            <w:r>
              <w:rPr>
                <w:rFonts w:ascii="Courier New" w:cs="Courier New" w:eastAsia="Courier New" w:hAnsi="Courier New"/>
                <w:sz w:val="16"/>
                <w:szCs w:val="16"/>
                <w:color w:val="auto"/>
                <w:w w:val="78"/>
              </w:rPr>
              <w:t>Land, buildings and equipment...................</w:t>
            </w:r>
          </w:p>
        </w:tc>
        <w:tc>
          <w:tcPr>
            <w:tcW w:w="24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$24,782,000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$27,415,000</w:t>
            </w:r>
          </w:p>
        </w:tc>
      </w:tr>
      <w:tr>
        <w:trPr>
          <w:trHeight w:val="183"/>
        </w:trPr>
        <w:tc>
          <w:tcPr>
            <w:tcW w:w="3620" w:type="dxa"/>
            <w:vAlign w:val="bottom"/>
          </w:tcPr>
          <w:p>
            <w:pPr>
              <w:spacing w:after="0"/>
              <w:rPr>
                <w:sz w:val="20"/>
                <w:szCs w:val="20"/>
                <w:color w:val="auto"/>
              </w:rPr>
            </w:pPr>
            <w:r>
              <w:rPr>
                <w:rFonts w:ascii="Courier New" w:cs="Courier New" w:eastAsia="Courier New" w:hAnsi="Courier New"/>
                <w:sz w:val="16"/>
                <w:szCs w:val="16"/>
                <w:color w:val="auto"/>
                <w:w w:val="78"/>
              </w:rPr>
              <w:t>Less: accumulated amortization..................</w:t>
            </w:r>
          </w:p>
        </w:tc>
        <w:tc>
          <w:tcPr>
            <w:tcW w:w="24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10,426,000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12,867,000</w:t>
            </w:r>
          </w:p>
        </w:tc>
      </w:tr>
      <w:tr>
        <w:trPr>
          <w:trHeight w:val="183"/>
        </w:trPr>
        <w:tc>
          <w:tcPr>
            <w:tcW w:w="3620" w:type="dxa"/>
            <w:vAlign w:val="bottom"/>
          </w:tcPr>
          <w:p>
            <w:pPr>
              <w:spacing w:after="0"/>
              <w:rPr>
                <w:sz w:val="15"/>
                <w:szCs w:val="15"/>
                <w:color w:val="auto"/>
              </w:rPr>
            </w:pPr>
          </w:p>
        </w:tc>
        <w:tc>
          <w:tcPr>
            <w:tcW w:w="24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3620" w:type="dxa"/>
            <w:vAlign w:val="bottom"/>
          </w:tcPr>
          <w:p>
            <w:pPr>
              <w:spacing w:after="0"/>
              <w:rPr>
                <w:sz w:val="15"/>
                <w:szCs w:val="15"/>
                <w:color w:val="auto"/>
              </w:rPr>
            </w:pPr>
          </w:p>
        </w:tc>
        <w:tc>
          <w:tcPr>
            <w:tcW w:w="24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$14,356,000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$14,548,000</w:t>
            </w:r>
          </w:p>
        </w:tc>
      </w:tr>
      <w:tr>
        <w:trPr>
          <w:trHeight w:val="183"/>
        </w:trPr>
        <w:tc>
          <w:tcPr>
            <w:tcW w:w="3620" w:type="dxa"/>
            <w:vAlign w:val="bottom"/>
          </w:tcPr>
          <w:p>
            <w:pPr>
              <w:spacing w:after="0"/>
              <w:rPr>
                <w:sz w:val="15"/>
                <w:szCs w:val="15"/>
                <w:color w:val="auto"/>
              </w:rPr>
            </w:pPr>
          </w:p>
        </w:tc>
        <w:tc>
          <w:tcPr>
            <w:tcW w:w="24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3620" w:type="dxa"/>
            <w:vAlign w:val="bottom"/>
          </w:tcPr>
          <w:p>
            <w:pPr>
              <w:spacing w:after="0"/>
              <w:rPr>
                <w:sz w:val="15"/>
                <w:szCs w:val="15"/>
                <w:color w:val="auto"/>
              </w:rPr>
            </w:pPr>
          </w:p>
        </w:tc>
        <w:tc>
          <w:tcPr>
            <w:tcW w:w="24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3620" w:type="dxa"/>
            <w:vAlign w:val="bottom"/>
          </w:tcPr>
          <w:p>
            <w:pPr>
              <w:spacing w:after="0"/>
              <w:rPr>
                <w:sz w:val="24"/>
                <w:szCs w:val="24"/>
                <w:color w:val="auto"/>
              </w:rPr>
            </w:pPr>
          </w:p>
        </w:tc>
        <w:tc>
          <w:tcPr>
            <w:tcW w:w="2480" w:type="dxa"/>
            <w:vAlign w:val="bottom"/>
          </w:tcPr>
          <w:p>
            <w:pPr>
              <w:jc w:val="right"/>
              <w:ind w:right="2021"/>
              <w:spacing w:after="0"/>
              <w:rPr>
                <w:sz w:val="20"/>
                <w:szCs w:val="20"/>
                <w:color w:val="auto"/>
              </w:rPr>
            </w:pPr>
            <w:r>
              <w:rPr>
                <w:rFonts w:ascii="Courier New" w:cs="Courier New" w:eastAsia="Courier New" w:hAnsi="Courier New"/>
                <w:sz w:val="16"/>
                <w:szCs w:val="16"/>
                <w:color w:val="auto"/>
                <w:w w:val="93"/>
              </w:rPr>
              <w:t>F-16</w:t>
            </w:r>
          </w:p>
        </w:tc>
        <w:tc>
          <w:tcPr>
            <w:tcW w:w="1240" w:type="dxa"/>
            <w:vAlign w:val="bottom"/>
          </w:tcPr>
          <w:p>
            <w:pPr>
              <w:spacing w:after="0"/>
              <w:rPr>
                <w:sz w:val="24"/>
                <w:szCs w:val="24"/>
                <w:color w:val="auto"/>
              </w:rPr>
            </w:pPr>
          </w:p>
        </w:tc>
      </w:tr>
    </w:tbl>
    <w:p>
      <w:pPr>
        <w:sectPr>
          <w:pgSz w:w="11900" w:h="16838" w:orient="portrait"/>
          <w:cols w:equalWidth="0" w:num="1">
            <w:col w:w="10219"/>
          </w:cols>
          <w:pgMar w:left="240" w:top="481" w:right="1440" w:bottom="1440" w:gutter="0" w:footer="0" w:header="0"/>
        </w:sectPr>
      </w:pPr>
    </w:p>
    <w:bookmarkStart w:id="66" w:name="page67"/>
    <w:bookmarkEnd w:id="66"/>
    <w:p>
      <w:pPr>
        <w:ind w:left="2200"/>
        <w:spacing w:after="0"/>
        <w:rPr>
          <w:sz w:val="20"/>
          <w:szCs w:val="20"/>
          <w:color w:val="auto"/>
        </w:rPr>
      </w:pPr>
      <w:r>
        <w:rPr>
          <w:rFonts w:ascii="Courier New" w:cs="Courier New" w:eastAsia="Courier New" w:hAnsi="Courier New"/>
          <w:sz w:val="16"/>
          <w:szCs w:val="16"/>
          <w:color w:val="auto"/>
        </w:rPr>
        <w:t>UNIVERSAL HEALTH SERVICES, INC. AND SUBSIDIARIES</w:t>
      </w:r>
    </w:p>
    <w:p>
      <w:pPr>
        <w:spacing w:after="0" w:line="2"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 LEASE COMMITMENTS--(CONTINUED)</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Future minimum rental payments under lease commitments with a term of more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100" w:type="dxa"/>
            <w:vAlign w:val="bottom"/>
            <w:gridSpan w:val="2"/>
          </w:tcPr>
          <w:p>
            <w:pPr>
              <w:spacing w:after="0"/>
              <w:rPr>
                <w:sz w:val="20"/>
                <w:szCs w:val="20"/>
                <w:color w:val="auto"/>
              </w:rPr>
            </w:pPr>
            <w:r>
              <w:rPr>
                <w:rFonts w:ascii="Courier New" w:cs="Courier New" w:eastAsia="Courier New" w:hAnsi="Courier New"/>
                <w:sz w:val="16"/>
                <w:szCs w:val="16"/>
                <w:color w:val="auto"/>
              </w:rPr>
              <w:t>than one year as of December 31, 1995, are as follows:</w:t>
            </w:r>
          </w:p>
        </w:tc>
        <w:tc>
          <w:tcPr>
            <w:tcW w:w="1440" w:type="dxa"/>
            <w:vAlign w:val="bottom"/>
          </w:tcPr>
          <w:p>
            <w:pPr>
              <w:spacing w:after="0"/>
              <w:rPr>
                <w:sz w:val="15"/>
                <w:szCs w:val="15"/>
                <w:color w:val="auto"/>
              </w:rPr>
            </w:pPr>
          </w:p>
        </w:tc>
      </w:tr>
      <w:tr>
        <w:trPr>
          <w:trHeight w:val="367"/>
        </w:trPr>
        <w:tc>
          <w:tcPr>
            <w:tcW w:w="4720" w:type="dxa"/>
            <w:vAlign w:val="bottom"/>
          </w:tcPr>
          <w:p>
            <w:pPr>
              <w:spacing w:after="0"/>
              <w:rPr>
                <w:sz w:val="24"/>
                <w:szCs w:val="24"/>
                <w:color w:val="auto"/>
              </w:rPr>
            </w:pPr>
          </w:p>
        </w:tc>
        <w:tc>
          <w:tcPr>
            <w:tcW w:w="1380" w:type="dxa"/>
            <w:vAlign w:val="bottom"/>
          </w:tcPr>
          <w:p>
            <w:pPr>
              <w:ind w:left="240"/>
              <w:spacing w:after="0"/>
              <w:rPr>
                <w:sz w:val="20"/>
                <w:szCs w:val="20"/>
                <w:color w:val="auto"/>
              </w:rPr>
            </w:pPr>
            <w:r>
              <w:rPr>
                <w:rFonts w:ascii="Courier New" w:cs="Courier New" w:eastAsia="Courier New" w:hAnsi="Courier New"/>
                <w:sz w:val="16"/>
                <w:szCs w:val="16"/>
                <w:color w:val="auto"/>
              </w:rPr>
              <w:t>CAPITAL</w:t>
            </w:r>
          </w:p>
        </w:tc>
        <w:tc>
          <w:tcPr>
            <w:tcW w:w="14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OPERATING</w:t>
            </w:r>
          </w:p>
        </w:tc>
      </w:tr>
      <w:tr>
        <w:trPr>
          <w:trHeight w:val="183"/>
        </w:trPr>
        <w:tc>
          <w:tcPr>
            <w:tcW w:w="4720" w:type="dxa"/>
            <w:vAlign w:val="bottom"/>
          </w:tcPr>
          <w:p>
            <w:pPr>
              <w:spacing w:after="0"/>
              <w:rPr>
                <w:sz w:val="20"/>
                <w:szCs w:val="20"/>
                <w:color w:val="auto"/>
              </w:rPr>
            </w:pPr>
            <w:r>
              <w:rPr>
                <w:rFonts w:ascii="Courier New" w:cs="Courier New" w:eastAsia="Courier New" w:hAnsi="Courier New"/>
                <w:sz w:val="16"/>
                <w:szCs w:val="16"/>
                <w:color w:val="auto"/>
              </w:rPr>
              <w:t>YEAR</w:t>
            </w:r>
          </w:p>
        </w:tc>
        <w:tc>
          <w:tcPr>
            <w:tcW w:w="1380" w:type="dxa"/>
            <w:vAlign w:val="bottom"/>
          </w:tcPr>
          <w:p>
            <w:pPr>
              <w:ind w:left="240"/>
              <w:spacing w:after="0"/>
              <w:rPr>
                <w:sz w:val="20"/>
                <w:szCs w:val="20"/>
                <w:color w:val="auto"/>
              </w:rPr>
            </w:pPr>
            <w:r>
              <w:rPr>
                <w:rFonts w:ascii="Courier New" w:cs="Courier New" w:eastAsia="Courier New" w:hAnsi="Courier New"/>
                <w:sz w:val="16"/>
                <w:szCs w:val="16"/>
                <w:color w:val="auto"/>
              </w:rPr>
              <w:t>LEASES</w:t>
            </w:r>
          </w:p>
        </w:tc>
        <w:tc>
          <w:tcPr>
            <w:tcW w:w="14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LEASES</w:t>
            </w:r>
          </w:p>
        </w:tc>
      </w:tr>
      <w:tr>
        <w:trPr>
          <w:trHeight w:val="183"/>
        </w:trPr>
        <w:tc>
          <w:tcPr>
            <w:tcW w:w="4720" w:type="dxa"/>
            <w:vAlign w:val="bottom"/>
          </w:tcPr>
          <w:p>
            <w:pPr>
              <w:spacing w:after="0"/>
              <w:rPr>
                <w:sz w:val="20"/>
                <w:szCs w:val="20"/>
                <w:color w:val="auto"/>
              </w:rPr>
            </w:pPr>
            <w:r>
              <w:rPr>
                <w:rFonts w:ascii="Courier New" w:cs="Courier New" w:eastAsia="Courier New" w:hAnsi="Courier New"/>
                <w:sz w:val="16"/>
                <w:szCs w:val="16"/>
                <w:color w:val="auto"/>
                <w:w w:val="99"/>
              </w:rPr>
              <w:t>- -----------------------------------------------</w:t>
            </w:r>
          </w:p>
        </w:tc>
        <w:tc>
          <w:tcPr>
            <w:tcW w:w="13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720" w:type="dxa"/>
            <w:vAlign w:val="bottom"/>
          </w:tcPr>
          <w:p>
            <w:pPr>
              <w:spacing w:after="0"/>
              <w:rPr>
                <w:sz w:val="20"/>
                <w:szCs w:val="20"/>
                <w:color w:val="auto"/>
              </w:rPr>
            </w:pPr>
            <w:r>
              <w:rPr>
                <w:rFonts w:ascii="Courier New" w:cs="Courier New" w:eastAsia="Courier New" w:hAnsi="Courier New"/>
                <w:sz w:val="16"/>
                <w:szCs w:val="16"/>
                <w:color w:val="auto"/>
              </w:rPr>
              <w:t>1996...........................................</w:t>
            </w:r>
          </w:p>
        </w:tc>
        <w:tc>
          <w:tcPr>
            <w:tcW w:w="13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$ 5,931,000</w:t>
            </w:r>
          </w:p>
        </w:tc>
        <w:tc>
          <w:tcPr>
            <w:tcW w:w="14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$ 26,004,000</w:t>
            </w:r>
          </w:p>
        </w:tc>
      </w:tr>
      <w:tr>
        <w:trPr>
          <w:trHeight w:val="183"/>
        </w:trPr>
        <w:tc>
          <w:tcPr>
            <w:tcW w:w="4720" w:type="dxa"/>
            <w:vAlign w:val="bottom"/>
          </w:tcPr>
          <w:p>
            <w:pPr>
              <w:spacing w:after="0"/>
              <w:rPr>
                <w:sz w:val="20"/>
                <w:szCs w:val="20"/>
                <w:color w:val="auto"/>
              </w:rPr>
            </w:pPr>
            <w:r>
              <w:rPr>
                <w:rFonts w:ascii="Courier New" w:cs="Courier New" w:eastAsia="Courier New" w:hAnsi="Courier New"/>
                <w:sz w:val="16"/>
                <w:szCs w:val="16"/>
                <w:color w:val="auto"/>
              </w:rPr>
              <w:t>1997...........................................</w:t>
            </w:r>
          </w:p>
        </w:tc>
        <w:tc>
          <w:tcPr>
            <w:tcW w:w="13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4,852,000</w:t>
            </w:r>
          </w:p>
        </w:tc>
        <w:tc>
          <w:tcPr>
            <w:tcW w:w="14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21,555,000</w:t>
            </w:r>
          </w:p>
        </w:tc>
      </w:tr>
      <w:tr>
        <w:trPr>
          <w:trHeight w:val="183"/>
        </w:trPr>
        <w:tc>
          <w:tcPr>
            <w:tcW w:w="4720" w:type="dxa"/>
            <w:vAlign w:val="bottom"/>
          </w:tcPr>
          <w:p>
            <w:pPr>
              <w:spacing w:after="0"/>
              <w:rPr>
                <w:sz w:val="20"/>
                <w:szCs w:val="20"/>
                <w:color w:val="auto"/>
              </w:rPr>
            </w:pPr>
            <w:r>
              <w:rPr>
                <w:rFonts w:ascii="Courier New" w:cs="Courier New" w:eastAsia="Courier New" w:hAnsi="Courier New"/>
                <w:sz w:val="16"/>
                <w:szCs w:val="16"/>
                <w:color w:val="auto"/>
              </w:rPr>
              <w:t>1998...........................................</w:t>
            </w:r>
          </w:p>
        </w:tc>
        <w:tc>
          <w:tcPr>
            <w:tcW w:w="13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2,697,000</w:t>
            </w:r>
          </w:p>
        </w:tc>
        <w:tc>
          <w:tcPr>
            <w:tcW w:w="14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19,270,000</w:t>
            </w:r>
          </w:p>
        </w:tc>
      </w:tr>
      <w:tr>
        <w:trPr>
          <w:trHeight w:val="183"/>
        </w:trPr>
        <w:tc>
          <w:tcPr>
            <w:tcW w:w="4720" w:type="dxa"/>
            <w:vAlign w:val="bottom"/>
          </w:tcPr>
          <w:p>
            <w:pPr>
              <w:spacing w:after="0"/>
              <w:rPr>
                <w:sz w:val="20"/>
                <w:szCs w:val="20"/>
                <w:color w:val="auto"/>
              </w:rPr>
            </w:pPr>
            <w:r>
              <w:rPr>
                <w:rFonts w:ascii="Courier New" w:cs="Courier New" w:eastAsia="Courier New" w:hAnsi="Courier New"/>
                <w:sz w:val="16"/>
                <w:szCs w:val="16"/>
                <w:color w:val="auto"/>
              </w:rPr>
              <w:t>1999...........................................</w:t>
            </w:r>
          </w:p>
        </w:tc>
        <w:tc>
          <w:tcPr>
            <w:tcW w:w="13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1,543,000</w:t>
            </w:r>
          </w:p>
        </w:tc>
        <w:tc>
          <w:tcPr>
            <w:tcW w:w="14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17,984,000</w:t>
            </w:r>
          </w:p>
        </w:tc>
      </w:tr>
      <w:tr>
        <w:trPr>
          <w:trHeight w:val="183"/>
        </w:trPr>
        <w:tc>
          <w:tcPr>
            <w:tcW w:w="4720" w:type="dxa"/>
            <w:vAlign w:val="bottom"/>
          </w:tcPr>
          <w:p>
            <w:pPr>
              <w:spacing w:after="0"/>
              <w:rPr>
                <w:sz w:val="20"/>
                <w:szCs w:val="20"/>
                <w:color w:val="auto"/>
              </w:rPr>
            </w:pPr>
            <w:r>
              <w:rPr>
                <w:rFonts w:ascii="Courier New" w:cs="Courier New" w:eastAsia="Courier New" w:hAnsi="Courier New"/>
                <w:sz w:val="16"/>
                <w:szCs w:val="16"/>
                <w:color w:val="auto"/>
              </w:rPr>
              <w:t>2000...........................................</w:t>
            </w:r>
          </w:p>
        </w:tc>
        <w:tc>
          <w:tcPr>
            <w:tcW w:w="13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858,000</w:t>
            </w:r>
          </w:p>
        </w:tc>
        <w:tc>
          <w:tcPr>
            <w:tcW w:w="14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14,485,000</w:t>
            </w:r>
          </w:p>
        </w:tc>
      </w:tr>
      <w:tr>
        <w:trPr>
          <w:trHeight w:val="183"/>
        </w:trPr>
        <w:tc>
          <w:tcPr>
            <w:tcW w:w="4720" w:type="dxa"/>
            <w:vAlign w:val="bottom"/>
          </w:tcPr>
          <w:p>
            <w:pPr>
              <w:spacing w:after="0"/>
              <w:rPr>
                <w:sz w:val="20"/>
                <w:szCs w:val="20"/>
                <w:color w:val="auto"/>
              </w:rPr>
            </w:pPr>
            <w:r>
              <w:rPr>
                <w:rFonts w:ascii="Courier New" w:cs="Courier New" w:eastAsia="Courier New" w:hAnsi="Courier New"/>
                <w:sz w:val="16"/>
                <w:szCs w:val="16"/>
                <w:color w:val="auto"/>
              </w:rPr>
              <w:t>Later Years....................................</w:t>
            </w:r>
          </w:p>
        </w:tc>
        <w:tc>
          <w:tcPr>
            <w:tcW w:w="138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20,679,000</w:t>
            </w:r>
          </w:p>
        </w:tc>
      </w:tr>
      <w:tr>
        <w:trPr>
          <w:trHeight w:val="183"/>
        </w:trPr>
        <w:tc>
          <w:tcPr>
            <w:tcW w:w="4720" w:type="dxa"/>
            <w:vAlign w:val="bottom"/>
          </w:tcPr>
          <w:p>
            <w:pPr>
              <w:spacing w:after="0"/>
              <w:rPr>
                <w:sz w:val="15"/>
                <w:szCs w:val="15"/>
                <w:color w:val="auto"/>
              </w:rPr>
            </w:pPr>
          </w:p>
        </w:tc>
        <w:tc>
          <w:tcPr>
            <w:tcW w:w="13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3"/>
        </w:trPr>
        <w:tc>
          <w:tcPr>
            <w:tcW w:w="4720" w:type="dxa"/>
            <w:vAlign w:val="bottom"/>
          </w:tcPr>
          <w:p>
            <w:pPr>
              <w:spacing w:after="0"/>
              <w:rPr>
                <w:sz w:val="20"/>
                <w:szCs w:val="20"/>
                <w:color w:val="auto"/>
              </w:rPr>
            </w:pPr>
            <w:r>
              <w:rPr>
                <w:rFonts w:ascii="Courier New" w:cs="Courier New" w:eastAsia="Courier New" w:hAnsi="Courier New"/>
                <w:sz w:val="16"/>
                <w:szCs w:val="16"/>
                <w:color w:val="auto"/>
              </w:rPr>
              <w:t>Total minimum rental...........................</w:t>
            </w:r>
          </w:p>
        </w:tc>
        <w:tc>
          <w:tcPr>
            <w:tcW w:w="13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$15,881,000</w:t>
            </w:r>
          </w:p>
        </w:tc>
        <w:tc>
          <w:tcPr>
            <w:tcW w:w="14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$119,977,000</w:t>
            </w:r>
          </w:p>
        </w:tc>
      </w:tr>
      <w:tr>
        <w:trPr>
          <w:trHeight w:val="183"/>
        </w:trPr>
        <w:tc>
          <w:tcPr>
            <w:tcW w:w="4720" w:type="dxa"/>
            <w:vAlign w:val="bottom"/>
          </w:tcPr>
          <w:p>
            <w:pPr>
              <w:spacing w:after="0"/>
              <w:rPr>
                <w:sz w:val="20"/>
                <w:szCs w:val="20"/>
                <w:color w:val="auto"/>
              </w:rPr>
            </w:pPr>
            <w:r>
              <w:rPr>
                <w:rFonts w:ascii="Courier New" w:cs="Courier New" w:eastAsia="Courier New" w:hAnsi="Courier New"/>
                <w:sz w:val="16"/>
                <w:szCs w:val="16"/>
                <w:color w:val="auto"/>
              </w:rPr>
              <w:t>Less: Amount representing interest.............</w:t>
            </w:r>
          </w:p>
        </w:tc>
        <w:tc>
          <w:tcPr>
            <w:tcW w:w="13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1,661,000</w:t>
            </w:r>
          </w:p>
        </w:tc>
        <w:tc>
          <w:tcPr>
            <w:tcW w:w="1440" w:type="dxa"/>
            <w:vAlign w:val="bottom"/>
          </w:tcPr>
          <w:p>
            <w:pPr>
              <w:spacing w:after="0"/>
              <w:rPr>
                <w:sz w:val="15"/>
                <w:szCs w:val="15"/>
                <w:color w:val="auto"/>
              </w:rPr>
            </w:pPr>
          </w:p>
        </w:tc>
      </w:tr>
      <w:tr>
        <w:trPr>
          <w:trHeight w:val="183"/>
        </w:trPr>
        <w:tc>
          <w:tcPr>
            <w:tcW w:w="4720" w:type="dxa"/>
            <w:vAlign w:val="bottom"/>
          </w:tcPr>
          <w:p>
            <w:pPr>
              <w:spacing w:after="0"/>
              <w:rPr>
                <w:sz w:val="15"/>
                <w:szCs w:val="15"/>
                <w:color w:val="auto"/>
              </w:rPr>
            </w:pPr>
          </w:p>
        </w:tc>
        <w:tc>
          <w:tcPr>
            <w:tcW w:w="13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spacing w:after="0"/>
              <w:rPr>
                <w:sz w:val="15"/>
                <w:szCs w:val="15"/>
                <w:color w:val="auto"/>
              </w:rPr>
            </w:pPr>
          </w:p>
        </w:tc>
      </w:tr>
      <w:tr>
        <w:trPr>
          <w:trHeight w:val="183"/>
        </w:trPr>
        <w:tc>
          <w:tcPr>
            <w:tcW w:w="4720" w:type="dxa"/>
            <w:vAlign w:val="bottom"/>
          </w:tcPr>
          <w:p>
            <w:pPr>
              <w:spacing w:after="0"/>
              <w:rPr>
                <w:sz w:val="20"/>
                <w:szCs w:val="20"/>
                <w:color w:val="auto"/>
              </w:rPr>
            </w:pPr>
            <w:r>
              <w:rPr>
                <w:rFonts w:ascii="Courier New" w:cs="Courier New" w:eastAsia="Courier New" w:hAnsi="Courier New"/>
                <w:sz w:val="16"/>
                <w:szCs w:val="16"/>
                <w:color w:val="auto"/>
              </w:rPr>
              <w:t>Present value of minimum rental commitments....</w:t>
            </w:r>
          </w:p>
        </w:tc>
        <w:tc>
          <w:tcPr>
            <w:tcW w:w="13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14,220,000</w:t>
            </w:r>
          </w:p>
        </w:tc>
        <w:tc>
          <w:tcPr>
            <w:tcW w:w="1440" w:type="dxa"/>
            <w:vAlign w:val="bottom"/>
          </w:tcPr>
          <w:p>
            <w:pPr>
              <w:spacing w:after="0"/>
              <w:rPr>
                <w:sz w:val="15"/>
                <w:szCs w:val="15"/>
                <w:color w:val="auto"/>
              </w:rPr>
            </w:pPr>
          </w:p>
        </w:tc>
      </w:tr>
      <w:tr>
        <w:trPr>
          <w:trHeight w:val="183"/>
        </w:trPr>
        <w:tc>
          <w:tcPr>
            <w:tcW w:w="4720" w:type="dxa"/>
            <w:vAlign w:val="bottom"/>
          </w:tcPr>
          <w:p>
            <w:pPr>
              <w:spacing w:after="0"/>
              <w:rPr>
                <w:sz w:val="20"/>
                <w:szCs w:val="20"/>
                <w:color w:val="auto"/>
              </w:rPr>
            </w:pPr>
            <w:r>
              <w:rPr>
                <w:rFonts w:ascii="Courier New" w:cs="Courier New" w:eastAsia="Courier New" w:hAnsi="Courier New"/>
                <w:sz w:val="16"/>
                <w:szCs w:val="16"/>
                <w:color w:val="auto"/>
              </w:rPr>
              <w:t>Less: Current portion of capital lease</w:t>
            </w:r>
          </w:p>
        </w:tc>
        <w:tc>
          <w:tcPr>
            <w:tcW w:w="13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3"/>
        </w:trPr>
        <w:tc>
          <w:tcPr>
            <w:tcW w:w="4720" w:type="dxa"/>
            <w:vAlign w:val="bottom"/>
          </w:tcPr>
          <w:p>
            <w:pPr>
              <w:spacing w:after="0"/>
              <w:rPr>
                <w:sz w:val="20"/>
                <w:szCs w:val="20"/>
                <w:color w:val="auto"/>
              </w:rPr>
            </w:pPr>
            <w:r>
              <w:rPr>
                <w:rFonts w:ascii="Courier New" w:cs="Courier New" w:eastAsia="Courier New" w:hAnsi="Courier New"/>
                <w:sz w:val="16"/>
                <w:szCs w:val="16"/>
                <w:color w:val="auto"/>
              </w:rPr>
              <w:t>obligations....................................</w:t>
            </w:r>
          </w:p>
        </w:tc>
        <w:tc>
          <w:tcPr>
            <w:tcW w:w="13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5,117,000</w:t>
            </w:r>
          </w:p>
        </w:tc>
        <w:tc>
          <w:tcPr>
            <w:tcW w:w="1440" w:type="dxa"/>
            <w:vAlign w:val="bottom"/>
          </w:tcPr>
          <w:p>
            <w:pPr>
              <w:spacing w:after="0"/>
              <w:rPr>
                <w:sz w:val="15"/>
                <w:szCs w:val="15"/>
                <w:color w:val="auto"/>
              </w:rPr>
            </w:pPr>
          </w:p>
        </w:tc>
      </w:tr>
      <w:tr>
        <w:trPr>
          <w:trHeight w:val="183"/>
        </w:trPr>
        <w:tc>
          <w:tcPr>
            <w:tcW w:w="4720" w:type="dxa"/>
            <w:vAlign w:val="bottom"/>
          </w:tcPr>
          <w:p>
            <w:pPr>
              <w:spacing w:after="0"/>
              <w:rPr>
                <w:sz w:val="15"/>
                <w:szCs w:val="15"/>
                <w:color w:val="auto"/>
              </w:rPr>
            </w:pPr>
          </w:p>
        </w:tc>
        <w:tc>
          <w:tcPr>
            <w:tcW w:w="13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spacing w:after="0"/>
              <w:rPr>
                <w:sz w:val="15"/>
                <w:szCs w:val="15"/>
                <w:color w:val="auto"/>
              </w:rPr>
            </w:pPr>
          </w:p>
        </w:tc>
      </w:tr>
      <w:tr>
        <w:trPr>
          <w:trHeight w:val="183"/>
        </w:trPr>
        <w:tc>
          <w:tcPr>
            <w:tcW w:w="4720" w:type="dxa"/>
            <w:vAlign w:val="bottom"/>
          </w:tcPr>
          <w:p>
            <w:pPr>
              <w:spacing w:after="0"/>
              <w:rPr>
                <w:sz w:val="20"/>
                <w:szCs w:val="20"/>
                <w:color w:val="auto"/>
              </w:rPr>
            </w:pPr>
            <w:r>
              <w:rPr>
                <w:rFonts w:ascii="Courier New" w:cs="Courier New" w:eastAsia="Courier New" w:hAnsi="Courier New"/>
                <w:sz w:val="16"/>
                <w:szCs w:val="16"/>
                <w:color w:val="auto"/>
              </w:rPr>
              <w:t>Long-term portion of capital lease</w:t>
            </w:r>
          </w:p>
        </w:tc>
        <w:tc>
          <w:tcPr>
            <w:tcW w:w="13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3"/>
        </w:trPr>
        <w:tc>
          <w:tcPr>
            <w:tcW w:w="4720" w:type="dxa"/>
            <w:vAlign w:val="bottom"/>
          </w:tcPr>
          <w:p>
            <w:pPr>
              <w:spacing w:after="0"/>
              <w:rPr>
                <w:sz w:val="20"/>
                <w:szCs w:val="20"/>
                <w:color w:val="auto"/>
              </w:rPr>
            </w:pPr>
            <w:r>
              <w:rPr>
                <w:rFonts w:ascii="Courier New" w:cs="Courier New" w:eastAsia="Courier New" w:hAnsi="Courier New"/>
                <w:sz w:val="16"/>
                <w:szCs w:val="16"/>
                <w:color w:val="auto"/>
              </w:rPr>
              <w:t>obligations....................................</w:t>
            </w:r>
          </w:p>
        </w:tc>
        <w:tc>
          <w:tcPr>
            <w:tcW w:w="13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$ 9,103,000</w:t>
            </w:r>
          </w:p>
        </w:tc>
        <w:tc>
          <w:tcPr>
            <w:tcW w:w="1440" w:type="dxa"/>
            <w:vAlign w:val="bottom"/>
          </w:tcPr>
          <w:p>
            <w:pPr>
              <w:spacing w:after="0"/>
              <w:rPr>
                <w:sz w:val="15"/>
                <w:szCs w:val="15"/>
                <w:color w:val="auto"/>
              </w:rPr>
            </w:pPr>
          </w:p>
        </w:tc>
      </w:tr>
      <w:tr>
        <w:trPr>
          <w:trHeight w:val="183"/>
        </w:trPr>
        <w:tc>
          <w:tcPr>
            <w:tcW w:w="4720" w:type="dxa"/>
            <w:vAlign w:val="bottom"/>
          </w:tcPr>
          <w:p>
            <w:pPr>
              <w:spacing w:after="0"/>
              <w:rPr>
                <w:sz w:val="15"/>
                <w:szCs w:val="15"/>
                <w:color w:val="auto"/>
              </w:rPr>
            </w:pPr>
          </w:p>
        </w:tc>
        <w:tc>
          <w:tcPr>
            <w:tcW w:w="13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spacing w:after="0"/>
              <w:rPr>
                <w:sz w:val="15"/>
                <w:szCs w:val="15"/>
                <w:color w:val="auto"/>
              </w:rPr>
            </w:pPr>
          </w:p>
        </w:tc>
      </w:tr>
      <w:tr>
        <w:trPr>
          <w:trHeight w:val="183"/>
        </w:trPr>
        <w:tc>
          <w:tcPr>
            <w:tcW w:w="4720" w:type="dxa"/>
            <w:vAlign w:val="bottom"/>
          </w:tcPr>
          <w:p>
            <w:pPr>
              <w:spacing w:after="0"/>
              <w:rPr>
                <w:sz w:val="15"/>
                <w:szCs w:val="15"/>
                <w:color w:val="auto"/>
              </w:rPr>
            </w:pPr>
          </w:p>
        </w:tc>
        <w:tc>
          <w:tcPr>
            <w:tcW w:w="13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spacing w:after="0"/>
              <w:rPr>
                <w:sz w:val="15"/>
                <w:szCs w:val="15"/>
                <w:color w:val="auto"/>
              </w:rPr>
            </w:pPr>
          </w:p>
        </w:tc>
      </w:tr>
    </w:tbl>
    <w:p>
      <w:pPr>
        <w:spacing w:after="0" w:line="188" w:lineRule="exact"/>
        <w:rPr>
          <w:sz w:val="20"/>
          <w:szCs w:val="20"/>
          <w:color w:val="auto"/>
        </w:rPr>
      </w:pPr>
    </w:p>
    <w:p>
      <w:pPr>
        <w:ind w:right="2599" w:firstLine="382"/>
        <w:spacing w:after="0"/>
        <w:rPr>
          <w:sz w:val="20"/>
          <w:szCs w:val="20"/>
          <w:color w:val="auto"/>
        </w:rPr>
      </w:pPr>
      <w:r>
        <w:rPr>
          <w:rFonts w:ascii="Courier New" w:cs="Courier New" w:eastAsia="Courier New" w:hAnsi="Courier New"/>
          <w:sz w:val="16"/>
          <w:szCs w:val="16"/>
          <w:color w:val="auto"/>
        </w:rPr>
        <w:t>Capital lease obligations of $5,371,000, $4,654,000 and $4,961,000 in 1993, 1994 and 1995, respectively, were incurred when the Company entered into capital leases for new equipment.</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 COMMITMENTS AND CONTINGENCIES</w:t>
      </w:r>
    </w:p>
    <w:p>
      <w:pPr>
        <w:spacing w:after="0" w:line="188"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Most of the Company's subsidiaries are self-insured for general liability risks for claims limited to $5 million per occurrence and for professional liability risks for claims limited to $25 million per occurrence. Coverage in excess of these limits up to $100 million is maintained with major insurance carriers. Since 1993, certain of the Company's subsidiaries, including one of its larger acute care facilities, have purchased general and professional liability occurrence policies with commercial insurers. These policies include coverage up to $25 million per occurrence for general and professional liability risks.</w:t>
      </w:r>
    </w:p>
    <w:p>
      <w:pPr>
        <w:spacing w:after="0" w:line="186"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As of December 1994 and 1995, the reserve for professional and general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liability risks was $62.4 million and $67.2 million, respectively, of which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$11.0 million and $22.8 million in 1994 and 1995, respectively, is included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current liabilities. Self-insurance reserves are based upon actuarially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determined estimates. These estimates are based on historical information along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 certain assumptions about future events. Changes in assumptions for such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things as medical costs as well as changes in actual experience could cause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these estimates to change in the near term.</w:t>
      </w:r>
    </w:p>
    <w:p>
      <w:pPr>
        <w:spacing w:after="0" w:line="188" w:lineRule="exact"/>
        <w:rPr>
          <w:sz w:val="20"/>
          <w:szCs w:val="20"/>
          <w:color w:val="auto"/>
        </w:rPr>
      </w:pPr>
    </w:p>
    <w:p>
      <w:pPr>
        <w:ind w:right="2599" w:firstLine="382"/>
        <w:spacing w:after="0" w:line="241" w:lineRule="auto"/>
        <w:rPr>
          <w:sz w:val="20"/>
          <w:szCs w:val="20"/>
          <w:color w:val="auto"/>
        </w:rPr>
      </w:pPr>
      <w:r>
        <w:rPr>
          <w:rFonts w:ascii="Courier New" w:cs="Courier New" w:eastAsia="Courier New" w:hAnsi="Courier New"/>
          <w:sz w:val="16"/>
          <w:szCs w:val="16"/>
          <w:color w:val="auto"/>
        </w:rPr>
        <w:t>Effective January 1, 1996, the Company's self-insured subsidiaries purchased general and professional liability insurance coverage for a three year term with a commercial insurer. These policies include coverage for claims in excess of $5 million and limited to $25 million per occurrence and have an unlimited aggregate.</w:t>
      </w:r>
    </w:p>
    <w:p>
      <w:pPr>
        <w:spacing w:after="0" w:line="190" w:lineRule="exact"/>
        <w:rPr>
          <w:sz w:val="20"/>
          <w:szCs w:val="20"/>
          <w:color w:val="auto"/>
        </w:rPr>
      </w:pPr>
    </w:p>
    <w:p>
      <w:pPr>
        <w:ind w:right="2599" w:firstLine="382"/>
        <w:spacing w:after="0" w:line="241" w:lineRule="auto"/>
        <w:rPr>
          <w:sz w:val="20"/>
          <w:szCs w:val="20"/>
          <w:color w:val="auto"/>
        </w:rPr>
      </w:pPr>
      <w:r>
        <w:rPr>
          <w:rFonts w:ascii="Courier New" w:cs="Courier New" w:eastAsia="Courier New" w:hAnsi="Courier New"/>
          <w:sz w:val="16"/>
          <w:szCs w:val="16"/>
          <w:color w:val="auto"/>
        </w:rPr>
        <w:t>The Company has outstanding letters of credit totalling $20.8 million related to the Company's self-insurance programs ($10.8 million), as support for various debt instruments ($1.3 million) and as support for a loan guarantee for an unaffiliated party ($8.7 million). The Company has also guaranteed approximately $1.1 million of loans.</w:t>
      </w:r>
    </w:p>
    <w:p>
      <w:pPr>
        <w:spacing w:after="0" w:line="18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F-17</w:t>
      </w:r>
    </w:p>
    <w:p>
      <w:pPr>
        <w:sectPr>
          <w:pgSz w:w="11900" w:h="16838" w:orient="portrait"/>
          <w:cols w:equalWidth="0" w:num="1">
            <w:col w:w="10219"/>
          </w:cols>
          <w:pgMar w:left="240" w:top="481" w:right="1440" w:bottom="1440" w:gutter="0" w:footer="0" w:header="0"/>
        </w:sectPr>
      </w:pPr>
    </w:p>
    <w:bookmarkStart w:id="67" w:name="page68"/>
    <w:bookmarkEnd w:id="67"/>
    <w:p>
      <w:pPr>
        <w:ind w:left="1520"/>
        <w:spacing w:after="0"/>
        <w:rPr>
          <w:sz w:val="20"/>
          <w:szCs w:val="20"/>
          <w:color w:val="auto"/>
        </w:rPr>
      </w:pPr>
      <w:r>
        <w:rPr>
          <w:rFonts w:ascii="Courier New" w:cs="Courier New" w:eastAsia="Courier New" w:hAnsi="Courier New"/>
          <w:sz w:val="16"/>
          <w:szCs w:val="16"/>
          <w:color w:val="auto"/>
        </w:rPr>
        <w:t>UNIVERSAL HEALTH SERVICES, INC. AND SUBSIDIARIES</w:t>
      </w:r>
    </w:p>
    <w:p>
      <w:pPr>
        <w:spacing w:after="0" w:line="2"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 COMMITMENTS AND CONTINGENCIES--(CONTINUED)</w:t>
      </w:r>
    </w:p>
    <w:p>
      <w:pPr>
        <w:spacing w:after="0" w:line="5"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The Company is committed to invest at least an additional $30 million, over a ten year period, to renovate the existing facility and construct an additional facility related to its 1994 acquisition of a 112-bed acute care hospital located in Edinburg, Texas (See Note 2). The Company has also agreed to construct a medical complex, including a 129-bed acute care facility, in Summerlin, Nevada for a total cost of approximately $60 million.</w:t>
      </w:r>
    </w:p>
    <w:p>
      <w:pPr>
        <w:spacing w:after="0" w:line="187" w:lineRule="exact"/>
        <w:rPr>
          <w:sz w:val="20"/>
          <w:szCs w:val="20"/>
          <w:color w:val="auto"/>
        </w:rPr>
      </w:pPr>
    </w:p>
    <w:p>
      <w:pPr>
        <w:ind w:right="2779" w:firstLine="382"/>
        <w:spacing w:after="0" w:line="241" w:lineRule="auto"/>
        <w:rPr>
          <w:sz w:val="20"/>
          <w:szCs w:val="20"/>
          <w:color w:val="auto"/>
        </w:rPr>
      </w:pPr>
      <w:r>
        <w:rPr>
          <w:rFonts w:ascii="Courier New" w:cs="Courier New" w:eastAsia="Courier New" w:hAnsi="Courier New"/>
          <w:sz w:val="16"/>
          <w:szCs w:val="16"/>
          <w:color w:val="auto"/>
        </w:rPr>
        <w:t>The Company signed a letter of intent to acquire a 360-bed acute care hospital located in Amarillo, Texas. The closing of this transaction, which is expected to be completed during the second quarter of 1996, is subject to a number of conditions. Cash consideration is expected to approximate $120 million.</w:t>
      </w:r>
    </w:p>
    <w:p>
      <w:pPr>
        <w:spacing w:after="0" w:line="190" w:lineRule="exact"/>
        <w:rPr>
          <w:sz w:val="20"/>
          <w:szCs w:val="20"/>
          <w:color w:val="auto"/>
        </w:rPr>
      </w:pPr>
    </w:p>
    <w:p>
      <w:pPr>
        <w:ind w:right="2879" w:firstLine="382"/>
        <w:spacing w:after="0" w:line="239" w:lineRule="auto"/>
        <w:rPr>
          <w:sz w:val="20"/>
          <w:szCs w:val="20"/>
          <w:color w:val="auto"/>
        </w:rPr>
      </w:pPr>
      <w:r>
        <w:rPr>
          <w:rFonts w:ascii="Courier New" w:cs="Courier New" w:eastAsia="Courier New" w:hAnsi="Courier New"/>
          <w:sz w:val="16"/>
          <w:szCs w:val="16"/>
          <w:color w:val="auto"/>
        </w:rPr>
        <w:t>The Company estimates the cost to complete major construction projects in progress at December 31, 1995 will approximate $45.8 million.</w:t>
      </w:r>
    </w:p>
    <w:p>
      <w:pPr>
        <w:spacing w:after="0" w:line="189" w:lineRule="exact"/>
        <w:rPr>
          <w:sz w:val="20"/>
          <w:szCs w:val="20"/>
          <w:color w:val="auto"/>
        </w:rPr>
      </w:pPr>
    </w:p>
    <w:p>
      <w:pPr>
        <w:jc w:val="both"/>
        <w:ind w:right="3059" w:firstLine="382"/>
        <w:spacing w:after="0"/>
        <w:rPr>
          <w:sz w:val="20"/>
          <w:szCs w:val="20"/>
          <w:color w:val="auto"/>
        </w:rPr>
      </w:pPr>
      <w:r>
        <w:rPr>
          <w:rFonts w:ascii="Courier New" w:cs="Courier New" w:eastAsia="Courier New" w:hAnsi="Courier New"/>
          <w:sz w:val="16"/>
          <w:szCs w:val="16"/>
          <w:color w:val="auto"/>
        </w:rPr>
        <w:t>The Company has entered into a long-term contract with a third party to provide certain data processing services for its acute care and psychiatric hospitals. This contract expires in 2002.</w:t>
      </w:r>
    </w:p>
    <w:p>
      <w:pPr>
        <w:spacing w:after="0" w:line="190" w:lineRule="exact"/>
        <w:rPr>
          <w:sz w:val="20"/>
          <w:szCs w:val="20"/>
          <w:color w:val="auto"/>
        </w:rPr>
      </w:pPr>
    </w:p>
    <w:p>
      <w:pPr>
        <w:ind w:right="2779" w:firstLine="382"/>
        <w:spacing w:after="0" w:line="241" w:lineRule="auto"/>
        <w:rPr>
          <w:sz w:val="20"/>
          <w:szCs w:val="20"/>
          <w:color w:val="auto"/>
        </w:rPr>
      </w:pPr>
      <w:r>
        <w:rPr>
          <w:rFonts w:ascii="Courier New" w:cs="Courier New" w:eastAsia="Courier New" w:hAnsi="Courier New"/>
          <w:sz w:val="16"/>
          <w:szCs w:val="16"/>
          <w:color w:val="auto"/>
        </w:rPr>
        <w:t>Various suits and claims arising in the ordinary course of business are pending against the Company. In the opinion of management, the outcome of such claims and litigation will not materially affect the Company's consolidated financial position or results of operations.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 RELATED PARTY TRANSACTIONS</w:t>
      </w:r>
    </w:p>
    <w:p>
      <w:pPr>
        <w:spacing w:after="0" w:line="188" w:lineRule="exact"/>
        <w:rPr>
          <w:sz w:val="20"/>
          <w:szCs w:val="20"/>
          <w:color w:val="auto"/>
        </w:rPr>
      </w:pPr>
    </w:p>
    <w:p>
      <w:pPr>
        <w:jc w:val="both"/>
        <w:ind w:right="2779" w:firstLine="382"/>
        <w:spacing w:after="0" w:line="259" w:lineRule="auto"/>
        <w:rPr>
          <w:sz w:val="20"/>
          <w:szCs w:val="20"/>
          <w:color w:val="auto"/>
        </w:rPr>
      </w:pPr>
      <w:r>
        <w:rPr>
          <w:rFonts w:ascii="Courier New" w:cs="Courier New" w:eastAsia="Courier New" w:hAnsi="Courier New"/>
          <w:sz w:val="15"/>
          <w:szCs w:val="15"/>
          <w:color w:val="auto"/>
        </w:rPr>
        <w:t>At December 31, 1995, the Company held approximately 8% of the outstanding shares of Universal Health Realty Income Trust (the "Trust"). Certain officers and directors of the Company are also officers and/or Directors of the Trust.</w:t>
      </w:r>
    </w:p>
    <w:p>
      <w:pPr>
        <w:ind w:right="2599"/>
        <w:spacing w:after="0" w:line="242" w:lineRule="auto"/>
        <w:rPr>
          <w:sz w:val="20"/>
          <w:szCs w:val="20"/>
          <w:color w:val="auto"/>
        </w:rPr>
      </w:pPr>
      <w:r>
        <w:rPr>
          <w:rFonts w:ascii="Courier New" w:cs="Courier New" w:eastAsia="Courier New" w:hAnsi="Courier New"/>
          <w:sz w:val="16"/>
          <w:szCs w:val="16"/>
          <w:color w:val="auto"/>
        </w:rPr>
        <w:t>The Company accounts for its investment in the Trust using the equity method of accounting. The Company's pre-tax share of income from the Trust was $757,000, $1,095,000 and $1,052,000 in 1993, 1994 and 1995, respectively, and is included in net revenues in the accompanying consolidated statements of income. The carrying value of this investment at December 31, 1994 and 1995 was $8,404,000 and $8,468,000, respectively, and is included in other assets in the accompanying consolidated balance sheets. The market value of this investment at December 31, 1994 and 1995 was $11,261,000 and $12,489,000, respectively.</w:t>
      </w:r>
    </w:p>
    <w:p>
      <w:pPr>
        <w:spacing w:after="0" w:line="189"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During 1993, pursuant to the terms of its lease with the Trust, the Company purchased the real property of a 48-bed psychiatric hospital located in Texas for $3.2 million. The real property of this hospital was previously leased by the Company and base rental payments continued under the existing lease until the date of sale. Operations at this hospital were discontinued during the first quarter of 1992, however, the facility is currently being utilized for outpatient services at one of the Company's acute care hospitals. Also during 1993, the Company sold to the Trust certain real estate assets of a 134-bed hospital located in Illinois for approximately $1.9 million. These assets consisted of additions and improvements made to the facility by the Company since the sale of the major portion of the real estate assets to the Trust in 1986. The operations of this facility were sold during 1993 to an operator unaffiliated with the Company.</w:t>
      </w:r>
    </w:p>
    <w:p>
      <w:pPr>
        <w:spacing w:after="0" w:line="192"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As of December 31, 1995, the Company leased seven hospital facilities from the Trust with initial terms expiring in 1999 through 2003. These leases contain up to six 5-year renewal options. Future minimum lease payments to the Trust are included in Note 6. The terms of the lease provide that in the event the Company discontinues operations at the leased facility for more than one year, the Company is obligated to offer a substitute property. If the Trust does not accept the substitute property offered,</w:t>
      </w:r>
    </w:p>
    <w:p>
      <w:pPr>
        <w:spacing w:after="0" w:line="18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F-18</w:t>
      </w:r>
    </w:p>
    <w:p>
      <w:pPr>
        <w:sectPr>
          <w:pgSz w:w="11900" w:h="16838" w:orient="portrait"/>
          <w:cols w:equalWidth="0" w:num="1">
            <w:col w:w="10219"/>
          </w:cols>
          <w:pgMar w:left="240" w:top="481" w:right="1440" w:bottom="1440" w:gutter="0" w:footer="0" w:header="0"/>
        </w:sectPr>
      </w:pPr>
    </w:p>
    <w:bookmarkStart w:id="68" w:name="page69"/>
    <w:bookmarkEnd w:id="68"/>
    <w:p>
      <w:pPr>
        <w:ind w:left="1520"/>
        <w:spacing w:after="0"/>
        <w:rPr>
          <w:sz w:val="20"/>
          <w:szCs w:val="20"/>
          <w:color w:val="auto"/>
        </w:rPr>
      </w:pPr>
      <w:r>
        <w:rPr>
          <w:rFonts w:ascii="Courier New" w:cs="Courier New" w:eastAsia="Courier New" w:hAnsi="Courier New"/>
          <w:sz w:val="16"/>
          <w:szCs w:val="16"/>
          <w:color w:val="auto"/>
        </w:rPr>
        <w:t>UNIVERSAL HEALTH SERVICES, INC. AND SUBSIDIARIES</w:t>
      </w:r>
    </w:p>
    <w:p>
      <w:pPr>
        <w:spacing w:after="0" w:line="2"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 RELATED PARTY TRANSACTIONS--(CONTINUED)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Company is obligated to purchase the leased facility back from the Trust at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price equal to the greater of its then fair market value or the original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purchase price paid by the Trust. During 1995, in exchange for the real estate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assets of a 126-bed acute care hospital divested by the Company during the year,</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Company exchanged with the Trust substitute properties consisting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additional real estate assets owned by the Company but related to three acute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care facilities owned by the Trust and operated by the Company (See Note 2).</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Total rent expense under these operating leases was $16,600,000 in 1993,</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$15,700,000 in 1994 and $16,000,000 in 1995. The Company received an advisory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fee of $880,000 in 1993, $909,000 in 1994 and $953,000 in 1995 from the Trust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investment and administrative services provided under a contractual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agreement which is included in net revenues in the accompanying consolidated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statement of income.</w:t>
      </w:r>
    </w:p>
    <w:p>
      <w:pPr>
        <w:spacing w:after="0" w:line="188" w:lineRule="exact"/>
        <w:rPr>
          <w:sz w:val="20"/>
          <w:szCs w:val="20"/>
          <w:color w:val="auto"/>
        </w:rPr>
      </w:pPr>
    </w:p>
    <w:p>
      <w:pPr>
        <w:ind w:right="2779" w:firstLine="382"/>
        <w:spacing w:after="0" w:line="241" w:lineRule="auto"/>
        <w:rPr>
          <w:sz w:val="20"/>
          <w:szCs w:val="20"/>
          <w:color w:val="auto"/>
        </w:rPr>
      </w:pPr>
      <w:r>
        <w:rPr>
          <w:rFonts w:ascii="Courier New" w:cs="Courier New" w:eastAsia="Courier New" w:hAnsi="Courier New"/>
          <w:sz w:val="16"/>
          <w:szCs w:val="16"/>
          <w:color w:val="auto"/>
        </w:rPr>
        <w:t>A member of the Company's Board of Directors is a partner in the law firm used by the Company as its principal outside counsel. Another member of the Company's Board of Directors is a managing director of one of the underwriters who performed investment banking services related to the Senior Notes issued during 1995.</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 OTHER NONRECURRING CHARGES</w:t>
      </w:r>
    </w:p>
    <w:p>
      <w:pPr>
        <w:spacing w:after="0" w:line="188"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Changes in third party payment methods, advances in medical technologies, legislative and regulatory initiatives at the Federal and state levels along with increased competition from other providers have impacted operating margins at the Company's facilities in recent years. These industry conditions have adversely impacted certain of the Company's specialized facilities and certain of the Company's smaller facilities in more competitive markets.</w:t>
      </w:r>
    </w:p>
    <w:p>
      <w:pPr>
        <w:spacing w:after="0" w:line="187"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The increased penetration of managed care into the chemical dependency segment of the behavioral health services market, increased competition from acute care providers seeking to expand their service lines and the continuing shift to partial hospitalization and outpatient treatment programs have resulted in significant reduction in admissions and patient days at the Company's two chemical dependency facilities. Changes in CHAMPUS regulations and the increasing influence of managed care have led to shorter lengths of stay for patients at the Company's two residential treatment centers. These factors have led management to conclude that there has been a permanent impairment in the carrying value of these four facilities in the behavioral health services division.</w:t>
      </w:r>
    </w:p>
    <w:p>
      <w:pPr>
        <w:spacing w:after="0" w:line="191" w:lineRule="exact"/>
        <w:rPr>
          <w:sz w:val="20"/>
          <w:szCs w:val="20"/>
          <w:color w:val="auto"/>
        </w:rPr>
      </w:pPr>
    </w:p>
    <w:p>
      <w:pPr>
        <w:ind w:right="2679" w:firstLine="382"/>
        <w:spacing w:after="0" w:line="241" w:lineRule="auto"/>
        <w:rPr>
          <w:sz w:val="20"/>
          <w:szCs w:val="20"/>
          <w:color w:val="auto"/>
        </w:rPr>
      </w:pPr>
      <w:r>
        <w:rPr>
          <w:rFonts w:ascii="Courier New" w:cs="Courier New" w:eastAsia="Courier New" w:hAnsi="Courier New"/>
          <w:sz w:val="16"/>
          <w:szCs w:val="16"/>
          <w:color w:val="auto"/>
        </w:rPr>
        <w:t>Increased competition and penetration of managed care in the two geographic markets where three of the Company's ambulatory treatment centers are located have led management to conclude that there has been a permanent impairment in the carrying value those facilities.</w:t>
      </w:r>
    </w:p>
    <w:p>
      <w:pPr>
        <w:spacing w:after="0" w:line="189"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In conjunction with the development of the Company's operating plan and 1996 budget, management assessed the current competitive position of these facilities and estimated future cash flows expected from these facilities. As a result, the Company recorded a $14.2 million pre-tax nonrecurring charge in the 1995 consolidated statement of income related primarily to the write-down of the carrying value of certain intangible and tangible assets at these facilities. In measuring the impairment loss, the Company estimated fair value by discounting expected future cash flows from each facility using the Company's internal hurdle rate.</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F-19</w:t>
      </w:r>
    </w:p>
    <w:p>
      <w:pPr>
        <w:sectPr>
          <w:pgSz w:w="11900" w:h="16838" w:orient="portrait"/>
          <w:cols w:equalWidth="0" w:num="1">
            <w:col w:w="10219"/>
          </w:cols>
          <w:pgMar w:left="240" w:top="481" w:right="1440" w:bottom="1440" w:gutter="0" w:footer="0" w:header="0"/>
        </w:sectPr>
      </w:pPr>
    </w:p>
    <w:bookmarkStart w:id="69" w:name="page70"/>
    <w:bookmarkEnd w:id="69"/>
    <w:p>
      <w:pPr>
        <w:ind w:left="1520"/>
        <w:spacing w:after="0"/>
        <w:rPr>
          <w:sz w:val="20"/>
          <w:szCs w:val="20"/>
          <w:color w:val="auto"/>
        </w:rPr>
      </w:pPr>
      <w:r>
        <w:rPr>
          <w:rFonts w:ascii="Courier New" w:cs="Courier New" w:eastAsia="Courier New" w:hAnsi="Courier New"/>
          <w:sz w:val="16"/>
          <w:szCs w:val="16"/>
          <w:color w:val="auto"/>
        </w:rPr>
        <w:t>UNIVERSAL HEALTH SERVICES, INC. AND SUBSIDIARIES</w:t>
      </w:r>
    </w:p>
    <w:p>
      <w:pPr>
        <w:spacing w:after="0" w:line="2"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 PENSION PLAN</w:t>
      </w:r>
    </w:p>
    <w:p>
      <w:pPr>
        <w:spacing w:after="0" w:line="188"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The Company maintains a contributory and non-contributory retirement plan for eligible employees. The non-contributory plan is a defined benefit pension plan which covers employees of one of the Company's subsidiaries. The benefits are based on years of service and the employee's highest compensation for any five years of employment. The Company's funding policy is to contribute annually at least the minimum amount that should be funded in accordance with the provisions of ERISA.</w:t>
      </w:r>
    </w:p>
    <w:p>
      <w:pPr>
        <w:spacing w:after="0" w:line="188" w:lineRule="exact"/>
        <w:rPr>
          <w:sz w:val="20"/>
          <w:szCs w:val="20"/>
          <w:color w:val="auto"/>
        </w:rPr>
      </w:pPr>
    </w:p>
    <w:p>
      <w:pPr>
        <w:ind w:right="2979" w:firstLine="382"/>
        <w:spacing w:after="0" w:line="239" w:lineRule="auto"/>
        <w:rPr>
          <w:sz w:val="20"/>
          <w:szCs w:val="20"/>
          <w:color w:val="auto"/>
        </w:rPr>
      </w:pPr>
      <w:r>
        <w:rPr>
          <w:rFonts w:ascii="Courier New" w:cs="Courier New" w:eastAsia="Courier New" w:hAnsi="Courier New"/>
          <w:sz w:val="16"/>
          <w:szCs w:val="16"/>
          <w:color w:val="auto"/>
        </w:rPr>
        <w:t>The plan's funded status and amounts recognized in the Company's balance sheet as of December 31, 1995 are as follows: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Actuarial present value of benefit obligations as of December 31, 1995:</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Accumulated benefit obligation, including vested benefits of $29,890,000....</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$ 32,197,000</w:t>
            </w:r>
          </w:p>
        </w:tc>
      </w:tr>
      <w:tr>
        <w:trPr>
          <w:trHeight w:val="183"/>
        </w:trPr>
        <w:tc>
          <w:tcPr>
            <w:tcW w:w="7580" w:type="dxa"/>
            <w:vAlign w:val="bottom"/>
          </w:tcPr>
          <w:p>
            <w:pPr>
              <w:spacing w:after="0"/>
              <w:rPr>
                <w:sz w:val="15"/>
                <w:szCs w:val="15"/>
                <w:color w:val="auto"/>
              </w:rPr>
            </w:pP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75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9"/>
              </w:rPr>
              <w:t>Projected benefit obligation for service rendered to date.....................</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$(37,211,000)</w:t>
            </w:r>
          </w:p>
        </w:tc>
      </w:tr>
      <w:tr>
        <w:trPr>
          <w:trHeight w:val="367"/>
        </w:trPr>
        <w:tc>
          <w:tcPr>
            <w:tcW w:w="75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9"/>
              </w:rPr>
              <w:t>Plan assets at fair value, primarily listed stock and U.S. obligations........</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20,008,000</w:t>
            </w:r>
          </w:p>
        </w:tc>
      </w:tr>
      <w:tr>
        <w:trPr>
          <w:trHeight w:val="183"/>
        </w:trPr>
        <w:tc>
          <w:tcPr>
            <w:tcW w:w="7580" w:type="dxa"/>
            <w:vAlign w:val="bottom"/>
          </w:tcPr>
          <w:p>
            <w:pPr>
              <w:spacing w:after="0"/>
              <w:rPr>
                <w:sz w:val="15"/>
                <w:szCs w:val="15"/>
                <w:color w:val="auto"/>
              </w:rPr>
            </w:pP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75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9"/>
              </w:rPr>
              <w:t>Projected benefit obligation in excess of plan assets.........................</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(17,203,000)</w:t>
            </w:r>
          </w:p>
        </w:tc>
      </w:tr>
      <w:tr>
        <w:trPr>
          <w:trHeight w:val="367"/>
        </w:trPr>
        <w:tc>
          <w:tcPr>
            <w:tcW w:w="7580" w:type="dxa"/>
            <w:vAlign w:val="bottom"/>
          </w:tcPr>
          <w:p>
            <w:pPr>
              <w:jc w:val="right"/>
              <w:ind w:right="441"/>
              <w:spacing w:after="0"/>
              <w:rPr>
                <w:sz w:val="20"/>
                <w:szCs w:val="20"/>
                <w:color w:val="auto"/>
              </w:rPr>
            </w:pPr>
            <w:r>
              <w:rPr>
                <w:rFonts w:ascii="Courier New" w:cs="Courier New" w:eastAsia="Courier New" w:hAnsi="Courier New"/>
                <w:sz w:val="16"/>
                <w:szCs w:val="16"/>
                <w:color w:val="auto"/>
                <w:w w:val="99"/>
              </w:rPr>
              <w:t>Unrecognized net loss from past experience different from that assumed and</w:t>
            </w:r>
          </w:p>
        </w:tc>
        <w:tc>
          <w:tcPr>
            <w:tcW w:w="1380" w:type="dxa"/>
            <w:vAlign w:val="bottom"/>
          </w:tcPr>
          <w:p>
            <w:pPr>
              <w:spacing w:after="0"/>
              <w:rPr>
                <w:sz w:val="24"/>
                <w:szCs w:val="24"/>
                <w:color w:val="auto"/>
              </w:rPr>
            </w:pPr>
          </w:p>
        </w:tc>
      </w:tr>
      <w:tr>
        <w:trPr>
          <w:trHeight w:val="183"/>
        </w:trPr>
        <w:tc>
          <w:tcPr>
            <w:tcW w:w="7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effects of changes in assumptions...........................................</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2,480,000</w:t>
            </w:r>
          </w:p>
        </w:tc>
      </w:tr>
      <w:tr>
        <w:trPr>
          <w:trHeight w:val="183"/>
        </w:trPr>
        <w:tc>
          <w:tcPr>
            <w:tcW w:w="7580" w:type="dxa"/>
            <w:vAlign w:val="bottom"/>
          </w:tcPr>
          <w:p>
            <w:pPr>
              <w:spacing w:after="0"/>
              <w:rPr>
                <w:sz w:val="15"/>
                <w:szCs w:val="15"/>
                <w:color w:val="auto"/>
              </w:rPr>
            </w:pP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75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9"/>
              </w:rPr>
              <w:t>Accrued pension cost..........................................................</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$(14,723,000)</w:t>
            </w:r>
          </w:p>
        </w:tc>
      </w:tr>
      <w:tr>
        <w:trPr>
          <w:trHeight w:val="183"/>
        </w:trPr>
        <w:tc>
          <w:tcPr>
            <w:tcW w:w="7580" w:type="dxa"/>
            <w:vAlign w:val="bottom"/>
          </w:tcPr>
          <w:p>
            <w:pPr>
              <w:spacing w:after="0"/>
              <w:rPr>
                <w:sz w:val="15"/>
                <w:szCs w:val="15"/>
                <w:color w:val="auto"/>
              </w:rPr>
            </w:pP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7580" w:type="dxa"/>
            <w:vAlign w:val="bottom"/>
          </w:tcPr>
          <w:p>
            <w:pPr>
              <w:spacing w:after="0"/>
              <w:rPr>
                <w:sz w:val="15"/>
                <w:szCs w:val="15"/>
                <w:color w:val="auto"/>
              </w:rPr>
            </w:pP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369"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Significant actuarial assumptions used in measuring benefit obligations and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000" w:type="dxa"/>
            <w:vAlign w:val="bottom"/>
            <w:gridSpan w:val="7"/>
          </w:tcPr>
          <w:p>
            <w:pPr>
              <w:spacing w:after="0"/>
              <w:rPr>
                <w:sz w:val="20"/>
                <w:szCs w:val="20"/>
                <w:color w:val="auto"/>
              </w:rPr>
            </w:pPr>
            <w:r>
              <w:rPr>
                <w:rFonts w:ascii="Courier New" w:cs="Courier New" w:eastAsia="Courier New" w:hAnsi="Courier New"/>
                <w:sz w:val="16"/>
                <w:szCs w:val="16"/>
                <w:color w:val="auto"/>
              </w:rPr>
              <w:t>the expected return on plan assets at December 31, 1995 are as follows:</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367"/>
        </w:trPr>
        <w:tc>
          <w:tcPr>
            <w:tcW w:w="3620" w:type="dxa"/>
            <w:vAlign w:val="bottom"/>
            <w:gridSpan w:val="2"/>
          </w:tcPr>
          <w:p>
            <w:pPr>
              <w:spacing w:after="0"/>
              <w:rPr>
                <w:sz w:val="20"/>
                <w:szCs w:val="20"/>
                <w:color w:val="auto"/>
              </w:rPr>
            </w:pPr>
            <w:r>
              <w:rPr>
                <w:rFonts w:ascii="Courier New" w:cs="Courier New" w:eastAsia="Courier New" w:hAnsi="Courier New"/>
                <w:sz w:val="12"/>
                <w:szCs w:val="12"/>
                <w:color w:val="auto"/>
                <w:w w:val="74"/>
              </w:rPr>
              <w:t>Weighted-average discount rate.....................................</w:t>
            </w: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jc w:val="right"/>
              <w:ind w:right="761"/>
              <w:spacing w:after="0"/>
              <w:rPr>
                <w:sz w:val="20"/>
                <w:szCs w:val="20"/>
                <w:color w:val="auto"/>
              </w:rPr>
            </w:pPr>
            <w:r>
              <w:rPr>
                <w:rFonts w:ascii="Courier New" w:cs="Courier New" w:eastAsia="Courier New" w:hAnsi="Courier New"/>
                <w:sz w:val="16"/>
                <w:szCs w:val="16"/>
                <w:color w:val="auto"/>
                <w:w w:val="95"/>
              </w:rPr>
              <w:t>7.00%</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83"/>
        </w:trPr>
        <w:tc>
          <w:tcPr>
            <w:tcW w:w="5140" w:type="dxa"/>
            <w:vAlign w:val="bottom"/>
            <w:gridSpan w:val="4"/>
          </w:tcPr>
          <w:p>
            <w:pPr>
              <w:spacing w:after="0"/>
              <w:rPr>
                <w:sz w:val="20"/>
                <w:szCs w:val="20"/>
                <w:color w:val="auto"/>
              </w:rPr>
            </w:pPr>
            <w:r>
              <w:rPr>
                <w:rFonts w:ascii="Courier New" w:cs="Courier New" w:eastAsia="Courier New" w:hAnsi="Courier New"/>
                <w:sz w:val="16"/>
                <w:szCs w:val="16"/>
                <w:color w:val="auto"/>
                <w:w w:val="79"/>
              </w:rPr>
              <w:t>Weighted-average rate of compensation increase.....................</w:t>
            </w:r>
          </w:p>
        </w:tc>
        <w:tc>
          <w:tcPr>
            <w:tcW w:w="1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right"/>
              <w:ind w:right="761"/>
              <w:spacing w:after="0"/>
              <w:rPr>
                <w:sz w:val="20"/>
                <w:szCs w:val="20"/>
                <w:color w:val="auto"/>
              </w:rPr>
            </w:pPr>
            <w:r>
              <w:rPr>
                <w:rFonts w:ascii="Courier New" w:cs="Courier New" w:eastAsia="Courier New" w:hAnsi="Courier New"/>
                <w:sz w:val="16"/>
                <w:szCs w:val="16"/>
                <w:color w:val="auto"/>
                <w:w w:val="95"/>
              </w:rPr>
              <w:t>4.00%</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3620" w:type="dxa"/>
            <w:vAlign w:val="bottom"/>
            <w:gridSpan w:val="2"/>
          </w:tcPr>
          <w:p>
            <w:pPr>
              <w:spacing w:after="0"/>
              <w:rPr>
                <w:sz w:val="20"/>
                <w:szCs w:val="20"/>
                <w:color w:val="auto"/>
              </w:rPr>
            </w:pPr>
            <w:r>
              <w:rPr>
                <w:rFonts w:ascii="Courier New" w:cs="Courier New" w:eastAsia="Courier New" w:hAnsi="Courier New"/>
                <w:sz w:val="12"/>
                <w:szCs w:val="12"/>
                <w:color w:val="auto"/>
                <w:w w:val="74"/>
              </w:rPr>
              <w:t>Expected rate of return on assets..................................</w:t>
            </w: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right"/>
              <w:ind w:right="761"/>
              <w:spacing w:after="0"/>
              <w:rPr>
                <w:sz w:val="20"/>
                <w:szCs w:val="20"/>
                <w:color w:val="auto"/>
              </w:rPr>
            </w:pPr>
            <w:r>
              <w:rPr>
                <w:rFonts w:ascii="Courier New" w:cs="Courier New" w:eastAsia="Courier New" w:hAnsi="Courier New"/>
                <w:sz w:val="16"/>
                <w:szCs w:val="16"/>
                <w:color w:val="auto"/>
                <w:w w:val="95"/>
              </w:rPr>
              <w:t>9.00%</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367"/>
        </w:trPr>
        <w:tc>
          <w:tcPr>
            <w:tcW w:w="8000" w:type="dxa"/>
            <w:vAlign w:val="bottom"/>
            <w:gridSpan w:val="7"/>
          </w:tcPr>
          <w:p>
            <w:pPr>
              <w:jc w:val="center"/>
              <w:ind w:right="301"/>
              <w:spacing w:after="0"/>
              <w:rPr>
                <w:sz w:val="20"/>
                <w:szCs w:val="20"/>
                <w:color w:val="auto"/>
              </w:rPr>
            </w:pPr>
            <w:r>
              <w:rPr>
                <w:rFonts w:ascii="Courier New" w:cs="Courier New" w:eastAsia="Courier New" w:hAnsi="Courier New"/>
                <w:sz w:val="16"/>
                <w:szCs w:val="16"/>
                <w:color w:val="auto"/>
                <w:w w:val="99"/>
              </w:rPr>
              <w:t>Pension expense related to this plan is not material to the consolidated</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83"/>
        </w:trPr>
        <w:tc>
          <w:tcPr>
            <w:tcW w:w="3520" w:type="dxa"/>
            <w:vAlign w:val="bottom"/>
          </w:tcPr>
          <w:p>
            <w:pPr>
              <w:spacing w:after="0"/>
              <w:rPr>
                <w:sz w:val="20"/>
                <w:szCs w:val="20"/>
                <w:color w:val="auto"/>
              </w:rPr>
            </w:pPr>
            <w:r>
              <w:rPr>
                <w:rFonts w:ascii="Courier New" w:cs="Courier New" w:eastAsia="Courier New" w:hAnsi="Courier New"/>
                <w:sz w:val="16"/>
                <w:szCs w:val="16"/>
                <w:color w:val="auto"/>
              </w:rPr>
              <w:t>financial statements.</w:t>
            </w: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367"/>
        </w:trPr>
        <w:tc>
          <w:tcPr>
            <w:tcW w:w="3520" w:type="dxa"/>
            <w:vAlign w:val="bottom"/>
          </w:tcPr>
          <w:p>
            <w:pPr>
              <w:spacing w:after="0"/>
              <w:rPr>
                <w:sz w:val="20"/>
                <w:szCs w:val="20"/>
                <w:color w:val="auto"/>
              </w:rPr>
            </w:pPr>
            <w:r>
              <w:rPr>
                <w:rFonts w:ascii="Courier New" w:cs="Courier New" w:eastAsia="Courier New" w:hAnsi="Courier New"/>
                <w:sz w:val="16"/>
                <w:szCs w:val="16"/>
                <w:color w:val="auto"/>
              </w:rPr>
              <w:t>11) QUARTERLY RESULTS (UNAUDITED)</w:t>
            </w: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67"/>
        </w:trPr>
        <w:tc>
          <w:tcPr>
            <w:tcW w:w="36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The following tables summarize the</w:t>
            </w:r>
          </w:p>
        </w:tc>
        <w:tc>
          <w:tcPr>
            <w:tcW w:w="4380" w:type="dxa"/>
            <w:vAlign w:val="bottom"/>
            <w:gridSpan w:val="5"/>
          </w:tcPr>
          <w:p>
            <w:pPr>
              <w:ind w:left="100"/>
              <w:spacing w:after="0"/>
              <w:rPr>
                <w:sz w:val="20"/>
                <w:szCs w:val="20"/>
                <w:color w:val="auto"/>
              </w:rPr>
            </w:pPr>
            <w:r>
              <w:rPr>
                <w:rFonts w:ascii="Courier New" w:cs="Courier New" w:eastAsia="Courier New" w:hAnsi="Courier New"/>
                <w:sz w:val="16"/>
                <w:szCs w:val="16"/>
                <w:color w:val="auto"/>
              </w:rPr>
              <w:t>Company's quarterly financial data for</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83"/>
        </w:trPr>
        <w:tc>
          <w:tcPr>
            <w:tcW w:w="3620" w:type="dxa"/>
            <w:vAlign w:val="bottom"/>
            <w:gridSpan w:val="2"/>
          </w:tcPr>
          <w:p>
            <w:pPr>
              <w:spacing w:after="0"/>
              <w:rPr>
                <w:sz w:val="20"/>
                <w:szCs w:val="20"/>
                <w:color w:val="auto"/>
              </w:rPr>
            </w:pPr>
            <w:r>
              <w:rPr>
                <w:rFonts w:ascii="Courier New" w:cs="Courier New" w:eastAsia="Courier New" w:hAnsi="Courier New"/>
                <w:sz w:val="16"/>
                <w:szCs w:val="16"/>
                <w:color w:val="auto"/>
                <w:w w:val="98"/>
              </w:rPr>
              <w:t>the two years ended December 31, 1995.</w:t>
            </w: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734"/>
        </w:trPr>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ind w:left="200"/>
              <w:spacing w:after="0"/>
              <w:rPr>
                <w:sz w:val="20"/>
                <w:szCs w:val="20"/>
                <w:color w:val="auto"/>
              </w:rPr>
            </w:pPr>
            <w:r>
              <w:rPr>
                <w:rFonts w:ascii="Courier New" w:cs="Courier New" w:eastAsia="Courier New" w:hAnsi="Courier New"/>
                <w:sz w:val="16"/>
                <w:szCs w:val="16"/>
                <w:color w:val="auto"/>
              </w:rPr>
              <w:t>FIRST</w:t>
            </w:r>
          </w:p>
        </w:tc>
        <w:tc>
          <w:tcPr>
            <w:tcW w:w="80" w:type="dxa"/>
            <w:vAlign w:val="bottom"/>
          </w:tcPr>
          <w:p>
            <w:pPr>
              <w:spacing w:after="0"/>
              <w:rPr>
                <w:sz w:val="24"/>
                <w:szCs w:val="24"/>
                <w:color w:val="auto"/>
              </w:rPr>
            </w:pPr>
          </w:p>
        </w:tc>
        <w:tc>
          <w:tcPr>
            <w:tcW w:w="13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SECOND</w:t>
            </w:r>
          </w:p>
        </w:tc>
        <w:tc>
          <w:tcPr>
            <w:tcW w:w="200" w:type="dxa"/>
            <w:vAlign w:val="bottom"/>
          </w:tcPr>
          <w:p>
            <w:pPr>
              <w:spacing w:after="0"/>
              <w:rPr>
                <w:sz w:val="24"/>
                <w:szCs w:val="24"/>
                <w:color w:val="auto"/>
              </w:rPr>
            </w:pPr>
          </w:p>
        </w:tc>
        <w:tc>
          <w:tcPr>
            <w:tcW w:w="13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THIRD</w:t>
            </w:r>
          </w:p>
        </w:tc>
        <w:tc>
          <w:tcPr>
            <w:tcW w:w="200" w:type="dxa"/>
            <w:vAlign w:val="bottom"/>
          </w:tcPr>
          <w:p>
            <w:pPr>
              <w:spacing w:after="0"/>
              <w:rPr>
                <w:sz w:val="24"/>
                <w:szCs w:val="24"/>
                <w:color w:val="auto"/>
              </w:rPr>
            </w:pPr>
          </w:p>
        </w:tc>
        <w:tc>
          <w:tcPr>
            <w:tcW w:w="1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FOURTH</w:t>
            </w:r>
          </w:p>
        </w:tc>
      </w:tr>
      <w:tr>
        <w:trPr>
          <w:trHeight w:val="183"/>
        </w:trPr>
        <w:tc>
          <w:tcPr>
            <w:tcW w:w="3520" w:type="dxa"/>
            <w:vAlign w:val="bottom"/>
          </w:tcPr>
          <w:p>
            <w:pPr>
              <w:spacing w:after="0"/>
              <w:rPr>
                <w:sz w:val="20"/>
                <w:szCs w:val="20"/>
                <w:color w:val="auto"/>
              </w:rPr>
            </w:pPr>
            <w:r>
              <w:rPr>
                <w:rFonts w:ascii="Courier New" w:cs="Courier New" w:eastAsia="Courier New" w:hAnsi="Courier New"/>
                <w:sz w:val="16"/>
                <w:szCs w:val="16"/>
                <w:color w:val="auto"/>
              </w:rPr>
              <w:t>1995</w:t>
            </w:r>
          </w:p>
        </w:tc>
        <w:tc>
          <w:tcPr>
            <w:tcW w:w="100" w:type="dxa"/>
            <w:vAlign w:val="bottom"/>
          </w:tcPr>
          <w:p>
            <w:pPr>
              <w:spacing w:after="0"/>
              <w:rPr>
                <w:sz w:val="15"/>
                <w:szCs w:val="15"/>
                <w:color w:val="auto"/>
              </w:rPr>
            </w:pPr>
          </w:p>
        </w:tc>
        <w:tc>
          <w:tcPr>
            <w:tcW w:w="1440" w:type="dxa"/>
            <w:vAlign w:val="bottom"/>
          </w:tcPr>
          <w:p>
            <w:pPr>
              <w:ind w:left="100"/>
              <w:spacing w:after="0"/>
              <w:rPr>
                <w:sz w:val="20"/>
                <w:szCs w:val="20"/>
                <w:color w:val="auto"/>
              </w:rPr>
            </w:pPr>
            <w:r>
              <w:rPr>
                <w:rFonts w:ascii="Courier New" w:cs="Courier New" w:eastAsia="Courier New" w:hAnsi="Courier New"/>
                <w:sz w:val="16"/>
                <w:szCs w:val="16"/>
                <w:color w:val="auto"/>
              </w:rPr>
              <w:t>QUARTER</w:t>
            </w:r>
          </w:p>
        </w:tc>
        <w:tc>
          <w:tcPr>
            <w:tcW w:w="80" w:type="dxa"/>
            <w:vAlign w:val="bottom"/>
          </w:tcPr>
          <w:p>
            <w:pPr>
              <w:spacing w:after="0"/>
              <w:rPr>
                <w:sz w:val="15"/>
                <w:szCs w:val="15"/>
                <w:color w:val="auto"/>
              </w:rPr>
            </w:pPr>
          </w:p>
        </w:tc>
        <w:tc>
          <w:tcPr>
            <w:tcW w:w="13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QUARTER</w:t>
            </w:r>
          </w:p>
        </w:tc>
        <w:tc>
          <w:tcPr>
            <w:tcW w:w="200" w:type="dxa"/>
            <w:vAlign w:val="bottom"/>
          </w:tcPr>
          <w:p>
            <w:pPr>
              <w:spacing w:after="0"/>
              <w:rPr>
                <w:sz w:val="15"/>
                <w:szCs w:val="15"/>
                <w:color w:val="auto"/>
              </w:rPr>
            </w:pPr>
          </w:p>
        </w:tc>
        <w:tc>
          <w:tcPr>
            <w:tcW w:w="1320" w:type="dxa"/>
            <w:vAlign w:val="bottom"/>
          </w:tcPr>
          <w:p>
            <w:pPr>
              <w:ind w:left="80"/>
              <w:spacing w:after="0"/>
              <w:rPr>
                <w:sz w:val="20"/>
                <w:szCs w:val="20"/>
                <w:color w:val="auto"/>
              </w:rPr>
            </w:pPr>
            <w:r>
              <w:rPr>
                <w:rFonts w:ascii="Courier New" w:cs="Courier New" w:eastAsia="Courier New" w:hAnsi="Courier New"/>
                <w:sz w:val="16"/>
                <w:szCs w:val="16"/>
                <w:color w:val="auto"/>
              </w:rPr>
              <w:t>QUARTER</w:t>
            </w:r>
          </w:p>
        </w:tc>
        <w:tc>
          <w:tcPr>
            <w:tcW w:w="200" w:type="dxa"/>
            <w:vAlign w:val="bottom"/>
          </w:tcPr>
          <w:p>
            <w:pPr>
              <w:spacing w:after="0"/>
              <w:rPr>
                <w:sz w:val="15"/>
                <w:szCs w:val="15"/>
                <w:color w:val="auto"/>
              </w:rPr>
            </w:pPr>
          </w:p>
        </w:tc>
        <w:tc>
          <w:tcPr>
            <w:tcW w:w="1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QUARTER</w:t>
            </w:r>
          </w:p>
        </w:tc>
      </w:tr>
      <w:tr>
        <w:trPr>
          <w:trHeight w:val="183"/>
        </w:trPr>
        <w:tc>
          <w:tcPr>
            <w:tcW w:w="35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00" w:type="dxa"/>
            <w:vAlign w:val="bottom"/>
          </w:tcPr>
          <w:p>
            <w:pPr>
              <w:spacing w:after="0"/>
              <w:rPr>
                <w:sz w:val="15"/>
                <w:szCs w:val="15"/>
                <w:color w:val="auto"/>
              </w:rPr>
            </w:pPr>
          </w:p>
        </w:tc>
        <w:tc>
          <w:tcPr>
            <w:tcW w:w="14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80" w:type="dxa"/>
            <w:vAlign w:val="bottom"/>
          </w:tcPr>
          <w:p>
            <w:pPr>
              <w:spacing w:after="0"/>
              <w:rPr>
                <w:sz w:val="15"/>
                <w:szCs w:val="15"/>
                <w:color w:val="auto"/>
              </w:rPr>
            </w:pP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32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3520" w:type="dxa"/>
            <w:vAlign w:val="bottom"/>
          </w:tcPr>
          <w:p>
            <w:pPr>
              <w:spacing w:after="0"/>
              <w:rPr>
                <w:sz w:val="20"/>
                <w:szCs w:val="20"/>
                <w:color w:val="auto"/>
              </w:rPr>
            </w:pPr>
            <w:r>
              <w:rPr>
                <w:rFonts w:ascii="Courier New" w:cs="Courier New" w:eastAsia="Courier New" w:hAnsi="Courier New"/>
                <w:sz w:val="16"/>
                <w:szCs w:val="16"/>
                <w:color w:val="auto"/>
              </w:rPr>
              <w:t>Net revenues......................</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44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8"/>
              </w:rPr>
              <w:t>220,715,000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8"/>
              </w:rPr>
              <w:t>214,165,000</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6"/>
              </w:rPr>
              <w:t>234,144,000</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6"/>
              </w:rPr>
              <w:t>262,102,000</w:t>
            </w:r>
          </w:p>
        </w:tc>
      </w:tr>
      <w:tr>
        <w:trPr>
          <w:trHeight w:val="183"/>
        </w:trPr>
        <w:tc>
          <w:tcPr>
            <w:tcW w:w="3520" w:type="dxa"/>
            <w:vAlign w:val="bottom"/>
          </w:tcPr>
          <w:p>
            <w:pPr>
              <w:spacing w:after="0"/>
              <w:rPr>
                <w:sz w:val="20"/>
                <w:szCs w:val="20"/>
                <w:color w:val="auto"/>
              </w:rPr>
            </w:pPr>
            <w:r>
              <w:rPr>
                <w:rFonts w:ascii="Courier New" w:cs="Courier New" w:eastAsia="Courier New" w:hAnsi="Courier New"/>
                <w:sz w:val="16"/>
                <w:szCs w:val="16"/>
                <w:color w:val="auto"/>
              </w:rPr>
              <w:t>Income before income taxes........</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4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19,344,000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14,448,000</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11,299,000</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7,898,000</w:t>
            </w:r>
          </w:p>
        </w:tc>
      </w:tr>
      <w:tr>
        <w:trPr>
          <w:trHeight w:val="183"/>
        </w:trPr>
        <w:tc>
          <w:tcPr>
            <w:tcW w:w="352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4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11,841,000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9,555,000</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7,229,000</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6,859,000</w:t>
            </w:r>
          </w:p>
        </w:tc>
      </w:tr>
      <w:tr>
        <w:trPr>
          <w:trHeight w:val="183"/>
        </w:trPr>
        <w:tc>
          <w:tcPr>
            <w:tcW w:w="3520" w:type="dxa"/>
            <w:vAlign w:val="bottom"/>
          </w:tcPr>
          <w:p>
            <w:pPr>
              <w:spacing w:after="0"/>
              <w:rPr>
                <w:sz w:val="20"/>
                <w:szCs w:val="20"/>
                <w:color w:val="auto"/>
              </w:rPr>
            </w:pPr>
            <w:r>
              <w:rPr>
                <w:rFonts w:ascii="Courier New" w:cs="Courier New" w:eastAsia="Courier New" w:hAnsi="Courier New"/>
                <w:sz w:val="16"/>
                <w:szCs w:val="16"/>
                <w:color w:val="auto"/>
              </w:rPr>
              <w:t>Earning per share (fully</w:t>
            </w: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3520" w:type="dxa"/>
            <w:vAlign w:val="bottom"/>
          </w:tcPr>
          <w:p>
            <w:pPr>
              <w:ind w:left="180"/>
              <w:spacing w:after="0"/>
              <w:rPr>
                <w:sz w:val="20"/>
                <w:szCs w:val="20"/>
                <w:color w:val="auto"/>
              </w:rPr>
            </w:pPr>
            <w:r>
              <w:rPr>
                <w:rFonts w:ascii="Courier New" w:cs="Courier New" w:eastAsia="Courier New" w:hAnsi="Courier New"/>
                <w:sz w:val="16"/>
                <w:szCs w:val="16"/>
                <w:color w:val="auto"/>
              </w:rPr>
              <w:t>diluted)........................</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4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0.42</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0.34</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0.26</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0.24</w:t>
            </w:r>
          </w:p>
        </w:tc>
      </w:tr>
      <w:tr>
        <w:trPr>
          <w:trHeight w:val="550"/>
        </w:trPr>
        <w:tc>
          <w:tcPr>
            <w:tcW w:w="36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Net revenues in 1995 include $12.6</w:t>
            </w:r>
          </w:p>
        </w:tc>
        <w:tc>
          <w:tcPr>
            <w:tcW w:w="4380" w:type="dxa"/>
            <w:vAlign w:val="bottom"/>
            <w:gridSpan w:val="5"/>
          </w:tcPr>
          <w:p>
            <w:pPr>
              <w:ind w:left="100"/>
              <w:spacing w:after="0"/>
              <w:rPr>
                <w:sz w:val="20"/>
                <w:szCs w:val="20"/>
                <w:color w:val="auto"/>
              </w:rPr>
            </w:pPr>
            <w:r>
              <w:rPr>
                <w:rFonts w:ascii="Courier New" w:cs="Courier New" w:eastAsia="Courier New" w:hAnsi="Courier New"/>
                <w:sz w:val="16"/>
                <w:szCs w:val="16"/>
                <w:color w:val="auto"/>
              </w:rPr>
              <w:t>million of additional revenues received</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83"/>
        </w:trPr>
        <w:tc>
          <w:tcPr>
            <w:tcW w:w="8000" w:type="dxa"/>
            <w:vAlign w:val="bottom"/>
            <w:gridSpan w:val="7"/>
          </w:tcPr>
          <w:p>
            <w:pPr>
              <w:spacing w:after="0"/>
              <w:rPr>
                <w:sz w:val="20"/>
                <w:szCs w:val="20"/>
                <w:color w:val="auto"/>
              </w:rPr>
            </w:pPr>
            <w:r>
              <w:rPr>
                <w:rFonts w:ascii="Courier New" w:cs="Courier New" w:eastAsia="Courier New" w:hAnsi="Courier New"/>
                <w:sz w:val="16"/>
                <w:szCs w:val="16"/>
                <w:color w:val="auto"/>
              </w:rPr>
              <w:t>from special Medicaid reimbursement programs. Of this amount, $3.8 million was</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8000" w:type="dxa"/>
            <w:vAlign w:val="bottom"/>
            <w:gridSpan w:val="7"/>
          </w:tcPr>
          <w:p>
            <w:pPr>
              <w:spacing w:after="0"/>
              <w:rPr>
                <w:sz w:val="20"/>
                <w:szCs w:val="20"/>
                <w:color w:val="auto"/>
              </w:rPr>
            </w:pPr>
            <w:r>
              <w:rPr>
                <w:rFonts w:ascii="Courier New" w:cs="Courier New" w:eastAsia="Courier New" w:hAnsi="Courier New"/>
                <w:sz w:val="16"/>
                <w:szCs w:val="16"/>
                <w:color w:val="auto"/>
              </w:rPr>
              <w:t>recorded in each of the first and second quarters, $3.1 million in the third</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3620" w:type="dxa"/>
            <w:vAlign w:val="bottom"/>
            <w:gridSpan w:val="2"/>
          </w:tcPr>
          <w:p>
            <w:pPr>
              <w:spacing w:after="0"/>
              <w:rPr>
                <w:sz w:val="20"/>
                <w:szCs w:val="20"/>
                <w:color w:val="auto"/>
              </w:rPr>
            </w:pPr>
            <w:r>
              <w:rPr>
                <w:rFonts w:ascii="Courier New" w:cs="Courier New" w:eastAsia="Courier New" w:hAnsi="Courier New"/>
                <w:sz w:val="16"/>
                <w:szCs w:val="16"/>
                <w:color w:val="auto"/>
                <w:w w:val="98"/>
              </w:rPr>
              <w:t>quarter and $1.9 million in the fourth</w:t>
            </w:r>
          </w:p>
        </w:tc>
        <w:tc>
          <w:tcPr>
            <w:tcW w:w="4380" w:type="dxa"/>
            <w:vAlign w:val="bottom"/>
            <w:gridSpan w:val="5"/>
          </w:tcPr>
          <w:p>
            <w:pPr>
              <w:ind w:left="100"/>
              <w:spacing w:after="0"/>
              <w:rPr>
                <w:sz w:val="20"/>
                <w:szCs w:val="20"/>
                <w:color w:val="auto"/>
              </w:rPr>
            </w:pPr>
            <w:r>
              <w:rPr>
                <w:rFonts w:ascii="Courier New" w:cs="Courier New" w:eastAsia="Courier New" w:hAnsi="Courier New"/>
                <w:sz w:val="16"/>
                <w:szCs w:val="16"/>
                <w:color w:val="auto"/>
              </w:rPr>
              <w:t>quarter. These programs are scheduled to</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8000" w:type="dxa"/>
            <w:vAlign w:val="bottom"/>
            <w:gridSpan w:val="7"/>
          </w:tcPr>
          <w:p>
            <w:pPr>
              <w:spacing w:after="0"/>
              <w:rPr>
                <w:sz w:val="20"/>
                <w:szCs w:val="20"/>
                <w:color w:val="auto"/>
              </w:rPr>
            </w:pPr>
            <w:r>
              <w:rPr>
                <w:rFonts w:ascii="Courier New" w:cs="Courier New" w:eastAsia="Courier New" w:hAnsi="Courier New"/>
                <w:sz w:val="16"/>
                <w:szCs w:val="16"/>
                <w:color w:val="auto"/>
              </w:rPr>
              <w:t>terminate in August, 1996. These amounts were recorded in the periods that the</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3620" w:type="dxa"/>
            <w:vAlign w:val="bottom"/>
            <w:gridSpan w:val="2"/>
          </w:tcPr>
          <w:p>
            <w:pPr>
              <w:spacing w:after="0"/>
              <w:rPr>
                <w:sz w:val="20"/>
                <w:szCs w:val="20"/>
                <w:color w:val="auto"/>
              </w:rPr>
            </w:pPr>
            <w:r>
              <w:rPr>
                <w:rFonts w:ascii="Courier New" w:cs="Courier New" w:eastAsia="Courier New" w:hAnsi="Courier New"/>
                <w:sz w:val="16"/>
                <w:szCs w:val="16"/>
                <w:color w:val="auto"/>
                <w:w w:val="98"/>
              </w:rPr>
              <w:t>Company met all of the requirements to</w:t>
            </w:r>
          </w:p>
        </w:tc>
        <w:tc>
          <w:tcPr>
            <w:tcW w:w="4380" w:type="dxa"/>
            <w:vAlign w:val="bottom"/>
            <w:gridSpan w:val="5"/>
          </w:tcPr>
          <w:p>
            <w:pPr>
              <w:ind w:left="100"/>
              <w:spacing w:after="0"/>
              <w:rPr>
                <w:sz w:val="20"/>
                <w:szCs w:val="20"/>
                <w:color w:val="auto"/>
              </w:rPr>
            </w:pPr>
            <w:r>
              <w:rPr>
                <w:rFonts w:ascii="Courier New" w:cs="Courier New" w:eastAsia="Courier New" w:hAnsi="Courier New"/>
                <w:sz w:val="16"/>
                <w:szCs w:val="16"/>
                <w:color w:val="auto"/>
              </w:rPr>
              <w:t>be entitled to these reimbursements. The</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3520" w:type="dxa"/>
            <w:vAlign w:val="bottom"/>
          </w:tcPr>
          <w:p>
            <w:pPr>
              <w:spacing w:after="0"/>
              <w:rPr>
                <w:sz w:val="20"/>
                <w:szCs w:val="20"/>
                <w:color w:val="auto"/>
              </w:rPr>
            </w:pPr>
            <w:r>
              <w:rPr>
                <w:rFonts w:ascii="Courier New" w:cs="Courier New" w:eastAsia="Courier New" w:hAnsi="Courier New"/>
                <w:sz w:val="16"/>
                <w:szCs w:val="16"/>
                <w:color w:val="auto"/>
              </w:rPr>
              <w:t>second quarter results include a</w:t>
            </w: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367"/>
        </w:trPr>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jc w:val="center"/>
              <w:ind w:right="981"/>
              <w:spacing w:after="0"/>
              <w:rPr>
                <w:sz w:val="20"/>
                <w:szCs w:val="20"/>
                <w:color w:val="auto"/>
              </w:rPr>
            </w:pPr>
            <w:r>
              <w:rPr>
                <w:rFonts w:ascii="Courier New" w:cs="Courier New" w:eastAsia="Courier New" w:hAnsi="Courier New"/>
                <w:sz w:val="16"/>
                <w:szCs w:val="16"/>
                <w:color w:val="auto"/>
                <w:w w:val="98"/>
              </w:rPr>
              <w:t>F-20</w:t>
            </w: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0219"/>
          </w:cols>
          <w:pgMar w:left="240" w:top="481" w:right="1440" w:bottom="1440" w:gutter="0" w:footer="0" w:header="0"/>
        </w:sectPr>
      </w:pPr>
    </w:p>
    <w:bookmarkStart w:id="70" w:name="page71"/>
    <w:bookmarkEnd w:id="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480" w:type="dxa"/>
            <w:vAlign w:val="bottom"/>
            <w:gridSpan w:val="5"/>
          </w:tcPr>
          <w:p>
            <w:pPr>
              <w:ind w:left="1520"/>
              <w:spacing w:after="0"/>
              <w:rPr>
                <w:sz w:val="20"/>
                <w:szCs w:val="20"/>
                <w:color w:val="auto"/>
              </w:rPr>
            </w:pPr>
            <w:r>
              <w:rPr>
                <w:rFonts w:ascii="Courier New" w:cs="Courier New" w:eastAsia="Courier New" w:hAnsi="Courier New"/>
                <w:sz w:val="16"/>
                <w:szCs w:val="16"/>
                <w:color w:val="auto"/>
              </w:rPr>
              <w:t>UNIVERSAL HEALTH SERVICES, INC. AND SUBSIDIARIES</w:t>
            </w: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5140" w:type="dxa"/>
            <w:vAlign w:val="bottom"/>
            <w:gridSpan w:val="4"/>
          </w:tcPr>
          <w:p>
            <w:pPr>
              <w:ind w:left="1140"/>
              <w:spacing w:after="0"/>
              <w:rPr>
                <w:sz w:val="20"/>
                <w:szCs w:val="20"/>
                <w:color w:val="auto"/>
              </w:rPr>
            </w:pPr>
            <w:r>
              <w:rPr>
                <w:rFonts w:ascii="Courier New" w:cs="Courier New" w:eastAsia="Courier New" w:hAnsi="Courier New"/>
                <w:sz w:val="16"/>
                <w:szCs w:val="16"/>
                <w:color w:val="auto"/>
                <w:w w:val="94"/>
              </w:rPr>
              <w:t>NOTES TO CONSOLIDATED FINANCIAL STATEMENTS--</w:t>
            </w: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(CONTINUED)</w:t>
            </w: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367"/>
        </w:trPr>
        <w:tc>
          <w:tcPr>
            <w:tcW w:w="3340" w:type="dxa"/>
            <w:vAlign w:val="bottom"/>
          </w:tcPr>
          <w:p>
            <w:pPr>
              <w:spacing w:after="0"/>
              <w:rPr>
                <w:sz w:val="20"/>
                <w:szCs w:val="20"/>
                <w:color w:val="auto"/>
              </w:rPr>
            </w:pPr>
            <w:r>
              <w:rPr>
                <w:rFonts w:ascii="Courier New" w:cs="Courier New" w:eastAsia="Courier New" w:hAnsi="Courier New"/>
                <w:sz w:val="16"/>
                <w:szCs w:val="16"/>
                <w:color w:val="auto"/>
                <w:w w:val="98"/>
              </w:rPr>
              <w:t>11) QUARTERLY RESULTS (UNAUDITED)--</w:t>
            </w:r>
          </w:p>
        </w:tc>
        <w:tc>
          <w:tcPr>
            <w:tcW w:w="166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w w:val="96"/>
              </w:rPr>
              <w:t>(CONTINUED)</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83"/>
        </w:trPr>
        <w:tc>
          <w:tcPr>
            <w:tcW w:w="3620" w:type="dxa"/>
            <w:vAlign w:val="bottom"/>
            <w:gridSpan w:val="2"/>
          </w:tcPr>
          <w:p>
            <w:pPr>
              <w:spacing w:after="0"/>
              <w:rPr>
                <w:sz w:val="20"/>
                <w:szCs w:val="20"/>
                <w:color w:val="auto"/>
              </w:rPr>
            </w:pPr>
            <w:r>
              <w:rPr>
                <w:rFonts w:ascii="Courier New" w:cs="Courier New" w:eastAsia="Courier New" w:hAnsi="Courier New"/>
                <w:sz w:val="16"/>
                <w:szCs w:val="16"/>
                <w:color w:val="auto"/>
                <w:w w:val="98"/>
              </w:rPr>
              <w:t>$2.7 million pre-tax charge related to</w:t>
            </w:r>
          </w:p>
        </w:tc>
        <w:tc>
          <w:tcPr>
            <w:tcW w:w="1380" w:type="dxa"/>
            <w:vAlign w:val="bottom"/>
          </w:tcPr>
          <w:p>
            <w:pPr>
              <w:ind w:left="100"/>
              <w:spacing w:after="0"/>
              <w:rPr>
                <w:sz w:val="20"/>
                <w:szCs w:val="20"/>
                <w:color w:val="auto"/>
              </w:rPr>
            </w:pPr>
            <w:r>
              <w:rPr>
                <w:rFonts w:ascii="Courier New" w:cs="Courier New" w:eastAsia="Courier New" w:hAnsi="Courier New"/>
                <w:sz w:val="16"/>
                <w:szCs w:val="16"/>
                <w:color w:val="auto"/>
              </w:rPr>
              <w:t>the Company's</w:t>
            </w:r>
          </w:p>
        </w:tc>
        <w:tc>
          <w:tcPr>
            <w:tcW w:w="3000" w:type="dxa"/>
            <w:vAlign w:val="bottom"/>
            <w:gridSpan w:val="4"/>
          </w:tcPr>
          <w:p>
            <w:pPr>
              <w:ind w:left="60"/>
              <w:spacing w:after="0"/>
              <w:rPr>
                <w:sz w:val="20"/>
                <w:szCs w:val="20"/>
                <w:color w:val="auto"/>
              </w:rPr>
            </w:pPr>
            <w:r>
              <w:rPr>
                <w:rFonts w:ascii="Courier New" w:cs="Courier New" w:eastAsia="Courier New" w:hAnsi="Courier New"/>
                <w:sz w:val="16"/>
                <w:szCs w:val="16"/>
                <w:color w:val="auto"/>
              </w:rPr>
              <w:t>divestiture of two acute</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5000" w:type="dxa"/>
            <w:vAlign w:val="bottom"/>
            <w:gridSpan w:val="3"/>
          </w:tcPr>
          <w:p>
            <w:pPr>
              <w:spacing w:after="0"/>
              <w:rPr>
                <w:sz w:val="20"/>
                <w:szCs w:val="20"/>
                <w:color w:val="auto"/>
              </w:rPr>
            </w:pPr>
            <w:r>
              <w:rPr>
                <w:rFonts w:ascii="Courier New" w:cs="Courier New" w:eastAsia="Courier New" w:hAnsi="Courier New"/>
                <w:sz w:val="16"/>
                <w:szCs w:val="16"/>
                <w:color w:val="auto"/>
                <w:w w:val="99"/>
              </w:rPr>
              <w:t>care hospitals in connection with the acquisition of</w:t>
            </w:r>
          </w:p>
        </w:tc>
        <w:tc>
          <w:tcPr>
            <w:tcW w:w="3000" w:type="dxa"/>
            <w:vAlign w:val="bottom"/>
            <w:gridSpan w:val="4"/>
          </w:tcPr>
          <w:p>
            <w:pPr>
              <w:ind w:left="60"/>
              <w:spacing w:after="0"/>
              <w:rPr>
                <w:sz w:val="20"/>
                <w:szCs w:val="20"/>
                <w:color w:val="auto"/>
              </w:rPr>
            </w:pPr>
            <w:r>
              <w:rPr>
                <w:rFonts w:ascii="Courier New" w:cs="Courier New" w:eastAsia="Courier New" w:hAnsi="Courier New"/>
                <w:sz w:val="16"/>
                <w:szCs w:val="16"/>
                <w:color w:val="auto"/>
              </w:rPr>
              <w:t>the acute care hospital</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8000" w:type="dxa"/>
            <w:vAlign w:val="bottom"/>
            <w:gridSpan w:val="7"/>
          </w:tcPr>
          <w:p>
            <w:pPr>
              <w:spacing w:after="0"/>
              <w:rPr>
                <w:sz w:val="20"/>
                <w:szCs w:val="20"/>
                <w:color w:val="auto"/>
              </w:rPr>
            </w:pPr>
            <w:r>
              <w:rPr>
                <w:rFonts w:ascii="Courier New" w:cs="Courier New" w:eastAsia="Courier New" w:hAnsi="Courier New"/>
                <w:sz w:val="16"/>
                <w:szCs w:val="16"/>
                <w:color w:val="auto"/>
              </w:rPr>
              <w:t>located in Aiken, South Carolina (See Note 2). The fourth quarter results</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3620" w:type="dxa"/>
            <w:vAlign w:val="bottom"/>
            <w:gridSpan w:val="2"/>
          </w:tcPr>
          <w:p>
            <w:pPr>
              <w:spacing w:after="0"/>
              <w:rPr>
                <w:sz w:val="20"/>
                <w:szCs w:val="20"/>
                <w:color w:val="auto"/>
              </w:rPr>
            </w:pPr>
            <w:r>
              <w:rPr>
                <w:rFonts w:ascii="Courier New" w:cs="Courier New" w:eastAsia="Courier New" w:hAnsi="Courier New"/>
                <w:sz w:val="16"/>
                <w:szCs w:val="16"/>
                <w:color w:val="auto"/>
                <w:w w:val="98"/>
              </w:rPr>
              <w:t>include a $5.3 million gain related to</w:t>
            </w:r>
          </w:p>
        </w:tc>
        <w:tc>
          <w:tcPr>
            <w:tcW w:w="1380" w:type="dxa"/>
            <w:vAlign w:val="bottom"/>
          </w:tcPr>
          <w:p>
            <w:pPr>
              <w:ind w:left="100"/>
              <w:spacing w:after="0"/>
              <w:rPr>
                <w:sz w:val="20"/>
                <w:szCs w:val="20"/>
                <w:color w:val="auto"/>
              </w:rPr>
            </w:pPr>
            <w:r>
              <w:rPr>
                <w:rFonts w:ascii="Courier New" w:cs="Courier New" w:eastAsia="Courier New" w:hAnsi="Courier New"/>
                <w:sz w:val="16"/>
                <w:szCs w:val="16"/>
                <w:color w:val="auto"/>
              </w:rPr>
              <w:t>the Company's</w:t>
            </w:r>
          </w:p>
        </w:tc>
        <w:tc>
          <w:tcPr>
            <w:tcW w:w="1680" w:type="dxa"/>
            <w:vAlign w:val="bottom"/>
            <w:gridSpan w:val="3"/>
          </w:tcPr>
          <w:p>
            <w:pPr>
              <w:ind w:left="60"/>
              <w:spacing w:after="0"/>
              <w:rPr>
                <w:sz w:val="20"/>
                <w:szCs w:val="20"/>
                <w:color w:val="auto"/>
              </w:rPr>
            </w:pPr>
            <w:r>
              <w:rPr>
                <w:rFonts w:ascii="Courier New" w:cs="Courier New" w:eastAsia="Courier New" w:hAnsi="Courier New"/>
                <w:sz w:val="16"/>
                <w:szCs w:val="16"/>
                <w:color w:val="auto"/>
                <w:w w:val="98"/>
              </w:rPr>
              <w:t>divestiture of an</w:t>
            </w:r>
          </w:p>
        </w:tc>
        <w:tc>
          <w:tcPr>
            <w:tcW w:w="1320" w:type="dxa"/>
            <w:vAlign w:val="bottom"/>
          </w:tcPr>
          <w:p>
            <w:pPr>
              <w:ind w:left="80"/>
              <w:spacing w:after="0"/>
              <w:rPr>
                <w:sz w:val="20"/>
                <w:szCs w:val="20"/>
                <w:color w:val="auto"/>
              </w:rPr>
            </w:pPr>
            <w:r>
              <w:rPr>
                <w:rFonts w:ascii="Courier New" w:cs="Courier New" w:eastAsia="Courier New" w:hAnsi="Courier New"/>
                <w:sz w:val="16"/>
                <w:szCs w:val="16"/>
                <w:color w:val="auto"/>
              </w:rPr>
              <w:t>acute</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5140" w:type="dxa"/>
            <w:vAlign w:val="bottom"/>
            <w:gridSpan w:val="4"/>
          </w:tcPr>
          <w:p>
            <w:pPr>
              <w:spacing w:after="0"/>
              <w:rPr>
                <w:sz w:val="20"/>
                <w:szCs w:val="20"/>
                <w:color w:val="auto"/>
              </w:rPr>
            </w:pPr>
            <w:r>
              <w:rPr>
                <w:rFonts w:ascii="Courier New" w:cs="Courier New" w:eastAsia="Courier New" w:hAnsi="Courier New"/>
                <w:sz w:val="16"/>
                <w:szCs w:val="16"/>
                <w:color w:val="auto"/>
                <w:w w:val="98"/>
              </w:rPr>
              <w:t>care hospital. The fourth quarter results also include</w:t>
            </w:r>
          </w:p>
        </w:tc>
        <w:tc>
          <w:tcPr>
            <w:tcW w:w="15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 $14.2 million</w:t>
            </w:r>
          </w:p>
        </w:tc>
        <w:tc>
          <w:tcPr>
            <w:tcW w:w="1320" w:type="dxa"/>
            <w:vAlign w:val="bottom"/>
          </w:tcPr>
          <w:p>
            <w:pPr>
              <w:ind w:left="80"/>
              <w:spacing w:after="0"/>
              <w:rPr>
                <w:sz w:val="20"/>
                <w:szCs w:val="20"/>
                <w:color w:val="auto"/>
              </w:rPr>
            </w:pPr>
            <w:r>
              <w:rPr>
                <w:rFonts w:ascii="Courier New" w:cs="Courier New" w:eastAsia="Courier New" w:hAnsi="Courier New"/>
                <w:sz w:val="16"/>
                <w:szCs w:val="16"/>
                <w:color w:val="auto"/>
              </w:rPr>
              <w:t>pre-tax</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6480" w:type="dxa"/>
            <w:vAlign w:val="bottom"/>
            <w:gridSpan w:val="5"/>
          </w:tcPr>
          <w:p>
            <w:pPr>
              <w:spacing w:after="0"/>
              <w:rPr>
                <w:sz w:val="20"/>
                <w:szCs w:val="20"/>
                <w:color w:val="auto"/>
              </w:rPr>
            </w:pPr>
            <w:r>
              <w:rPr>
                <w:rFonts w:ascii="Courier New" w:cs="Courier New" w:eastAsia="Courier New" w:hAnsi="Courier New"/>
                <w:sz w:val="16"/>
                <w:szCs w:val="16"/>
                <w:color w:val="auto"/>
              </w:rPr>
              <w:t>charge for an impairment loss at certain facilities (See Note 9).</w:t>
            </w: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734"/>
        </w:trPr>
        <w:tc>
          <w:tcPr>
            <w:tcW w:w="3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FIRST</w:t>
            </w:r>
          </w:p>
        </w:tc>
        <w:tc>
          <w:tcPr>
            <w:tcW w:w="140" w:type="dxa"/>
            <w:vAlign w:val="bottom"/>
          </w:tcPr>
          <w:p>
            <w:pPr>
              <w:spacing w:after="0"/>
              <w:rPr>
                <w:sz w:val="24"/>
                <w:szCs w:val="24"/>
                <w:color w:val="auto"/>
              </w:rPr>
            </w:pPr>
          </w:p>
        </w:tc>
        <w:tc>
          <w:tcPr>
            <w:tcW w:w="13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SECOND</w:t>
            </w:r>
          </w:p>
        </w:tc>
        <w:tc>
          <w:tcPr>
            <w:tcW w:w="200" w:type="dxa"/>
            <w:vAlign w:val="bottom"/>
          </w:tcPr>
          <w:p>
            <w:pPr>
              <w:spacing w:after="0"/>
              <w:rPr>
                <w:sz w:val="24"/>
                <w:szCs w:val="24"/>
                <w:color w:val="auto"/>
              </w:rPr>
            </w:pPr>
          </w:p>
        </w:tc>
        <w:tc>
          <w:tcPr>
            <w:tcW w:w="1320" w:type="dxa"/>
            <w:vAlign w:val="bottom"/>
          </w:tcPr>
          <w:p>
            <w:pPr>
              <w:ind w:left="180"/>
              <w:spacing w:after="0"/>
              <w:rPr>
                <w:sz w:val="20"/>
                <w:szCs w:val="20"/>
                <w:color w:val="auto"/>
              </w:rPr>
            </w:pPr>
            <w:r>
              <w:rPr>
                <w:rFonts w:ascii="Courier New" w:cs="Courier New" w:eastAsia="Courier New" w:hAnsi="Courier New"/>
                <w:sz w:val="16"/>
                <w:szCs w:val="16"/>
                <w:color w:val="auto"/>
              </w:rPr>
              <w:t>THIRD</w:t>
            </w:r>
          </w:p>
        </w:tc>
        <w:tc>
          <w:tcPr>
            <w:tcW w:w="200" w:type="dxa"/>
            <w:vAlign w:val="bottom"/>
          </w:tcPr>
          <w:p>
            <w:pPr>
              <w:spacing w:after="0"/>
              <w:rPr>
                <w:sz w:val="24"/>
                <w:szCs w:val="24"/>
                <w:color w:val="auto"/>
              </w:rPr>
            </w:pPr>
          </w:p>
        </w:tc>
        <w:tc>
          <w:tcPr>
            <w:tcW w:w="1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FOURTH</w:t>
            </w: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rPr>
              <w:t>1994</w:t>
            </w:r>
          </w:p>
        </w:tc>
        <w:tc>
          <w:tcPr>
            <w:tcW w:w="280" w:type="dxa"/>
            <w:vAlign w:val="bottom"/>
          </w:tcPr>
          <w:p>
            <w:pPr>
              <w:spacing w:after="0"/>
              <w:rPr>
                <w:sz w:val="15"/>
                <w:szCs w:val="15"/>
                <w:color w:val="auto"/>
              </w:rPr>
            </w:pPr>
          </w:p>
        </w:tc>
        <w:tc>
          <w:tcPr>
            <w:tcW w:w="1380" w:type="dxa"/>
            <w:vAlign w:val="bottom"/>
          </w:tcPr>
          <w:p>
            <w:pPr>
              <w:ind w:left="100"/>
              <w:spacing w:after="0"/>
              <w:rPr>
                <w:sz w:val="20"/>
                <w:szCs w:val="20"/>
                <w:color w:val="auto"/>
              </w:rPr>
            </w:pPr>
            <w:r>
              <w:rPr>
                <w:rFonts w:ascii="Courier New" w:cs="Courier New" w:eastAsia="Courier New" w:hAnsi="Courier New"/>
                <w:sz w:val="16"/>
                <w:szCs w:val="16"/>
                <w:color w:val="auto"/>
              </w:rPr>
              <w:t>QUARTER</w:t>
            </w:r>
          </w:p>
        </w:tc>
        <w:tc>
          <w:tcPr>
            <w:tcW w:w="140" w:type="dxa"/>
            <w:vAlign w:val="bottom"/>
          </w:tcPr>
          <w:p>
            <w:pPr>
              <w:spacing w:after="0"/>
              <w:rPr>
                <w:sz w:val="15"/>
                <w:szCs w:val="15"/>
                <w:color w:val="auto"/>
              </w:rPr>
            </w:pPr>
          </w:p>
        </w:tc>
        <w:tc>
          <w:tcPr>
            <w:tcW w:w="13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QUARTER</w:t>
            </w:r>
          </w:p>
        </w:tc>
        <w:tc>
          <w:tcPr>
            <w:tcW w:w="200" w:type="dxa"/>
            <w:vAlign w:val="bottom"/>
          </w:tcPr>
          <w:p>
            <w:pPr>
              <w:spacing w:after="0"/>
              <w:rPr>
                <w:sz w:val="15"/>
                <w:szCs w:val="15"/>
                <w:color w:val="auto"/>
              </w:rPr>
            </w:pPr>
          </w:p>
        </w:tc>
        <w:tc>
          <w:tcPr>
            <w:tcW w:w="1320" w:type="dxa"/>
            <w:vAlign w:val="bottom"/>
          </w:tcPr>
          <w:p>
            <w:pPr>
              <w:ind w:left="80"/>
              <w:spacing w:after="0"/>
              <w:rPr>
                <w:sz w:val="20"/>
                <w:szCs w:val="20"/>
                <w:color w:val="auto"/>
              </w:rPr>
            </w:pPr>
            <w:r>
              <w:rPr>
                <w:rFonts w:ascii="Courier New" w:cs="Courier New" w:eastAsia="Courier New" w:hAnsi="Courier New"/>
                <w:sz w:val="16"/>
                <w:szCs w:val="16"/>
                <w:color w:val="auto"/>
              </w:rPr>
              <w:t>QUARTER</w:t>
            </w:r>
          </w:p>
        </w:tc>
        <w:tc>
          <w:tcPr>
            <w:tcW w:w="200" w:type="dxa"/>
            <w:vAlign w:val="bottom"/>
          </w:tcPr>
          <w:p>
            <w:pPr>
              <w:spacing w:after="0"/>
              <w:rPr>
                <w:sz w:val="15"/>
                <w:szCs w:val="15"/>
                <w:color w:val="auto"/>
              </w:rPr>
            </w:pPr>
          </w:p>
        </w:tc>
        <w:tc>
          <w:tcPr>
            <w:tcW w:w="1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QUARTER</w:t>
            </w:r>
          </w:p>
        </w:tc>
      </w:tr>
      <w:tr>
        <w:trPr>
          <w:trHeight w:val="183"/>
        </w:trPr>
        <w:tc>
          <w:tcPr>
            <w:tcW w:w="362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13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32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3340" w:type="dxa"/>
            <w:vAlign w:val="bottom"/>
          </w:tcPr>
          <w:p>
            <w:pPr>
              <w:spacing w:after="0"/>
              <w:rPr>
                <w:sz w:val="20"/>
                <w:szCs w:val="20"/>
                <w:color w:val="auto"/>
              </w:rPr>
            </w:pPr>
            <w:r>
              <w:rPr>
                <w:rFonts w:ascii="Courier New" w:cs="Courier New" w:eastAsia="Courier New" w:hAnsi="Courier New"/>
                <w:sz w:val="16"/>
                <w:szCs w:val="16"/>
                <w:color w:val="auto"/>
              </w:rPr>
              <w:t>Net revenues......................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41"/>
              <w:spacing w:after="0"/>
              <w:rPr>
                <w:sz w:val="20"/>
                <w:szCs w:val="20"/>
                <w:color w:val="auto"/>
              </w:rPr>
            </w:pPr>
            <w:r>
              <w:rPr>
                <w:rFonts w:ascii="Courier New" w:cs="Courier New" w:eastAsia="Courier New" w:hAnsi="Courier New"/>
                <w:sz w:val="16"/>
                <w:szCs w:val="16"/>
                <w:color w:val="auto"/>
                <w:w w:val="98"/>
              </w:rPr>
              <w:t>194,432,000</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8"/>
              </w:rPr>
              <w:t>192,199,000</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6"/>
              </w:rPr>
              <w:t>191,512,000</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6"/>
              </w:rPr>
              <w:t>204,056,000</w:t>
            </w: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rPr>
              <w:t>Income before income taxes........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16,794,000</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13,357,000</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9,622,000</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7,156,000</w:t>
            </w: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10,287,000</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8,153,000</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5,835,000</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4,445,000</w:t>
            </w: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rPr>
              <w:t>Earnings per share (fully</w:t>
            </w:r>
          </w:p>
        </w:tc>
        <w:tc>
          <w:tcPr>
            <w:tcW w:w="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3340" w:type="dxa"/>
            <w:vAlign w:val="bottom"/>
          </w:tcPr>
          <w:p>
            <w:pPr>
              <w:ind w:left="180"/>
              <w:spacing w:after="0"/>
              <w:rPr>
                <w:sz w:val="20"/>
                <w:szCs w:val="20"/>
                <w:color w:val="auto"/>
              </w:rPr>
            </w:pPr>
            <w:r>
              <w:rPr>
                <w:rFonts w:ascii="Courier New" w:cs="Courier New" w:eastAsia="Courier New" w:hAnsi="Courier New"/>
                <w:sz w:val="16"/>
                <w:szCs w:val="16"/>
                <w:color w:val="auto"/>
              </w:rPr>
              <w:t>diluted)........................</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0.36</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0.28</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0.21</w:t>
            </w:r>
          </w:p>
        </w:tc>
        <w:tc>
          <w:tcPr>
            <w:tcW w:w="20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0.16</w:t>
            </w:r>
          </w:p>
        </w:tc>
      </w:tr>
    </w:tbl>
    <w:p>
      <w:pPr>
        <w:spacing w:after="0" w:line="372" w:lineRule="exact"/>
        <w:rPr>
          <w:sz w:val="20"/>
          <w:szCs w:val="20"/>
          <w:color w:val="auto"/>
        </w:rPr>
      </w:pPr>
    </w:p>
    <w:p>
      <w:pPr>
        <w:ind w:right="2599" w:firstLine="382"/>
        <w:spacing w:after="0" w:line="259" w:lineRule="auto"/>
        <w:rPr>
          <w:sz w:val="20"/>
          <w:szCs w:val="20"/>
          <w:color w:val="auto"/>
        </w:rPr>
      </w:pPr>
      <w:r>
        <w:rPr>
          <w:rFonts w:ascii="Courier New" w:cs="Courier New" w:eastAsia="Courier New" w:hAnsi="Courier New"/>
          <w:sz w:val="15"/>
          <w:szCs w:val="15"/>
          <w:color w:val="auto"/>
        </w:rPr>
        <w:t>Net revenues in 1994 include $12.4 million of additional revenues received from special Medicaid reimbursement programs. Of this amount, $3.0 million was recorded in each of the first and second quarters, $3.1 million in the third quarter and $3.3 million in the fourth quarter. Net revenues in the fourth quarter also include $3.0 million of proceeds related to the Company's previously disposed UK operations. The first quarter operating results also include approximately $1.3 million of expenses related to the disposition of a non-strategic business. The second quarter results include a $2.8 million write-down recorded against the book value of the real property of a psychiatric hospital owned by the Company and leased to an unaffiliated third party, which is currently in default under the terms of the lease. Also included in operating expenses during the second quarter is a $1.1 million favorable adjustment made to reduce the Company's workers' compensation reserves. The fourth quarter results include a $1.3 million write-down recorded against the book value of the real property of a psychiatric hospital owned by the Company and for which its lease was terminated by an unaffiliated third party and a $4.3 million charge related to the anticipated disposition of two acute care hospitals (See Note 2).</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 SUBSEQUENT EVENT</w:t>
      </w:r>
    </w:p>
    <w:p>
      <w:pPr>
        <w:spacing w:after="0" w:line="188"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On April 26, 1996, the Company declared a two-for-one stock split in the form of a 100% stock dividend payable on May 17, 1996 to shareholders of record as of May 6, 1996. All classes of common stock will participate on a pro rata basis. The weighted average number of common shares and equivalents, earnings per common and common equivalent share, along with other share and per share data in these financial statements have been adjusted accordingly, to reflect the two-for-one stock split.</w:t>
      </w:r>
    </w:p>
    <w:p>
      <w:pPr>
        <w:spacing w:after="0" w:line="18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F-21</w:t>
      </w:r>
    </w:p>
    <w:p>
      <w:pPr>
        <w:sectPr>
          <w:pgSz w:w="11900" w:h="16838" w:orient="portrait"/>
          <w:cols w:equalWidth="0" w:num="1">
            <w:col w:w="10219"/>
          </w:cols>
          <w:pgMar w:left="240" w:top="481" w:right="1440" w:bottom="1440" w:gutter="0" w:footer="0" w:header="0"/>
        </w:sectPr>
      </w:pPr>
    </w:p>
    <w:bookmarkStart w:id="71" w:name="page72"/>
    <w:bookmarkEnd w:id="71"/>
    <w:p>
      <w:pPr>
        <w:jc w:val="center"/>
        <w:ind w:right="1059"/>
        <w:spacing w:after="0"/>
        <w:rPr>
          <w:sz w:val="20"/>
          <w:szCs w:val="20"/>
          <w:color w:val="auto"/>
        </w:rPr>
      </w:pPr>
      <w:r>
        <w:rPr>
          <w:rFonts w:ascii="Courier New" w:cs="Courier New" w:eastAsia="Courier New" w:hAnsi="Courier New"/>
          <w:sz w:val="16"/>
          <w:szCs w:val="16"/>
          <w:color w:val="auto"/>
        </w:rPr>
        <w:t>UNIVERSAL HEALTH SERVICES, INC. AND SUBSIDIARIES</w:t>
      </w:r>
    </w:p>
    <w:p>
      <w:pPr>
        <w:spacing w:after="0" w:line="2" w:lineRule="exact"/>
        <w:rPr>
          <w:sz w:val="20"/>
          <w:szCs w:val="20"/>
          <w:color w:val="auto"/>
        </w:rPr>
      </w:pPr>
    </w:p>
    <w:p>
      <w:pPr>
        <w:jc w:val="center"/>
        <w:ind w:right="1159"/>
        <w:spacing w:after="0"/>
        <w:rPr>
          <w:sz w:val="20"/>
          <w:szCs w:val="20"/>
          <w:color w:val="auto"/>
        </w:rPr>
      </w:pPr>
      <w:r>
        <w:rPr>
          <w:rFonts w:ascii="Courier New" w:cs="Courier New" w:eastAsia="Courier New" w:hAnsi="Courier New"/>
          <w:sz w:val="16"/>
          <w:szCs w:val="16"/>
          <w:color w:val="auto"/>
        </w:rPr>
        <w:t>CONSOLIDATED STATEMENTS OF INCOME</w:t>
      </w:r>
    </w:p>
    <w:p>
      <w:pPr>
        <w:spacing w:after="0" w:line="2" w:lineRule="exact"/>
        <w:rPr>
          <w:sz w:val="20"/>
          <w:szCs w:val="20"/>
          <w:color w:val="auto"/>
        </w:rPr>
      </w:pPr>
    </w:p>
    <w:p>
      <w:pPr>
        <w:jc w:val="center"/>
        <w:ind w:right="1159"/>
        <w:spacing w:after="0"/>
        <w:rPr>
          <w:sz w:val="20"/>
          <w:szCs w:val="20"/>
          <w:color w:val="auto"/>
        </w:rPr>
      </w:pPr>
      <w:r>
        <w:rPr>
          <w:rFonts w:ascii="Courier New" w:cs="Courier New" w:eastAsia="Courier New" w:hAnsi="Courier New"/>
          <w:sz w:val="16"/>
          <w:szCs w:val="16"/>
          <w:color w:val="auto"/>
        </w:rPr>
        <w:t>(000S OMITTED EXCEPT PER SHARE AMOUNTS)</w:t>
      </w:r>
    </w:p>
    <w:p>
      <w:pPr>
        <w:spacing w:after="0" w:line="2" w:lineRule="exact"/>
        <w:rPr>
          <w:sz w:val="20"/>
          <w:szCs w:val="20"/>
          <w:color w:val="auto"/>
        </w:rPr>
      </w:pPr>
    </w:p>
    <w:p>
      <w:pPr>
        <w:jc w:val="center"/>
        <w:ind w:right="1159"/>
        <w:spacing w:after="0"/>
        <w:rPr>
          <w:sz w:val="20"/>
          <w:szCs w:val="20"/>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7"/>
              </w:rPr>
              <w:t>THREE MONTHS ENDED</w:t>
            </w:r>
          </w:p>
        </w:tc>
      </w:tr>
      <w:tr>
        <w:trPr>
          <w:trHeight w:val="183"/>
        </w:trPr>
        <w:tc>
          <w:tcPr>
            <w:tcW w:w="6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MARCH 31,</w:t>
            </w:r>
          </w:p>
        </w:tc>
      </w:tr>
      <w:tr>
        <w:trPr>
          <w:trHeight w:val="183"/>
        </w:trPr>
        <w:tc>
          <w:tcPr>
            <w:tcW w:w="6920" w:type="dxa"/>
            <w:vAlign w:val="bottom"/>
          </w:tcPr>
          <w:p>
            <w:pPr>
              <w:spacing w:after="0"/>
              <w:rPr>
                <w:sz w:val="15"/>
                <w:szCs w:val="15"/>
                <w:color w:val="auto"/>
              </w:rPr>
            </w:pPr>
          </w:p>
        </w:tc>
        <w:tc>
          <w:tcPr>
            <w:tcW w:w="20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1995</w:t>
            </w:r>
          </w:p>
        </w:tc>
        <w:tc>
          <w:tcPr>
            <w:tcW w:w="9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1996</w:t>
            </w:r>
          </w:p>
        </w:tc>
      </w:tr>
      <w:tr>
        <w:trPr>
          <w:trHeight w:val="183"/>
        </w:trPr>
        <w:tc>
          <w:tcPr>
            <w:tcW w:w="6920" w:type="dxa"/>
            <w:vAlign w:val="bottom"/>
          </w:tcPr>
          <w:p>
            <w:pPr>
              <w:spacing w:after="0"/>
              <w:rPr>
                <w:sz w:val="15"/>
                <w:szCs w:val="15"/>
                <w:color w:val="auto"/>
              </w:rPr>
            </w:pPr>
          </w:p>
        </w:tc>
        <w:tc>
          <w:tcPr>
            <w:tcW w:w="10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6920" w:type="dxa"/>
            <w:vAlign w:val="bottom"/>
          </w:tcPr>
          <w:p>
            <w:pPr>
              <w:jc w:val="right"/>
              <w:ind w:right="81"/>
              <w:spacing w:after="0"/>
              <w:rPr>
                <w:sz w:val="20"/>
                <w:szCs w:val="20"/>
                <w:color w:val="auto"/>
              </w:rPr>
            </w:pPr>
            <w:r>
              <w:rPr>
                <w:rFonts w:ascii="Courier New" w:cs="Courier New" w:eastAsia="Courier New" w:hAnsi="Courier New"/>
                <w:sz w:val="16"/>
                <w:szCs w:val="16"/>
                <w:color w:val="auto"/>
                <w:w w:val="98"/>
              </w:rPr>
              <w:t>Net revenues...........................................................</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5"/>
              </w:rPr>
              <w:t>220,715</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$271,616</w:t>
            </w:r>
          </w:p>
        </w:tc>
      </w:tr>
      <w:tr>
        <w:trPr>
          <w:trHeight w:val="183"/>
        </w:trPr>
        <w:tc>
          <w:tcPr>
            <w:tcW w:w="6920" w:type="dxa"/>
            <w:vAlign w:val="bottom"/>
          </w:tcPr>
          <w:p>
            <w:pPr>
              <w:jc w:val="right"/>
              <w:ind w:right="5121"/>
              <w:spacing w:after="0"/>
              <w:rPr>
                <w:sz w:val="20"/>
                <w:szCs w:val="20"/>
                <w:color w:val="auto"/>
              </w:rPr>
            </w:pPr>
            <w:r>
              <w:rPr>
                <w:rFonts w:ascii="Courier New" w:cs="Courier New" w:eastAsia="Courier New" w:hAnsi="Courier New"/>
                <w:sz w:val="16"/>
                <w:szCs w:val="16"/>
                <w:color w:val="auto"/>
                <w:w w:val="98"/>
              </w:rPr>
              <w:t>Operating charges:</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69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Operating expenses...................................................</w:t>
            </w:r>
          </w:p>
        </w:tc>
        <w:tc>
          <w:tcPr>
            <w:tcW w:w="24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84,469</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102,335</w:t>
            </w:r>
          </w:p>
        </w:tc>
      </w:tr>
      <w:tr>
        <w:trPr>
          <w:trHeight w:val="183"/>
        </w:trPr>
        <w:tc>
          <w:tcPr>
            <w:tcW w:w="69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Salaries and wages...................................................</w:t>
            </w:r>
          </w:p>
        </w:tc>
        <w:tc>
          <w:tcPr>
            <w:tcW w:w="24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78,021</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94,500</w:t>
            </w:r>
          </w:p>
        </w:tc>
      </w:tr>
      <w:tr>
        <w:trPr>
          <w:trHeight w:val="183"/>
        </w:trPr>
        <w:tc>
          <w:tcPr>
            <w:tcW w:w="69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Provision for doubtful accounts......................................</w:t>
            </w:r>
          </w:p>
        </w:tc>
        <w:tc>
          <w:tcPr>
            <w:tcW w:w="24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17,185</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21,767</w:t>
            </w:r>
          </w:p>
        </w:tc>
      </w:tr>
      <w:tr>
        <w:trPr>
          <w:trHeight w:val="183"/>
        </w:trPr>
        <w:tc>
          <w:tcPr>
            <w:tcW w:w="69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Depreciation and amortization........................................</w:t>
            </w:r>
          </w:p>
        </w:tc>
        <w:tc>
          <w:tcPr>
            <w:tcW w:w="24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11,310</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14,783</w:t>
            </w:r>
          </w:p>
        </w:tc>
      </w:tr>
      <w:tr>
        <w:trPr>
          <w:trHeight w:val="183"/>
        </w:trPr>
        <w:tc>
          <w:tcPr>
            <w:tcW w:w="69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Lease and rental expense.............................................</w:t>
            </w:r>
          </w:p>
        </w:tc>
        <w:tc>
          <w:tcPr>
            <w:tcW w:w="24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8,772</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9,405</w:t>
            </w:r>
          </w:p>
        </w:tc>
      </w:tr>
      <w:tr>
        <w:trPr>
          <w:trHeight w:val="183"/>
        </w:trPr>
        <w:tc>
          <w:tcPr>
            <w:tcW w:w="69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Interest expense, net................................................</w:t>
            </w:r>
          </w:p>
        </w:tc>
        <w:tc>
          <w:tcPr>
            <w:tcW w:w="24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1,614</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4,648</w:t>
            </w:r>
          </w:p>
        </w:tc>
      </w:tr>
      <w:tr>
        <w:trPr>
          <w:trHeight w:val="183"/>
        </w:trPr>
        <w:tc>
          <w:tcPr>
            <w:tcW w:w="6920" w:type="dxa"/>
            <w:vAlign w:val="bottom"/>
          </w:tcPr>
          <w:p>
            <w:pPr>
              <w:spacing w:after="0"/>
              <w:rPr>
                <w:sz w:val="15"/>
                <w:szCs w:val="15"/>
                <w:color w:val="auto"/>
              </w:rPr>
            </w:pPr>
          </w:p>
        </w:tc>
        <w:tc>
          <w:tcPr>
            <w:tcW w:w="10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5"/>
              </w:rPr>
              <w:t>201,371</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247,438</w:t>
            </w:r>
          </w:p>
        </w:tc>
      </w:tr>
      <w:tr>
        <w:trPr>
          <w:trHeight w:val="183"/>
        </w:trPr>
        <w:tc>
          <w:tcPr>
            <w:tcW w:w="6920" w:type="dxa"/>
            <w:vAlign w:val="bottom"/>
          </w:tcPr>
          <w:p>
            <w:pPr>
              <w:spacing w:after="0"/>
              <w:rPr>
                <w:sz w:val="15"/>
                <w:szCs w:val="15"/>
                <w:color w:val="auto"/>
              </w:rPr>
            </w:pPr>
          </w:p>
        </w:tc>
        <w:tc>
          <w:tcPr>
            <w:tcW w:w="10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920" w:type="dxa"/>
            <w:vAlign w:val="bottom"/>
          </w:tcPr>
          <w:p>
            <w:pPr>
              <w:jc w:val="right"/>
              <w:ind w:right="81"/>
              <w:spacing w:after="0"/>
              <w:rPr>
                <w:sz w:val="20"/>
                <w:szCs w:val="20"/>
                <w:color w:val="auto"/>
              </w:rPr>
            </w:pPr>
            <w:r>
              <w:rPr>
                <w:rFonts w:ascii="Courier New" w:cs="Courier New" w:eastAsia="Courier New" w:hAnsi="Courier New"/>
                <w:sz w:val="16"/>
                <w:szCs w:val="16"/>
                <w:color w:val="auto"/>
                <w:w w:val="98"/>
              </w:rPr>
              <w:t>Income before income taxes.............................................</w:t>
            </w:r>
          </w:p>
        </w:tc>
        <w:tc>
          <w:tcPr>
            <w:tcW w:w="24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19,344</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24,178</w:t>
            </w:r>
          </w:p>
        </w:tc>
      </w:tr>
      <w:tr>
        <w:trPr>
          <w:trHeight w:val="183"/>
        </w:trPr>
        <w:tc>
          <w:tcPr>
            <w:tcW w:w="6920" w:type="dxa"/>
            <w:vAlign w:val="bottom"/>
          </w:tcPr>
          <w:p>
            <w:pPr>
              <w:jc w:val="right"/>
              <w:ind w:right="81"/>
              <w:spacing w:after="0"/>
              <w:rPr>
                <w:sz w:val="20"/>
                <w:szCs w:val="20"/>
                <w:color w:val="auto"/>
              </w:rPr>
            </w:pPr>
            <w:r>
              <w:rPr>
                <w:rFonts w:ascii="Courier New" w:cs="Courier New" w:eastAsia="Courier New" w:hAnsi="Courier New"/>
                <w:sz w:val="16"/>
                <w:szCs w:val="16"/>
                <w:color w:val="auto"/>
                <w:w w:val="98"/>
              </w:rPr>
              <w:t>Provision for income taxes.............................................</w:t>
            </w:r>
          </w:p>
        </w:tc>
        <w:tc>
          <w:tcPr>
            <w:tcW w:w="24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7,503</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8,677</w:t>
            </w:r>
          </w:p>
        </w:tc>
      </w:tr>
      <w:tr>
        <w:trPr>
          <w:trHeight w:val="183"/>
        </w:trPr>
        <w:tc>
          <w:tcPr>
            <w:tcW w:w="6920" w:type="dxa"/>
            <w:vAlign w:val="bottom"/>
          </w:tcPr>
          <w:p>
            <w:pPr>
              <w:spacing w:after="0"/>
              <w:rPr>
                <w:sz w:val="15"/>
                <w:szCs w:val="15"/>
                <w:color w:val="auto"/>
              </w:rPr>
            </w:pPr>
          </w:p>
        </w:tc>
        <w:tc>
          <w:tcPr>
            <w:tcW w:w="10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920" w:type="dxa"/>
            <w:vAlign w:val="bottom"/>
          </w:tcPr>
          <w:p>
            <w:pPr>
              <w:jc w:val="right"/>
              <w:ind w:right="81"/>
              <w:spacing w:after="0"/>
              <w:rPr>
                <w:sz w:val="20"/>
                <w:szCs w:val="20"/>
                <w:color w:val="auto"/>
              </w:rPr>
            </w:pPr>
            <w:r>
              <w:rPr>
                <w:rFonts w:ascii="Courier New" w:cs="Courier New" w:eastAsia="Courier New" w:hAnsi="Courier New"/>
                <w:sz w:val="16"/>
                <w:szCs w:val="16"/>
                <w:color w:val="auto"/>
                <w:w w:val="98"/>
              </w:rPr>
              <w:t>Net income.............................................................</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11,841</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$ 15,501</w:t>
            </w:r>
          </w:p>
        </w:tc>
      </w:tr>
      <w:tr>
        <w:trPr>
          <w:trHeight w:val="183"/>
        </w:trPr>
        <w:tc>
          <w:tcPr>
            <w:tcW w:w="6920" w:type="dxa"/>
            <w:vAlign w:val="bottom"/>
          </w:tcPr>
          <w:p>
            <w:pPr>
              <w:spacing w:after="0"/>
              <w:rPr>
                <w:sz w:val="15"/>
                <w:szCs w:val="15"/>
                <w:color w:val="auto"/>
              </w:rPr>
            </w:pPr>
          </w:p>
        </w:tc>
        <w:tc>
          <w:tcPr>
            <w:tcW w:w="10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920" w:type="dxa"/>
            <w:vAlign w:val="bottom"/>
          </w:tcPr>
          <w:p>
            <w:pPr>
              <w:spacing w:after="0"/>
              <w:rPr>
                <w:sz w:val="15"/>
                <w:szCs w:val="15"/>
                <w:color w:val="auto"/>
              </w:rPr>
            </w:pPr>
          </w:p>
        </w:tc>
        <w:tc>
          <w:tcPr>
            <w:tcW w:w="10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920" w:type="dxa"/>
            <w:vAlign w:val="bottom"/>
          </w:tcPr>
          <w:p>
            <w:pPr>
              <w:jc w:val="right"/>
              <w:ind w:right="81"/>
              <w:spacing w:after="0"/>
              <w:rPr>
                <w:sz w:val="20"/>
                <w:szCs w:val="20"/>
                <w:color w:val="auto"/>
              </w:rPr>
            </w:pPr>
            <w:r>
              <w:rPr>
                <w:rFonts w:ascii="Courier New" w:cs="Courier New" w:eastAsia="Courier New" w:hAnsi="Courier New"/>
                <w:sz w:val="16"/>
                <w:szCs w:val="16"/>
                <w:color w:val="auto"/>
                <w:w w:val="98"/>
              </w:rPr>
              <w:t>Earnings per common and common share equivalents:......................</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0.42</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   0.54</w:t>
            </w:r>
          </w:p>
        </w:tc>
      </w:tr>
      <w:tr>
        <w:trPr>
          <w:trHeight w:val="183"/>
        </w:trPr>
        <w:tc>
          <w:tcPr>
            <w:tcW w:w="6920" w:type="dxa"/>
            <w:vAlign w:val="bottom"/>
          </w:tcPr>
          <w:p>
            <w:pPr>
              <w:spacing w:after="0"/>
              <w:rPr>
                <w:sz w:val="15"/>
                <w:szCs w:val="15"/>
                <w:color w:val="auto"/>
              </w:rPr>
            </w:pPr>
          </w:p>
        </w:tc>
        <w:tc>
          <w:tcPr>
            <w:tcW w:w="10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920" w:type="dxa"/>
            <w:vAlign w:val="bottom"/>
          </w:tcPr>
          <w:p>
            <w:pPr>
              <w:spacing w:after="0"/>
              <w:rPr>
                <w:sz w:val="15"/>
                <w:szCs w:val="15"/>
                <w:color w:val="auto"/>
              </w:rPr>
            </w:pPr>
          </w:p>
        </w:tc>
        <w:tc>
          <w:tcPr>
            <w:tcW w:w="10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920" w:type="dxa"/>
            <w:vAlign w:val="bottom"/>
          </w:tcPr>
          <w:p>
            <w:pPr>
              <w:jc w:val="right"/>
              <w:ind w:right="81"/>
              <w:spacing w:after="0"/>
              <w:rPr>
                <w:sz w:val="20"/>
                <w:szCs w:val="20"/>
                <w:color w:val="auto"/>
              </w:rPr>
            </w:pPr>
            <w:r>
              <w:rPr>
                <w:rFonts w:ascii="Courier New" w:cs="Courier New" w:eastAsia="Courier New" w:hAnsi="Courier New"/>
                <w:sz w:val="16"/>
                <w:szCs w:val="16"/>
                <w:color w:val="auto"/>
                <w:w w:val="98"/>
              </w:rPr>
              <w:t>Weighted average number of common shares and equivalents:..............</w:t>
            </w:r>
          </w:p>
        </w:tc>
        <w:tc>
          <w:tcPr>
            <w:tcW w:w="24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27,884</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28,712</w:t>
            </w:r>
          </w:p>
        </w:tc>
      </w:tr>
      <w:tr>
        <w:trPr>
          <w:trHeight w:val="183"/>
        </w:trPr>
        <w:tc>
          <w:tcPr>
            <w:tcW w:w="6920" w:type="dxa"/>
            <w:vAlign w:val="bottom"/>
          </w:tcPr>
          <w:p>
            <w:pPr>
              <w:spacing w:after="0"/>
              <w:rPr>
                <w:sz w:val="15"/>
                <w:szCs w:val="15"/>
                <w:color w:val="auto"/>
              </w:rPr>
            </w:pPr>
          </w:p>
        </w:tc>
        <w:tc>
          <w:tcPr>
            <w:tcW w:w="10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920" w:type="dxa"/>
            <w:vAlign w:val="bottom"/>
          </w:tcPr>
          <w:p>
            <w:pPr>
              <w:spacing w:after="0"/>
              <w:rPr>
                <w:sz w:val="15"/>
                <w:szCs w:val="15"/>
                <w:color w:val="auto"/>
              </w:rPr>
            </w:pPr>
          </w:p>
        </w:tc>
        <w:tc>
          <w:tcPr>
            <w:tcW w:w="10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69"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See accompanying notes to these condensed consolidated financial statements.</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F-22</w:t>
      </w:r>
    </w:p>
    <w:p>
      <w:pPr>
        <w:sectPr>
          <w:pgSz w:w="11900" w:h="16838" w:orient="portrait"/>
          <w:cols w:equalWidth="0" w:num="1">
            <w:col w:w="10219"/>
          </w:cols>
          <w:pgMar w:left="240" w:top="481" w:right="1440" w:bottom="1440" w:gutter="0" w:footer="0" w:header="0"/>
        </w:sectPr>
      </w:pPr>
    </w:p>
    <w:bookmarkStart w:id="72" w:name="page73"/>
    <w:bookmarkEnd w:id="72"/>
    <w:p>
      <w:pPr>
        <w:ind w:left="2200"/>
        <w:spacing w:after="0"/>
        <w:rPr>
          <w:sz w:val="20"/>
          <w:szCs w:val="20"/>
          <w:color w:val="auto"/>
        </w:rPr>
      </w:pPr>
      <w:r>
        <w:rPr>
          <w:rFonts w:ascii="Courier New" w:cs="Courier New" w:eastAsia="Courier New" w:hAnsi="Courier New"/>
          <w:sz w:val="16"/>
          <w:szCs w:val="16"/>
          <w:color w:val="auto"/>
        </w:rPr>
        <w:t>UNIVERSAL HEALTH SERVICES, INC. AND SUBSIDIARIES</w:t>
      </w:r>
    </w:p>
    <w:p>
      <w:pPr>
        <w:spacing w:after="0" w:line="2"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CONDENSED CONSOLIDATED BALANCE SHEETS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620" w:type="dxa"/>
            <w:vAlign w:val="bottom"/>
          </w:tcPr>
          <w:p>
            <w:pPr>
              <w:jc w:val="right"/>
              <w:ind w:right="1401"/>
              <w:spacing w:after="0"/>
              <w:rPr>
                <w:sz w:val="20"/>
                <w:szCs w:val="20"/>
                <w:color w:val="auto"/>
              </w:rPr>
            </w:pPr>
            <w:r>
              <w:rPr>
                <w:rFonts w:ascii="Courier New" w:cs="Courier New" w:eastAsia="Courier New" w:hAnsi="Courier New"/>
                <w:sz w:val="16"/>
                <w:szCs w:val="16"/>
                <w:color w:val="auto"/>
              </w:rPr>
              <w:t>(000S OMITTED)</w:t>
            </w: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734"/>
        </w:trPr>
        <w:tc>
          <w:tcPr>
            <w:tcW w:w="6620" w:type="dxa"/>
            <w:vAlign w:val="bottom"/>
          </w:tcPr>
          <w:p>
            <w:pPr>
              <w:spacing w:after="0"/>
              <w:rPr>
                <w:sz w:val="24"/>
                <w:szCs w:val="24"/>
                <w:color w:val="auto"/>
              </w:rPr>
            </w:pPr>
          </w:p>
        </w:tc>
        <w:tc>
          <w:tcPr>
            <w:tcW w:w="14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DECEMBER 31,</w:t>
            </w:r>
          </w:p>
        </w:tc>
        <w:tc>
          <w:tcPr>
            <w:tcW w:w="134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MARCH 31,</w:t>
            </w:r>
          </w:p>
        </w:tc>
      </w:tr>
      <w:tr>
        <w:trPr>
          <w:trHeight w:val="183"/>
        </w:trPr>
        <w:tc>
          <w:tcPr>
            <w:tcW w:w="6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jc w:val="center"/>
              <w:ind w:right="381"/>
              <w:spacing w:after="0"/>
              <w:rPr>
                <w:sz w:val="20"/>
                <w:szCs w:val="20"/>
                <w:color w:val="auto"/>
              </w:rPr>
            </w:pPr>
            <w:r>
              <w:rPr>
                <w:rFonts w:ascii="Courier New" w:cs="Courier New" w:eastAsia="Courier New" w:hAnsi="Courier New"/>
                <w:sz w:val="16"/>
                <w:szCs w:val="16"/>
                <w:color w:val="auto"/>
                <w:w w:val="98"/>
              </w:rPr>
              <w:t>1995</w:t>
            </w:r>
          </w:p>
        </w:tc>
        <w:tc>
          <w:tcPr>
            <w:tcW w:w="440" w:type="dxa"/>
            <w:vAlign w:val="bottom"/>
          </w:tcPr>
          <w:p>
            <w:pPr>
              <w:spacing w:after="0"/>
              <w:rPr>
                <w:sz w:val="15"/>
                <w:szCs w:val="15"/>
                <w:color w:val="auto"/>
              </w:rPr>
            </w:pPr>
          </w:p>
        </w:tc>
        <w:tc>
          <w:tcPr>
            <w:tcW w:w="9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1996</w:t>
            </w:r>
          </w:p>
        </w:tc>
      </w:tr>
      <w:tr>
        <w:trPr>
          <w:trHeight w:val="183"/>
        </w:trPr>
        <w:tc>
          <w:tcPr>
            <w:tcW w:w="6620" w:type="dxa"/>
            <w:vAlign w:val="bottom"/>
          </w:tcPr>
          <w:p>
            <w:pPr>
              <w:spacing w:after="0"/>
              <w:rPr>
                <w:sz w:val="15"/>
                <w:szCs w:val="15"/>
                <w:color w:val="auto"/>
              </w:rPr>
            </w:pPr>
          </w:p>
        </w:tc>
        <w:tc>
          <w:tcPr>
            <w:tcW w:w="148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(UNAUDITED)</w:t>
            </w:r>
          </w:p>
        </w:tc>
      </w:tr>
      <w:tr>
        <w:trPr>
          <w:trHeight w:val="367"/>
        </w:trPr>
        <w:tc>
          <w:tcPr>
            <w:tcW w:w="662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3"/>
        </w:trPr>
        <w:tc>
          <w:tcPr>
            <w:tcW w:w="662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3"/>
        </w:trPr>
        <w:tc>
          <w:tcPr>
            <w:tcW w:w="6620" w:type="dxa"/>
            <w:vAlign w:val="bottom"/>
          </w:tcPr>
          <w:p>
            <w:pPr>
              <w:ind w:left="180"/>
              <w:spacing w:after="0"/>
              <w:rPr>
                <w:sz w:val="20"/>
                <w:szCs w:val="20"/>
                <w:color w:val="auto"/>
              </w:rPr>
            </w:pPr>
            <w:r>
              <w:rPr>
                <w:rFonts w:ascii="Courier New" w:cs="Courier New" w:eastAsia="Courier New" w:hAnsi="Courier New"/>
                <w:sz w:val="16"/>
                <w:szCs w:val="16"/>
                <w:color w:val="auto"/>
              </w:rPr>
              <w:t>Cash and cash equivalents.........................................</w:t>
            </w:r>
          </w:p>
        </w:tc>
        <w:tc>
          <w:tcPr>
            <w:tcW w:w="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34</w:t>
            </w:r>
          </w:p>
        </w:tc>
        <w:tc>
          <w:tcPr>
            <w:tcW w:w="44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762</w:t>
            </w:r>
          </w:p>
        </w:tc>
      </w:tr>
      <w:tr>
        <w:trPr>
          <w:trHeight w:val="183"/>
        </w:trPr>
        <w:tc>
          <w:tcPr>
            <w:tcW w:w="6620" w:type="dxa"/>
            <w:vAlign w:val="bottom"/>
          </w:tcPr>
          <w:p>
            <w:pPr>
              <w:ind w:left="180"/>
              <w:spacing w:after="0"/>
              <w:rPr>
                <w:sz w:val="20"/>
                <w:szCs w:val="20"/>
                <w:color w:val="auto"/>
              </w:rPr>
            </w:pPr>
            <w:r>
              <w:rPr>
                <w:rFonts w:ascii="Courier New" w:cs="Courier New" w:eastAsia="Courier New" w:hAnsi="Courier New"/>
                <w:sz w:val="16"/>
                <w:szCs w:val="16"/>
                <w:color w:val="auto"/>
              </w:rPr>
              <w:t>Accounts receivable, net..........................................</w:t>
            </w:r>
          </w:p>
        </w:tc>
        <w:tc>
          <w:tcPr>
            <w:tcW w:w="44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114,163</w:t>
            </w:r>
          </w:p>
        </w:tc>
        <w:tc>
          <w:tcPr>
            <w:tcW w:w="44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116,400</w:t>
            </w:r>
          </w:p>
        </w:tc>
      </w:tr>
      <w:tr>
        <w:trPr>
          <w:trHeight w:val="183"/>
        </w:trPr>
        <w:tc>
          <w:tcPr>
            <w:tcW w:w="6620" w:type="dxa"/>
            <w:vAlign w:val="bottom"/>
          </w:tcPr>
          <w:p>
            <w:pPr>
              <w:ind w:left="180"/>
              <w:spacing w:after="0"/>
              <w:rPr>
                <w:sz w:val="20"/>
                <w:szCs w:val="20"/>
                <w:color w:val="auto"/>
              </w:rPr>
            </w:pPr>
            <w:r>
              <w:rPr>
                <w:rFonts w:ascii="Courier New" w:cs="Courier New" w:eastAsia="Courier New" w:hAnsi="Courier New"/>
                <w:sz w:val="16"/>
                <w:szCs w:val="16"/>
                <w:color w:val="auto"/>
              </w:rPr>
              <w:t>Supplies..........................................................</w:t>
            </w:r>
          </w:p>
        </w:tc>
        <w:tc>
          <w:tcPr>
            <w:tcW w:w="44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18,207</w:t>
            </w:r>
          </w:p>
        </w:tc>
        <w:tc>
          <w:tcPr>
            <w:tcW w:w="44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18,330</w:t>
            </w:r>
          </w:p>
        </w:tc>
      </w:tr>
      <w:tr>
        <w:trPr>
          <w:trHeight w:val="183"/>
        </w:trPr>
        <w:tc>
          <w:tcPr>
            <w:tcW w:w="6620" w:type="dxa"/>
            <w:vAlign w:val="bottom"/>
          </w:tcPr>
          <w:p>
            <w:pPr>
              <w:ind w:left="180"/>
              <w:spacing w:after="0"/>
              <w:rPr>
                <w:sz w:val="20"/>
                <w:szCs w:val="20"/>
                <w:color w:val="auto"/>
              </w:rPr>
            </w:pPr>
            <w:r>
              <w:rPr>
                <w:rFonts w:ascii="Courier New" w:cs="Courier New" w:eastAsia="Courier New" w:hAnsi="Courier New"/>
                <w:sz w:val="16"/>
                <w:szCs w:val="16"/>
                <w:color w:val="auto"/>
              </w:rPr>
              <w:t>Deferred income taxes.............................................</w:t>
            </w:r>
          </w:p>
        </w:tc>
        <w:tc>
          <w:tcPr>
            <w:tcW w:w="44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18,989</w:t>
            </w:r>
          </w:p>
        </w:tc>
        <w:tc>
          <w:tcPr>
            <w:tcW w:w="44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15,304</w:t>
            </w:r>
          </w:p>
        </w:tc>
      </w:tr>
      <w:tr>
        <w:trPr>
          <w:trHeight w:val="183"/>
        </w:trPr>
        <w:tc>
          <w:tcPr>
            <w:tcW w:w="6620" w:type="dxa"/>
            <w:vAlign w:val="bottom"/>
          </w:tcPr>
          <w:p>
            <w:pPr>
              <w:ind w:left="180"/>
              <w:spacing w:after="0"/>
              <w:rPr>
                <w:sz w:val="20"/>
                <w:szCs w:val="20"/>
                <w:color w:val="auto"/>
              </w:rPr>
            </w:pPr>
            <w:r>
              <w:rPr>
                <w:rFonts w:ascii="Courier New" w:cs="Courier New" w:eastAsia="Courier New" w:hAnsi="Courier New"/>
                <w:sz w:val="16"/>
                <w:szCs w:val="16"/>
                <w:color w:val="auto"/>
              </w:rPr>
              <w:t>Other current assets..............................................</w:t>
            </w:r>
          </w:p>
        </w:tc>
        <w:tc>
          <w:tcPr>
            <w:tcW w:w="44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5,529</w:t>
            </w:r>
          </w:p>
        </w:tc>
        <w:tc>
          <w:tcPr>
            <w:tcW w:w="44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5,562</w:t>
            </w:r>
          </w:p>
        </w:tc>
      </w:tr>
      <w:tr>
        <w:trPr>
          <w:trHeight w:val="183"/>
        </w:trPr>
        <w:tc>
          <w:tcPr>
            <w:tcW w:w="6620" w:type="dxa"/>
            <w:vAlign w:val="bottom"/>
          </w:tcPr>
          <w:p>
            <w:pPr>
              <w:spacing w:after="0"/>
              <w:rPr>
                <w:sz w:val="15"/>
                <w:szCs w:val="15"/>
                <w:color w:val="auto"/>
              </w:rPr>
            </w:pPr>
          </w:p>
        </w:tc>
        <w:tc>
          <w:tcPr>
            <w:tcW w:w="148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Total current assets..........................................</w:t>
            </w:r>
          </w:p>
        </w:tc>
        <w:tc>
          <w:tcPr>
            <w:tcW w:w="44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156,922</w:t>
            </w:r>
          </w:p>
        </w:tc>
        <w:tc>
          <w:tcPr>
            <w:tcW w:w="44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156,358</w:t>
            </w:r>
          </w:p>
        </w:tc>
      </w:tr>
      <w:tr>
        <w:trPr>
          <w:trHeight w:val="183"/>
        </w:trPr>
        <w:tc>
          <w:tcPr>
            <w:tcW w:w="6620" w:type="dxa"/>
            <w:vAlign w:val="bottom"/>
          </w:tcPr>
          <w:p>
            <w:pPr>
              <w:spacing w:after="0"/>
              <w:rPr>
                <w:sz w:val="15"/>
                <w:szCs w:val="15"/>
                <w:color w:val="auto"/>
              </w:rPr>
            </w:pPr>
          </w:p>
        </w:tc>
        <w:tc>
          <w:tcPr>
            <w:tcW w:w="148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6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Property and equipment..............................................</w:t>
            </w:r>
          </w:p>
        </w:tc>
        <w:tc>
          <w:tcPr>
            <w:tcW w:w="44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641,528</w:t>
            </w:r>
          </w:p>
        </w:tc>
        <w:tc>
          <w:tcPr>
            <w:tcW w:w="44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668,037</w:t>
            </w:r>
          </w:p>
        </w:tc>
      </w:tr>
      <w:tr>
        <w:trPr>
          <w:trHeight w:val="183"/>
        </w:trPr>
        <w:tc>
          <w:tcPr>
            <w:tcW w:w="66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Less: accumulated depreciation......................................</w:t>
            </w:r>
          </w:p>
        </w:tc>
        <w:tc>
          <w:tcPr>
            <w:tcW w:w="44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7"/>
              </w:rPr>
              <w:t>(248,540)</w:t>
            </w:r>
          </w:p>
        </w:tc>
        <w:tc>
          <w:tcPr>
            <w:tcW w:w="4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(256,822)</w:t>
            </w:r>
          </w:p>
        </w:tc>
      </w:tr>
      <w:tr>
        <w:trPr>
          <w:trHeight w:val="183"/>
        </w:trPr>
        <w:tc>
          <w:tcPr>
            <w:tcW w:w="6620" w:type="dxa"/>
            <w:vAlign w:val="bottom"/>
          </w:tcPr>
          <w:p>
            <w:pPr>
              <w:spacing w:after="0"/>
              <w:rPr>
                <w:sz w:val="15"/>
                <w:szCs w:val="15"/>
                <w:color w:val="auto"/>
              </w:rPr>
            </w:pPr>
          </w:p>
        </w:tc>
        <w:tc>
          <w:tcPr>
            <w:tcW w:w="148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392,988</w:t>
            </w:r>
          </w:p>
        </w:tc>
        <w:tc>
          <w:tcPr>
            <w:tcW w:w="44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411,215</w:t>
            </w:r>
          </w:p>
        </w:tc>
      </w:tr>
      <w:tr>
        <w:trPr>
          <w:trHeight w:val="183"/>
        </w:trPr>
        <w:tc>
          <w:tcPr>
            <w:tcW w:w="6620" w:type="dxa"/>
            <w:vAlign w:val="bottom"/>
          </w:tcPr>
          <w:p>
            <w:pPr>
              <w:spacing w:after="0"/>
              <w:rPr>
                <w:sz w:val="15"/>
                <w:szCs w:val="15"/>
                <w:color w:val="auto"/>
              </w:rPr>
            </w:pPr>
          </w:p>
        </w:tc>
        <w:tc>
          <w:tcPr>
            <w:tcW w:w="148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62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3"/>
        </w:trPr>
        <w:tc>
          <w:tcPr>
            <w:tcW w:w="6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Excess of cost over fair value of net assets acquired.............</w:t>
            </w:r>
          </w:p>
        </w:tc>
        <w:tc>
          <w:tcPr>
            <w:tcW w:w="44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136,206</w:t>
            </w:r>
          </w:p>
        </w:tc>
        <w:tc>
          <w:tcPr>
            <w:tcW w:w="44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134,421</w:t>
            </w:r>
          </w:p>
        </w:tc>
      </w:tr>
      <w:tr>
        <w:trPr>
          <w:trHeight w:val="183"/>
        </w:trPr>
        <w:tc>
          <w:tcPr>
            <w:tcW w:w="6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Deferred income taxes.............................................</w:t>
            </w:r>
          </w:p>
        </w:tc>
        <w:tc>
          <w:tcPr>
            <w:tcW w:w="44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17,283</w:t>
            </w:r>
          </w:p>
        </w:tc>
        <w:tc>
          <w:tcPr>
            <w:tcW w:w="44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18,717</w:t>
            </w:r>
          </w:p>
        </w:tc>
      </w:tr>
      <w:tr>
        <w:trPr>
          <w:trHeight w:val="183"/>
        </w:trPr>
        <w:tc>
          <w:tcPr>
            <w:tcW w:w="6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Deferred charges..................................................</w:t>
            </w:r>
          </w:p>
        </w:tc>
        <w:tc>
          <w:tcPr>
            <w:tcW w:w="44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11,466</w:t>
            </w:r>
          </w:p>
        </w:tc>
        <w:tc>
          <w:tcPr>
            <w:tcW w:w="44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11,801</w:t>
            </w:r>
          </w:p>
        </w:tc>
      </w:tr>
      <w:tr>
        <w:trPr>
          <w:trHeight w:val="183"/>
        </w:trPr>
        <w:tc>
          <w:tcPr>
            <w:tcW w:w="6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Other.............................................................</w:t>
            </w:r>
          </w:p>
        </w:tc>
        <w:tc>
          <w:tcPr>
            <w:tcW w:w="44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33,186</w:t>
            </w:r>
          </w:p>
        </w:tc>
        <w:tc>
          <w:tcPr>
            <w:tcW w:w="44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35,430</w:t>
            </w:r>
          </w:p>
        </w:tc>
      </w:tr>
      <w:tr>
        <w:trPr>
          <w:trHeight w:val="183"/>
        </w:trPr>
        <w:tc>
          <w:tcPr>
            <w:tcW w:w="6620" w:type="dxa"/>
            <w:vAlign w:val="bottom"/>
          </w:tcPr>
          <w:p>
            <w:pPr>
              <w:spacing w:after="0"/>
              <w:rPr>
                <w:sz w:val="15"/>
                <w:szCs w:val="15"/>
                <w:color w:val="auto"/>
              </w:rPr>
            </w:pPr>
          </w:p>
        </w:tc>
        <w:tc>
          <w:tcPr>
            <w:tcW w:w="148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198,141</w:t>
            </w:r>
          </w:p>
        </w:tc>
        <w:tc>
          <w:tcPr>
            <w:tcW w:w="44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200,369</w:t>
            </w:r>
          </w:p>
        </w:tc>
      </w:tr>
      <w:tr>
        <w:trPr>
          <w:trHeight w:val="183"/>
        </w:trPr>
        <w:tc>
          <w:tcPr>
            <w:tcW w:w="6620" w:type="dxa"/>
            <w:vAlign w:val="bottom"/>
          </w:tcPr>
          <w:p>
            <w:pPr>
              <w:spacing w:after="0"/>
              <w:rPr>
                <w:sz w:val="15"/>
                <w:szCs w:val="15"/>
                <w:color w:val="auto"/>
              </w:rPr>
            </w:pPr>
          </w:p>
        </w:tc>
        <w:tc>
          <w:tcPr>
            <w:tcW w:w="148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620" w:type="dxa"/>
            <w:vAlign w:val="bottom"/>
          </w:tcPr>
          <w:p>
            <w:pPr>
              <w:spacing w:after="0"/>
              <w:rPr>
                <w:sz w:val="15"/>
                <w:szCs w:val="15"/>
                <w:color w:val="auto"/>
              </w:rPr>
            </w:pPr>
          </w:p>
        </w:tc>
        <w:tc>
          <w:tcPr>
            <w:tcW w:w="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748,051</w:t>
            </w:r>
          </w:p>
        </w:tc>
        <w:tc>
          <w:tcPr>
            <w:tcW w:w="44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767,942</w:t>
            </w:r>
          </w:p>
        </w:tc>
      </w:tr>
      <w:tr>
        <w:trPr>
          <w:trHeight w:val="183"/>
        </w:trPr>
        <w:tc>
          <w:tcPr>
            <w:tcW w:w="6620" w:type="dxa"/>
            <w:vAlign w:val="bottom"/>
          </w:tcPr>
          <w:p>
            <w:pPr>
              <w:spacing w:after="0"/>
              <w:rPr>
                <w:sz w:val="15"/>
                <w:szCs w:val="15"/>
                <w:color w:val="auto"/>
              </w:rPr>
            </w:pPr>
          </w:p>
        </w:tc>
        <w:tc>
          <w:tcPr>
            <w:tcW w:w="148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620" w:type="dxa"/>
            <w:vAlign w:val="bottom"/>
          </w:tcPr>
          <w:p>
            <w:pPr>
              <w:spacing w:after="0"/>
              <w:rPr>
                <w:sz w:val="15"/>
                <w:szCs w:val="15"/>
                <w:color w:val="auto"/>
              </w:rPr>
            </w:pPr>
          </w:p>
        </w:tc>
        <w:tc>
          <w:tcPr>
            <w:tcW w:w="148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6620" w:type="dxa"/>
            <w:vAlign w:val="bottom"/>
          </w:tcPr>
          <w:p>
            <w:pPr>
              <w:spacing w:after="0"/>
              <w:rPr>
                <w:sz w:val="20"/>
                <w:szCs w:val="20"/>
                <w:color w:val="auto"/>
              </w:rPr>
            </w:pPr>
            <w:r>
              <w:rPr>
                <w:rFonts w:ascii="Courier New" w:cs="Courier New" w:eastAsia="Courier New" w:hAnsi="Courier New"/>
                <w:sz w:val="16"/>
                <w:szCs w:val="16"/>
                <w:color w:val="auto"/>
              </w:rPr>
              <w:t>LIABILITIES AND STOCKHOLDERS' EQUITY</w:t>
            </w: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3"/>
        </w:trPr>
        <w:tc>
          <w:tcPr>
            <w:tcW w:w="662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3"/>
        </w:trPr>
        <w:tc>
          <w:tcPr>
            <w:tcW w:w="6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Current maturities of long-term debt..............................</w:t>
            </w:r>
          </w:p>
        </w:tc>
        <w:tc>
          <w:tcPr>
            <w:tcW w:w="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7,125</w:t>
            </w:r>
          </w:p>
        </w:tc>
        <w:tc>
          <w:tcPr>
            <w:tcW w:w="44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6,980</w:t>
            </w:r>
          </w:p>
        </w:tc>
      </w:tr>
      <w:tr>
        <w:trPr>
          <w:trHeight w:val="183"/>
        </w:trPr>
        <w:tc>
          <w:tcPr>
            <w:tcW w:w="6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Accounts payable and accrued liabilities..........................</w:t>
            </w:r>
          </w:p>
        </w:tc>
        <w:tc>
          <w:tcPr>
            <w:tcW w:w="44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126,018</w:t>
            </w:r>
          </w:p>
        </w:tc>
        <w:tc>
          <w:tcPr>
            <w:tcW w:w="44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126,871</w:t>
            </w:r>
          </w:p>
        </w:tc>
      </w:tr>
      <w:tr>
        <w:trPr>
          <w:trHeight w:val="183"/>
        </w:trPr>
        <w:tc>
          <w:tcPr>
            <w:tcW w:w="6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Federal and state taxes...........................................</w:t>
            </w:r>
          </w:p>
        </w:tc>
        <w:tc>
          <w:tcPr>
            <w:tcW w:w="44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1,874</w:t>
            </w:r>
          </w:p>
        </w:tc>
        <w:tc>
          <w:tcPr>
            <w:tcW w:w="44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6,382</w:t>
            </w:r>
          </w:p>
        </w:tc>
      </w:tr>
      <w:tr>
        <w:trPr>
          <w:trHeight w:val="183"/>
        </w:trPr>
        <w:tc>
          <w:tcPr>
            <w:tcW w:w="6620" w:type="dxa"/>
            <w:vAlign w:val="bottom"/>
          </w:tcPr>
          <w:p>
            <w:pPr>
              <w:spacing w:after="0"/>
              <w:rPr>
                <w:sz w:val="15"/>
                <w:szCs w:val="15"/>
                <w:color w:val="auto"/>
              </w:rPr>
            </w:pPr>
          </w:p>
        </w:tc>
        <w:tc>
          <w:tcPr>
            <w:tcW w:w="148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Total current liabilities.....................................</w:t>
            </w:r>
          </w:p>
        </w:tc>
        <w:tc>
          <w:tcPr>
            <w:tcW w:w="44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135,017</w:t>
            </w:r>
          </w:p>
        </w:tc>
        <w:tc>
          <w:tcPr>
            <w:tcW w:w="44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140,233</w:t>
            </w:r>
          </w:p>
        </w:tc>
      </w:tr>
      <w:tr>
        <w:trPr>
          <w:trHeight w:val="183"/>
        </w:trPr>
        <w:tc>
          <w:tcPr>
            <w:tcW w:w="6620" w:type="dxa"/>
            <w:vAlign w:val="bottom"/>
          </w:tcPr>
          <w:p>
            <w:pPr>
              <w:spacing w:after="0"/>
              <w:rPr>
                <w:sz w:val="15"/>
                <w:szCs w:val="15"/>
                <w:color w:val="auto"/>
              </w:rPr>
            </w:pPr>
          </w:p>
        </w:tc>
        <w:tc>
          <w:tcPr>
            <w:tcW w:w="148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Other noncurrent liabilities......................................</w:t>
            </w:r>
          </w:p>
        </w:tc>
        <w:tc>
          <w:tcPr>
            <w:tcW w:w="44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78,248</w:t>
            </w:r>
          </w:p>
        </w:tc>
        <w:tc>
          <w:tcPr>
            <w:tcW w:w="44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81,482</w:t>
            </w:r>
          </w:p>
        </w:tc>
      </w:tr>
      <w:tr>
        <w:trPr>
          <w:trHeight w:val="183"/>
        </w:trPr>
        <w:tc>
          <w:tcPr>
            <w:tcW w:w="6620" w:type="dxa"/>
            <w:vAlign w:val="bottom"/>
          </w:tcPr>
          <w:p>
            <w:pPr>
              <w:spacing w:after="0"/>
              <w:rPr>
                <w:sz w:val="15"/>
                <w:szCs w:val="15"/>
                <w:color w:val="auto"/>
              </w:rPr>
            </w:pPr>
          </w:p>
        </w:tc>
        <w:tc>
          <w:tcPr>
            <w:tcW w:w="148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Long-term debt, net of current maturities.........................</w:t>
            </w:r>
          </w:p>
        </w:tc>
        <w:tc>
          <w:tcPr>
            <w:tcW w:w="44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237,086</w:t>
            </w:r>
          </w:p>
        </w:tc>
        <w:tc>
          <w:tcPr>
            <w:tcW w:w="44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230,401</w:t>
            </w:r>
          </w:p>
        </w:tc>
      </w:tr>
      <w:tr>
        <w:trPr>
          <w:trHeight w:val="183"/>
        </w:trPr>
        <w:tc>
          <w:tcPr>
            <w:tcW w:w="6620" w:type="dxa"/>
            <w:vAlign w:val="bottom"/>
          </w:tcPr>
          <w:p>
            <w:pPr>
              <w:spacing w:after="0"/>
              <w:rPr>
                <w:sz w:val="15"/>
                <w:szCs w:val="15"/>
                <w:color w:val="auto"/>
              </w:rPr>
            </w:pPr>
          </w:p>
        </w:tc>
        <w:tc>
          <w:tcPr>
            <w:tcW w:w="148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620" w:type="dxa"/>
            <w:vAlign w:val="bottom"/>
          </w:tcPr>
          <w:p>
            <w:pPr>
              <w:spacing w:after="0"/>
              <w:rPr>
                <w:sz w:val="20"/>
                <w:szCs w:val="20"/>
                <w:color w:val="auto"/>
              </w:rPr>
            </w:pPr>
            <w:r>
              <w:rPr>
                <w:rFonts w:ascii="Courier New" w:cs="Courier New" w:eastAsia="Courier New" w:hAnsi="Courier New"/>
                <w:sz w:val="16"/>
                <w:szCs w:val="16"/>
                <w:color w:val="auto"/>
              </w:rPr>
              <w:t>COMMON STOCKHOLDERS' EQUITY:</w:t>
            </w: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3"/>
        </w:trPr>
        <w:tc>
          <w:tcPr>
            <w:tcW w:w="6620" w:type="dxa"/>
            <w:vAlign w:val="bottom"/>
          </w:tcPr>
          <w:p>
            <w:pPr>
              <w:ind w:left="180"/>
              <w:spacing w:after="0"/>
              <w:rPr>
                <w:sz w:val="20"/>
                <w:szCs w:val="20"/>
                <w:color w:val="auto"/>
              </w:rPr>
            </w:pPr>
            <w:r>
              <w:rPr>
                <w:rFonts w:ascii="Courier New" w:cs="Courier New" w:eastAsia="Courier New" w:hAnsi="Courier New"/>
                <w:sz w:val="16"/>
                <w:szCs w:val="16"/>
                <w:color w:val="auto"/>
              </w:rPr>
              <w:t>Class A Common Stock, 1,092,527 shares outstanding in 1995,</w:t>
            </w: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3"/>
        </w:trPr>
        <w:tc>
          <w:tcPr>
            <w:tcW w:w="6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2,181,054 in 1996...............................................</w:t>
            </w:r>
          </w:p>
        </w:tc>
        <w:tc>
          <w:tcPr>
            <w:tcW w:w="44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11</w:t>
            </w:r>
          </w:p>
        </w:tc>
        <w:tc>
          <w:tcPr>
            <w:tcW w:w="44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22</w:t>
            </w:r>
          </w:p>
        </w:tc>
      </w:tr>
      <w:tr>
        <w:trPr>
          <w:trHeight w:val="183"/>
        </w:trPr>
        <w:tc>
          <w:tcPr>
            <w:tcW w:w="6620" w:type="dxa"/>
            <w:vAlign w:val="bottom"/>
          </w:tcPr>
          <w:p>
            <w:pPr>
              <w:ind w:left="180"/>
              <w:spacing w:after="0"/>
              <w:rPr>
                <w:sz w:val="20"/>
                <w:szCs w:val="20"/>
                <w:color w:val="auto"/>
              </w:rPr>
            </w:pPr>
            <w:r>
              <w:rPr>
                <w:rFonts w:ascii="Courier New" w:cs="Courier New" w:eastAsia="Courier New" w:hAnsi="Courier New"/>
                <w:sz w:val="16"/>
                <w:szCs w:val="16"/>
                <w:color w:val="auto"/>
              </w:rPr>
              <w:t>Class B Common Stock, 12,658,818 shares outstanding in 1995,</w:t>
            </w: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3"/>
        </w:trPr>
        <w:tc>
          <w:tcPr>
            <w:tcW w:w="6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25,480,886 in 1996..............................................</w:t>
            </w:r>
          </w:p>
        </w:tc>
        <w:tc>
          <w:tcPr>
            <w:tcW w:w="44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127</w:t>
            </w:r>
          </w:p>
        </w:tc>
        <w:tc>
          <w:tcPr>
            <w:tcW w:w="44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255</w:t>
            </w:r>
          </w:p>
        </w:tc>
      </w:tr>
      <w:tr>
        <w:trPr>
          <w:trHeight w:val="183"/>
        </w:trPr>
        <w:tc>
          <w:tcPr>
            <w:tcW w:w="6620" w:type="dxa"/>
            <w:vAlign w:val="bottom"/>
          </w:tcPr>
          <w:p>
            <w:pPr>
              <w:ind w:left="180"/>
              <w:spacing w:after="0"/>
              <w:rPr>
                <w:sz w:val="20"/>
                <w:szCs w:val="20"/>
                <w:color w:val="auto"/>
              </w:rPr>
            </w:pPr>
            <w:r>
              <w:rPr>
                <w:rFonts w:ascii="Courier New" w:cs="Courier New" w:eastAsia="Courier New" w:hAnsi="Courier New"/>
                <w:sz w:val="16"/>
                <w:szCs w:val="16"/>
                <w:color w:val="auto"/>
              </w:rPr>
              <w:t>Class C Common Stock, 109,622 shares outstanding in 1995, 219,244</w:t>
            </w: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3"/>
        </w:trPr>
        <w:tc>
          <w:tcPr>
            <w:tcW w:w="6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in 1996.........................................................</w:t>
            </w:r>
          </w:p>
        </w:tc>
        <w:tc>
          <w:tcPr>
            <w:tcW w:w="44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w:t>
            </w:r>
          </w:p>
        </w:tc>
        <w:tc>
          <w:tcPr>
            <w:tcW w:w="44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w:t>
            </w:r>
          </w:p>
        </w:tc>
      </w:tr>
      <w:tr>
        <w:trPr>
          <w:trHeight w:val="183"/>
        </w:trPr>
        <w:tc>
          <w:tcPr>
            <w:tcW w:w="6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Class D Common Stock, 20,503 shares outstanding in 1995, 40,632 in</w:t>
            </w: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3"/>
        </w:trPr>
        <w:tc>
          <w:tcPr>
            <w:tcW w:w="6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1996............................................................</w:t>
            </w:r>
          </w:p>
        </w:tc>
        <w:tc>
          <w:tcPr>
            <w:tcW w:w="44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Capital in excess of par, net of deferred compensation of $941,000</w:t>
            </w: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3"/>
        </w:trPr>
        <w:tc>
          <w:tcPr>
            <w:tcW w:w="6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in 1995 and $516,000 in 1996....................................</w:t>
            </w:r>
          </w:p>
        </w:tc>
        <w:tc>
          <w:tcPr>
            <w:tcW w:w="44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89,881</w:t>
            </w:r>
          </w:p>
        </w:tc>
        <w:tc>
          <w:tcPr>
            <w:tcW w:w="44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92,366</w:t>
            </w:r>
          </w:p>
        </w:tc>
      </w:tr>
      <w:tr>
        <w:trPr>
          <w:trHeight w:val="183"/>
        </w:trPr>
        <w:tc>
          <w:tcPr>
            <w:tcW w:w="6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Retained earnings.................................................</w:t>
            </w:r>
          </w:p>
        </w:tc>
        <w:tc>
          <w:tcPr>
            <w:tcW w:w="44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207,680</w:t>
            </w:r>
          </w:p>
        </w:tc>
        <w:tc>
          <w:tcPr>
            <w:tcW w:w="44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223,181</w:t>
            </w:r>
          </w:p>
        </w:tc>
      </w:tr>
      <w:tr>
        <w:trPr>
          <w:trHeight w:val="183"/>
        </w:trPr>
        <w:tc>
          <w:tcPr>
            <w:tcW w:w="6620" w:type="dxa"/>
            <w:vAlign w:val="bottom"/>
          </w:tcPr>
          <w:p>
            <w:pPr>
              <w:spacing w:after="0"/>
              <w:rPr>
                <w:sz w:val="15"/>
                <w:szCs w:val="15"/>
                <w:color w:val="auto"/>
              </w:rPr>
            </w:pPr>
          </w:p>
        </w:tc>
        <w:tc>
          <w:tcPr>
            <w:tcW w:w="148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297,700</w:t>
            </w:r>
          </w:p>
        </w:tc>
        <w:tc>
          <w:tcPr>
            <w:tcW w:w="44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315,826</w:t>
            </w:r>
          </w:p>
        </w:tc>
      </w:tr>
      <w:tr>
        <w:trPr>
          <w:trHeight w:val="183"/>
        </w:trPr>
        <w:tc>
          <w:tcPr>
            <w:tcW w:w="6620" w:type="dxa"/>
            <w:vAlign w:val="bottom"/>
          </w:tcPr>
          <w:p>
            <w:pPr>
              <w:spacing w:after="0"/>
              <w:rPr>
                <w:sz w:val="15"/>
                <w:szCs w:val="15"/>
                <w:color w:val="auto"/>
              </w:rPr>
            </w:pPr>
          </w:p>
        </w:tc>
        <w:tc>
          <w:tcPr>
            <w:tcW w:w="148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620" w:type="dxa"/>
            <w:vAlign w:val="bottom"/>
          </w:tcPr>
          <w:p>
            <w:pPr>
              <w:spacing w:after="0"/>
              <w:rPr>
                <w:sz w:val="15"/>
                <w:szCs w:val="15"/>
                <w:color w:val="auto"/>
              </w:rPr>
            </w:pPr>
          </w:p>
        </w:tc>
        <w:tc>
          <w:tcPr>
            <w:tcW w:w="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748,051</w:t>
            </w:r>
          </w:p>
        </w:tc>
        <w:tc>
          <w:tcPr>
            <w:tcW w:w="44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767,942</w:t>
            </w:r>
          </w:p>
        </w:tc>
      </w:tr>
      <w:tr>
        <w:trPr>
          <w:trHeight w:val="183"/>
        </w:trPr>
        <w:tc>
          <w:tcPr>
            <w:tcW w:w="6620" w:type="dxa"/>
            <w:vAlign w:val="bottom"/>
          </w:tcPr>
          <w:p>
            <w:pPr>
              <w:spacing w:after="0"/>
              <w:rPr>
                <w:sz w:val="15"/>
                <w:szCs w:val="15"/>
                <w:color w:val="auto"/>
              </w:rPr>
            </w:pPr>
          </w:p>
        </w:tc>
        <w:tc>
          <w:tcPr>
            <w:tcW w:w="148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620" w:type="dxa"/>
            <w:vAlign w:val="bottom"/>
          </w:tcPr>
          <w:p>
            <w:pPr>
              <w:spacing w:after="0"/>
              <w:rPr>
                <w:sz w:val="15"/>
                <w:szCs w:val="15"/>
                <w:color w:val="auto"/>
              </w:rPr>
            </w:pPr>
          </w:p>
        </w:tc>
        <w:tc>
          <w:tcPr>
            <w:tcW w:w="148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5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See accompanying notes to these condensed consolidated financial statements.</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F-23</w:t>
      </w:r>
    </w:p>
    <w:p>
      <w:pPr>
        <w:sectPr>
          <w:pgSz w:w="11900" w:h="16838" w:orient="portrait"/>
          <w:cols w:equalWidth="0" w:num="1">
            <w:col w:w="10219"/>
          </w:cols>
          <w:pgMar w:left="240" w:top="481" w:right="1440" w:bottom="1440" w:gutter="0" w:footer="0" w:header="0"/>
        </w:sectPr>
      </w:pPr>
    </w:p>
    <w:bookmarkStart w:id="73" w:name="page74"/>
    <w:bookmarkEnd w:id="73"/>
    <w:p>
      <w:pPr>
        <w:ind w:left="2200"/>
        <w:spacing w:after="0"/>
        <w:rPr>
          <w:sz w:val="20"/>
          <w:szCs w:val="20"/>
          <w:color w:val="auto"/>
        </w:rPr>
      </w:pPr>
      <w:r>
        <w:rPr>
          <w:rFonts w:ascii="Courier New" w:cs="Courier New" w:eastAsia="Courier New" w:hAnsi="Courier New"/>
          <w:sz w:val="16"/>
          <w:szCs w:val="16"/>
          <w:color w:val="auto"/>
        </w:rPr>
        <w:t>UNIVERSAL HEALTH SERVICES, INC. AND SUBSIDIARIES</w:t>
      </w:r>
    </w:p>
    <w:p>
      <w:pPr>
        <w:spacing w:after="0" w:line="2"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CONSOLIDATED STATEMENTS OF CASH FLOWS</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(000S OMITTED--UNAUDITED)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00" w:type="dxa"/>
            <w:vAlign w:val="bottom"/>
            <w:gridSpan w:val="3"/>
          </w:tcPr>
          <w:p>
            <w:pPr>
              <w:jc w:val="right"/>
              <w:ind w:right="401"/>
              <w:spacing w:after="0"/>
              <w:rPr>
                <w:sz w:val="20"/>
                <w:szCs w:val="20"/>
                <w:color w:val="auto"/>
              </w:rPr>
            </w:pPr>
            <w:r>
              <w:rPr>
                <w:rFonts w:ascii="Courier New" w:cs="Courier New" w:eastAsia="Courier New" w:hAnsi="Courier New"/>
                <w:sz w:val="16"/>
                <w:szCs w:val="16"/>
                <w:color w:val="auto"/>
              </w:rPr>
              <w:t>THREE MONTHS</w:t>
            </w:r>
          </w:p>
        </w:tc>
      </w:tr>
      <w:tr>
        <w:trPr>
          <w:trHeight w:val="183"/>
        </w:trPr>
        <w:tc>
          <w:tcPr>
            <w:tcW w:w="6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00" w:type="dxa"/>
            <w:vAlign w:val="bottom"/>
            <w:gridSpan w:val="3"/>
          </w:tcPr>
          <w:p>
            <w:pPr>
              <w:ind w:left="80"/>
              <w:spacing w:after="0"/>
              <w:rPr>
                <w:sz w:val="20"/>
                <w:szCs w:val="20"/>
                <w:color w:val="auto"/>
              </w:rPr>
            </w:pPr>
            <w:r>
              <w:rPr>
                <w:rFonts w:ascii="Courier New" w:cs="Courier New" w:eastAsia="Courier New" w:hAnsi="Courier New"/>
                <w:sz w:val="16"/>
                <w:szCs w:val="16"/>
                <w:color w:val="auto"/>
              </w:rPr>
              <w:t>ENDED MARCH 31,</w:t>
            </w:r>
          </w:p>
        </w:tc>
      </w:tr>
      <w:tr>
        <w:trPr>
          <w:trHeight w:val="183"/>
        </w:trPr>
        <w:tc>
          <w:tcPr>
            <w:tcW w:w="6920" w:type="dxa"/>
            <w:vAlign w:val="bottom"/>
          </w:tcPr>
          <w:p>
            <w:pPr>
              <w:spacing w:after="0"/>
              <w:rPr>
                <w:sz w:val="15"/>
                <w:szCs w:val="15"/>
                <w:color w:val="auto"/>
              </w:rPr>
            </w:pPr>
          </w:p>
        </w:tc>
        <w:tc>
          <w:tcPr>
            <w:tcW w:w="2140" w:type="dxa"/>
            <w:vAlign w:val="bottom"/>
            <w:gridSpan w:val="4"/>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Courier New" w:cs="Courier New" w:eastAsia="Courier New" w:hAnsi="Courier New"/>
                <w:sz w:val="16"/>
                <w:szCs w:val="16"/>
                <w:color w:val="auto"/>
              </w:rPr>
              <w:t>1995</w:t>
            </w:r>
          </w:p>
        </w:tc>
        <w:tc>
          <w:tcPr>
            <w:tcW w:w="240" w:type="dxa"/>
            <w:vAlign w:val="bottom"/>
          </w:tcPr>
          <w:p>
            <w:pPr>
              <w:spacing w:after="0"/>
              <w:rPr>
                <w:sz w:val="15"/>
                <w:szCs w:val="15"/>
                <w:color w:val="auto"/>
              </w:rPr>
            </w:pP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1996</w:t>
            </w:r>
          </w:p>
        </w:tc>
      </w:tr>
      <w:tr>
        <w:trPr>
          <w:trHeight w:val="183"/>
        </w:trPr>
        <w:tc>
          <w:tcPr>
            <w:tcW w:w="6920" w:type="dxa"/>
            <w:vAlign w:val="bottom"/>
          </w:tcPr>
          <w:p>
            <w:pPr>
              <w:spacing w:after="0"/>
              <w:rPr>
                <w:sz w:val="15"/>
                <w:szCs w:val="15"/>
                <w:color w:val="auto"/>
              </w:rPr>
            </w:pP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692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3"/>
        </w:trPr>
        <w:tc>
          <w:tcPr>
            <w:tcW w:w="69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Net income...........................................................</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11,841</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$ 15,501</w:t>
            </w:r>
          </w:p>
        </w:tc>
      </w:tr>
      <w:tr>
        <w:trPr>
          <w:trHeight w:val="183"/>
        </w:trPr>
        <w:tc>
          <w:tcPr>
            <w:tcW w:w="69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Adjustments to reconcile net income to net cash provided by operating</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3"/>
        </w:trPr>
        <w:tc>
          <w:tcPr>
            <w:tcW w:w="6920" w:type="dxa"/>
            <w:vAlign w:val="bottom"/>
          </w:tcPr>
          <w:p>
            <w:pPr>
              <w:ind w:left="380"/>
              <w:spacing w:after="0"/>
              <w:rPr>
                <w:sz w:val="20"/>
                <w:szCs w:val="20"/>
                <w:color w:val="auto"/>
              </w:rPr>
            </w:pPr>
            <w:r>
              <w:rPr>
                <w:rFonts w:ascii="Courier New" w:cs="Courier New" w:eastAsia="Courier New" w:hAnsi="Courier New"/>
                <w:sz w:val="16"/>
                <w:szCs w:val="16"/>
                <w:color w:val="auto"/>
              </w:rPr>
              <w:t>activities:</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3"/>
        </w:trPr>
        <w:tc>
          <w:tcPr>
            <w:tcW w:w="69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Depreciation &amp; amortization..........................................</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11,310</w:t>
            </w:r>
          </w:p>
        </w:tc>
        <w:tc>
          <w:tcPr>
            <w:tcW w:w="2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14,783</w:t>
            </w:r>
          </w:p>
        </w:tc>
      </w:tr>
      <w:tr>
        <w:trPr>
          <w:trHeight w:val="183"/>
        </w:trPr>
        <w:tc>
          <w:tcPr>
            <w:tcW w:w="69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Provision for self-insurance reserves................................</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4,504</w:t>
            </w:r>
          </w:p>
        </w:tc>
        <w:tc>
          <w:tcPr>
            <w:tcW w:w="2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3,044</w:t>
            </w:r>
          </w:p>
        </w:tc>
      </w:tr>
      <w:tr>
        <w:trPr>
          <w:trHeight w:val="183"/>
        </w:trPr>
        <w:tc>
          <w:tcPr>
            <w:tcW w:w="69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Changes in assets &amp; liabilities, net of effects from acquisitions and</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3"/>
        </w:trPr>
        <w:tc>
          <w:tcPr>
            <w:tcW w:w="6920" w:type="dxa"/>
            <w:vAlign w:val="bottom"/>
          </w:tcPr>
          <w:p>
            <w:pPr>
              <w:ind w:left="380"/>
              <w:spacing w:after="0"/>
              <w:rPr>
                <w:sz w:val="20"/>
                <w:szCs w:val="20"/>
                <w:color w:val="auto"/>
              </w:rPr>
            </w:pPr>
            <w:r>
              <w:rPr>
                <w:rFonts w:ascii="Courier New" w:cs="Courier New" w:eastAsia="Courier New" w:hAnsi="Courier New"/>
                <w:sz w:val="16"/>
                <w:szCs w:val="16"/>
                <w:color w:val="auto"/>
              </w:rPr>
              <w:t>dispositions:</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3"/>
        </w:trPr>
        <w:tc>
          <w:tcPr>
            <w:tcW w:w="69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Accounts receivable..................................................</w:t>
            </w:r>
          </w:p>
        </w:tc>
        <w:tc>
          <w:tcPr>
            <w:tcW w:w="2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(5,693)</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(2,237)</w:t>
            </w:r>
          </w:p>
        </w:tc>
      </w:tr>
      <w:tr>
        <w:trPr>
          <w:trHeight w:val="183"/>
        </w:trPr>
        <w:tc>
          <w:tcPr>
            <w:tcW w:w="69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Accrued interest.....................................................</w:t>
            </w:r>
          </w:p>
        </w:tc>
        <w:tc>
          <w:tcPr>
            <w:tcW w:w="2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(1,891)</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(3,447)</w:t>
            </w:r>
          </w:p>
        </w:tc>
      </w:tr>
      <w:tr>
        <w:trPr>
          <w:trHeight w:val="183"/>
        </w:trPr>
        <w:tc>
          <w:tcPr>
            <w:tcW w:w="69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Accrued and deferred income taxes....................................</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7,262</w:t>
            </w:r>
          </w:p>
        </w:tc>
        <w:tc>
          <w:tcPr>
            <w:tcW w:w="2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8,117</w:t>
            </w:r>
          </w:p>
        </w:tc>
      </w:tr>
      <w:tr>
        <w:trPr>
          <w:trHeight w:val="183"/>
        </w:trPr>
        <w:tc>
          <w:tcPr>
            <w:tcW w:w="69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Other working capital accounts.......................................</w:t>
            </w:r>
          </w:p>
        </w:tc>
        <w:tc>
          <w:tcPr>
            <w:tcW w:w="2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(105)</w:t>
            </w:r>
          </w:p>
        </w:tc>
        <w:tc>
          <w:tcPr>
            <w:tcW w:w="2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3,810</w:t>
            </w:r>
          </w:p>
        </w:tc>
      </w:tr>
      <w:tr>
        <w:trPr>
          <w:trHeight w:val="183"/>
        </w:trPr>
        <w:tc>
          <w:tcPr>
            <w:tcW w:w="69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Other assets and deferred charges....................................</w:t>
            </w:r>
          </w:p>
        </w:tc>
        <w:tc>
          <w:tcPr>
            <w:tcW w:w="2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(2,085)</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(3,377)</w:t>
            </w:r>
          </w:p>
        </w:tc>
      </w:tr>
      <w:tr>
        <w:trPr>
          <w:trHeight w:val="183"/>
        </w:trPr>
        <w:tc>
          <w:tcPr>
            <w:tcW w:w="69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Other................................................................</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529</w:t>
            </w:r>
          </w:p>
        </w:tc>
        <w:tc>
          <w:tcPr>
            <w:tcW w:w="2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801</w:t>
            </w:r>
          </w:p>
        </w:tc>
      </w:tr>
      <w:tr>
        <w:trPr>
          <w:trHeight w:val="183"/>
        </w:trPr>
        <w:tc>
          <w:tcPr>
            <w:tcW w:w="69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Payments made in settlement of self-insurance claims.................</w:t>
            </w:r>
          </w:p>
        </w:tc>
        <w:tc>
          <w:tcPr>
            <w:tcW w:w="2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(1,566)</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(4,314)</w:t>
            </w:r>
          </w:p>
        </w:tc>
      </w:tr>
      <w:tr>
        <w:trPr>
          <w:trHeight w:val="183"/>
        </w:trPr>
        <w:tc>
          <w:tcPr>
            <w:tcW w:w="6920" w:type="dxa"/>
            <w:vAlign w:val="bottom"/>
          </w:tcPr>
          <w:p>
            <w:pPr>
              <w:spacing w:after="0"/>
              <w:rPr>
                <w:sz w:val="15"/>
                <w:szCs w:val="15"/>
                <w:color w:val="auto"/>
              </w:rPr>
            </w:pP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9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NET CASH PROVIDED BY OPERATING ACTIVITIES............................</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24,106</w:t>
            </w:r>
          </w:p>
        </w:tc>
        <w:tc>
          <w:tcPr>
            <w:tcW w:w="2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32,681</w:t>
            </w:r>
          </w:p>
        </w:tc>
      </w:tr>
      <w:tr>
        <w:trPr>
          <w:trHeight w:val="183"/>
        </w:trPr>
        <w:tc>
          <w:tcPr>
            <w:tcW w:w="6920" w:type="dxa"/>
            <w:vAlign w:val="bottom"/>
          </w:tcPr>
          <w:p>
            <w:pPr>
              <w:spacing w:after="0"/>
              <w:rPr>
                <w:sz w:val="15"/>
                <w:szCs w:val="15"/>
                <w:color w:val="auto"/>
              </w:rPr>
            </w:pP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92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3"/>
        </w:trPr>
        <w:tc>
          <w:tcPr>
            <w:tcW w:w="69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Property and equipment additions, net................................</w:t>
            </w:r>
          </w:p>
        </w:tc>
        <w:tc>
          <w:tcPr>
            <w:tcW w:w="2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6"/>
              </w:rPr>
              <w:t>(13,286)</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(25,729)</w:t>
            </w:r>
          </w:p>
        </w:tc>
      </w:tr>
      <w:tr>
        <w:trPr>
          <w:trHeight w:val="183"/>
        </w:trPr>
        <w:tc>
          <w:tcPr>
            <w:tcW w:w="6920" w:type="dxa"/>
            <w:vAlign w:val="bottom"/>
          </w:tcPr>
          <w:p>
            <w:pPr>
              <w:spacing w:after="0"/>
              <w:rPr>
                <w:sz w:val="15"/>
                <w:szCs w:val="15"/>
                <w:color w:val="auto"/>
              </w:rPr>
            </w:pP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9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NET CASH USED IN INVESTING ACTIVITIES................................</w:t>
            </w:r>
          </w:p>
        </w:tc>
        <w:tc>
          <w:tcPr>
            <w:tcW w:w="2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6"/>
              </w:rPr>
              <w:t>(13,286)</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(25,729)</w:t>
            </w:r>
          </w:p>
        </w:tc>
      </w:tr>
      <w:tr>
        <w:trPr>
          <w:trHeight w:val="183"/>
        </w:trPr>
        <w:tc>
          <w:tcPr>
            <w:tcW w:w="6920" w:type="dxa"/>
            <w:vAlign w:val="bottom"/>
          </w:tcPr>
          <w:p>
            <w:pPr>
              <w:spacing w:after="0"/>
              <w:rPr>
                <w:sz w:val="15"/>
                <w:szCs w:val="15"/>
                <w:color w:val="auto"/>
              </w:rPr>
            </w:pP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920" w:type="dxa"/>
            <w:vAlign w:val="bottom"/>
          </w:tcPr>
          <w:p>
            <w:pPr>
              <w:spacing w:after="0"/>
              <w:rPr>
                <w:sz w:val="20"/>
                <w:szCs w:val="20"/>
                <w:color w:val="auto"/>
              </w:rPr>
            </w:pPr>
            <w:r>
              <w:rPr>
                <w:rFonts w:ascii="Courier New" w:cs="Courier New" w:eastAsia="Courier New" w:hAnsi="Courier New"/>
                <w:sz w:val="16"/>
                <w:szCs w:val="16"/>
                <w:color w:val="auto"/>
              </w:rPr>
              <w:t>CASH FLOWS AND FINANCING ACTIVITIES:</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3"/>
        </w:trPr>
        <w:tc>
          <w:tcPr>
            <w:tcW w:w="69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Reduction of long-term debt..........................................</w:t>
            </w:r>
          </w:p>
        </w:tc>
        <w:tc>
          <w:tcPr>
            <w:tcW w:w="2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6"/>
              </w:rPr>
              <w:t>(10,148)</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(6,830)</w:t>
            </w:r>
          </w:p>
        </w:tc>
      </w:tr>
      <w:tr>
        <w:trPr>
          <w:trHeight w:val="183"/>
        </w:trPr>
        <w:tc>
          <w:tcPr>
            <w:tcW w:w="69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Issuance of common stock.............................................</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380</w:t>
            </w:r>
          </w:p>
        </w:tc>
        <w:tc>
          <w:tcPr>
            <w:tcW w:w="2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606</w:t>
            </w:r>
          </w:p>
        </w:tc>
      </w:tr>
      <w:tr>
        <w:trPr>
          <w:trHeight w:val="183"/>
        </w:trPr>
        <w:tc>
          <w:tcPr>
            <w:tcW w:w="6920" w:type="dxa"/>
            <w:vAlign w:val="bottom"/>
          </w:tcPr>
          <w:p>
            <w:pPr>
              <w:spacing w:after="0"/>
              <w:rPr>
                <w:sz w:val="15"/>
                <w:szCs w:val="15"/>
                <w:color w:val="auto"/>
              </w:rPr>
            </w:pP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9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NET CASH USED IN FINANCING ACTIVITIES................................</w:t>
            </w:r>
          </w:p>
        </w:tc>
        <w:tc>
          <w:tcPr>
            <w:tcW w:w="2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(9,768)</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(6,224)</w:t>
            </w:r>
          </w:p>
        </w:tc>
      </w:tr>
      <w:tr>
        <w:trPr>
          <w:trHeight w:val="183"/>
        </w:trPr>
        <w:tc>
          <w:tcPr>
            <w:tcW w:w="6920" w:type="dxa"/>
            <w:vAlign w:val="bottom"/>
          </w:tcPr>
          <w:p>
            <w:pPr>
              <w:spacing w:after="0"/>
              <w:rPr>
                <w:sz w:val="15"/>
                <w:szCs w:val="15"/>
                <w:color w:val="auto"/>
              </w:rPr>
            </w:pP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920" w:type="dxa"/>
            <w:vAlign w:val="bottom"/>
          </w:tcPr>
          <w:p>
            <w:pPr>
              <w:jc w:val="right"/>
              <w:ind w:right="81"/>
              <w:spacing w:after="0"/>
              <w:rPr>
                <w:sz w:val="20"/>
                <w:szCs w:val="20"/>
                <w:color w:val="auto"/>
              </w:rPr>
            </w:pPr>
            <w:r>
              <w:rPr>
                <w:rFonts w:ascii="Courier New" w:cs="Courier New" w:eastAsia="Courier New" w:hAnsi="Courier New"/>
                <w:sz w:val="16"/>
                <w:szCs w:val="16"/>
                <w:color w:val="auto"/>
                <w:w w:val="98"/>
              </w:rPr>
              <w:t>INCREASE IN CASH AND CASH EQUIVALENTS..................................</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1,052</w:t>
            </w:r>
          </w:p>
        </w:tc>
        <w:tc>
          <w:tcPr>
            <w:tcW w:w="2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728</w:t>
            </w:r>
          </w:p>
        </w:tc>
      </w:tr>
      <w:tr>
        <w:trPr>
          <w:trHeight w:val="183"/>
        </w:trPr>
        <w:tc>
          <w:tcPr>
            <w:tcW w:w="6920" w:type="dxa"/>
            <w:vAlign w:val="bottom"/>
          </w:tcPr>
          <w:p>
            <w:pPr>
              <w:jc w:val="right"/>
              <w:ind w:right="81"/>
              <w:spacing w:after="0"/>
              <w:rPr>
                <w:sz w:val="20"/>
                <w:szCs w:val="20"/>
                <w:color w:val="auto"/>
              </w:rPr>
            </w:pPr>
            <w:r>
              <w:rPr>
                <w:rFonts w:ascii="Courier New" w:cs="Courier New" w:eastAsia="Courier New" w:hAnsi="Courier New"/>
                <w:sz w:val="16"/>
                <w:szCs w:val="16"/>
                <w:color w:val="auto"/>
                <w:w w:val="98"/>
              </w:rPr>
              <w:t>CASH AND CASH EQUIVALENTS, BEGINNING OF PERIOD.........................</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780</w:t>
            </w:r>
          </w:p>
        </w:tc>
        <w:tc>
          <w:tcPr>
            <w:tcW w:w="2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34</w:t>
            </w:r>
          </w:p>
        </w:tc>
      </w:tr>
      <w:tr>
        <w:trPr>
          <w:trHeight w:val="183"/>
        </w:trPr>
        <w:tc>
          <w:tcPr>
            <w:tcW w:w="6920" w:type="dxa"/>
            <w:vAlign w:val="bottom"/>
          </w:tcPr>
          <w:p>
            <w:pPr>
              <w:spacing w:after="0"/>
              <w:rPr>
                <w:sz w:val="15"/>
                <w:szCs w:val="15"/>
                <w:color w:val="auto"/>
              </w:rPr>
            </w:pP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920" w:type="dxa"/>
            <w:vAlign w:val="bottom"/>
          </w:tcPr>
          <w:p>
            <w:pPr>
              <w:jc w:val="right"/>
              <w:ind w:right="81"/>
              <w:spacing w:after="0"/>
              <w:rPr>
                <w:sz w:val="20"/>
                <w:szCs w:val="20"/>
                <w:color w:val="auto"/>
              </w:rPr>
            </w:pPr>
            <w:r>
              <w:rPr>
                <w:rFonts w:ascii="Courier New" w:cs="Courier New" w:eastAsia="Courier New" w:hAnsi="Courier New"/>
                <w:sz w:val="16"/>
                <w:szCs w:val="16"/>
                <w:color w:val="auto"/>
                <w:w w:val="98"/>
              </w:rPr>
              <w:t>CASH AND CASH EQUIVALENTS, END OF PERIOD...............................</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1,832</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762</w:t>
            </w:r>
          </w:p>
        </w:tc>
      </w:tr>
      <w:tr>
        <w:trPr>
          <w:trHeight w:val="183"/>
        </w:trPr>
        <w:tc>
          <w:tcPr>
            <w:tcW w:w="6920" w:type="dxa"/>
            <w:vAlign w:val="bottom"/>
          </w:tcPr>
          <w:p>
            <w:pPr>
              <w:spacing w:after="0"/>
              <w:rPr>
                <w:sz w:val="15"/>
                <w:szCs w:val="15"/>
                <w:color w:val="auto"/>
              </w:rPr>
            </w:pP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920" w:type="dxa"/>
            <w:vAlign w:val="bottom"/>
          </w:tcPr>
          <w:p>
            <w:pPr>
              <w:spacing w:after="0"/>
              <w:rPr>
                <w:sz w:val="15"/>
                <w:szCs w:val="15"/>
                <w:color w:val="auto"/>
              </w:rPr>
            </w:pP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920" w:type="dxa"/>
            <w:vAlign w:val="bottom"/>
          </w:tcPr>
          <w:p>
            <w:pPr>
              <w:spacing w:after="0"/>
              <w:rPr>
                <w:sz w:val="20"/>
                <w:szCs w:val="20"/>
                <w:color w:val="auto"/>
              </w:rPr>
            </w:pPr>
            <w:r>
              <w:rPr>
                <w:rFonts w:ascii="Courier New" w:cs="Courier New" w:eastAsia="Courier New" w:hAnsi="Courier New"/>
                <w:sz w:val="16"/>
                <w:szCs w:val="16"/>
                <w:color w:val="auto"/>
              </w:rPr>
              <w:t>SUPPLEMENTAL DISCLOSURES OF CASH FLOW INFORMATION:</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3"/>
        </w:trPr>
        <w:tc>
          <w:tcPr>
            <w:tcW w:w="69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Interest paid........................................................</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3,505</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8,095</w:t>
            </w:r>
          </w:p>
        </w:tc>
      </w:tr>
      <w:tr>
        <w:trPr>
          <w:trHeight w:val="183"/>
        </w:trPr>
        <w:tc>
          <w:tcPr>
            <w:tcW w:w="6920" w:type="dxa"/>
            <w:vAlign w:val="bottom"/>
          </w:tcPr>
          <w:p>
            <w:pPr>
              <w:spacing w:after="0"/>
              <w:rPr>
                <w:sz w:val="15"/>
                <w:szCs w:val="15"/>
                <w:color w:val="auto"/>
              </w:rPr>
            </w:pP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920" w:type="dxa"/>
            <w:vAlign w:val="bottom"/>
          </w:tcPr>
          <w:p>
            <w:pPr>
              <w:spacing w:after="0"/>
              <w:rPr>
                <w:sz w:val="15"/>
                <w:szCs w:val="15"/>
                <w:color w:val="auto"/>
              </w:rPr>
            </w:pP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9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Income taxes paid, net of refunds....................................</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241</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782</w:t>
            </w:r>
          </w:p>
        </w:tc>
      </w:tr>
      <w:tr>
        <w:trPr>
          <w:trHeight w:val="183"/>
        </w:trPr>
        <w:tc>
          <w:tcPr>
            <w:tcW w:w="6920" w:type="dxa"/>
            <w:vAlign w:val="bottom"/>
          </w:tcPr>
          <w:p>
            <w:pPr>
              <w:spacing w:after="0"/>
              <w:rPr>
                <w:sz w:val="15"/>
                <w:szCs w:val="15"/>
                <w:color w:val="auto"/>
              </w:rPr>
            </w:pP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920" w:type="dxa"/>
            <w:vAlign w:val="bottom"/>
          </w:tcPr>
          <w:p>
            <w:pPr>
              <w:spacing w:after="0"/>
              <w:rPr>
                <w:sz w:val="15"/>
                <w:szCs w:val="15"/>
                <w:color w:val="auto"/>
              </w:rPr>
            </w:pP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369"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See accompanying notes to these condensed consolidated financial statements.</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F-24</w:t>
      </w:r>
    </w:p>
    <w:p>
      <w:pPr>
        <w:sectPr>
          <w:pgSz w:w="11900" w:h="16838" w:orient="portrait"/>
          <w:cols w:equalWidth="0" w:num="1">
            <w:col w:w="10219"/>
          </w:cols>
          <w:pgMar w:left="240" w:top="481" w:right="1440" w:bottom="1440" w:gutter="0" w:footer="0" w:header="0"/>
        </w:sectPr>
      </w:pPr>
    </w:p>
    <w:bookmarkStart w:id="74" w:name="page75"/>
    <w:bookmarkEnd w:id="74"/>
    <w:p>
      <w:pPr>
        <w:jc w:val="center"/>
        <w:ind w:right="2599"/>
        <w:spacing w:after="0"/>
        <w:rPr>
          <w:sz w:val="20"/>
          <w:szCs w:val="20"/>
          <w:color w:val="auto"/>
        </w:rPr>
      </w:pPr>
      <w:r>
        <w:rPr>
          <w:rFonts w:ascii="Courier New" w:cs="Courier New" w:eastAsia="Courier New" w:hAnsi="Courier New"/>
          <w:sz w:val="16"/>
          <w:szCs w:val="16"/>
          <w:color w:val="auto"/>
        </w:rPr>
        <w:t>UNIVERSAL HEALTH SERVICES, INC. AND SUBSIDIARIES</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NOTES TO CONDENSED CONSOLIDATED FINANCIAL STATEMENTS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 GENERAL</w:t>
      </w:r>
    </w:p>
    <w:p>
      <w:pPr>
        <w:spacing w:after="0" w:line="188"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The consolidated financial statements included herein have been prepared by the Company, without audit, pursuant to the rules and regulations of the Securities and Exchange Commission and reflect all adjustments which, in the opinion of the Company, are necessary to fairly present results for the interim periods. Certain information and footnote disclosures normally included in financial statements prepared in accordance with generally accepted accounting principles have been condensed or omitted pursuant to such rules and regulations, although the Company believes that the accompanying disclosures are adequate to make the information presented not misleading. It is suggested that these financial statements be read in conjunction with the financial statements, accounting policies and the notes thereto included in the Company's Annual Report on Form 10-K for the year ended December 31, 1995.</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 EARNINGS PER SHARE</w:t>
      </w:r>
    </w:p>
    <w:p>
      <w:pPr>
        <w:spacing w:after="0" w:line="188" w:lineRule="exact"/>
        <w:rPr>
          <w:sz w:val="20"/>
          <w:szCs w:val="20"/>
          <w:color w:val="auto"/>
        </w:rPr>
      </w:pPr>
    </w:p>
    <w:p>
      <w:pPr>
        <w:jc w:val="both"/>
        <w:ind w:right="2599" w:firstLine="382"/>
        <w:spacing w:after="0" w:line="271" w:lineRule="auto"/>
        <w:rPr>
          <w:sz w:val="20"/>
          <w:szCs w:val="20"/>
          <w:color w:val="auto"/>
        </w:rPr>
      </w:pPr>
      <w:r>
        <w:rPr>
          <w:rFonts w:ascii="Courier New" w:cs="Courier New" w:eastAsia="Courier New" w:hAnsi="Courier New"/>
          <w:sz w:val="15"/>
          <w:szCs w:val="15"/>
          <w:color w:val="auto"/>
        </w:rPr>
        <w:t>Earnings per share are based on the weighted average number of common shares outstanding during the year adjusted to give effect to common stock equivalents.</w:t>
      </w:r>
    </w:p>
    <w:p>
      <w:pPr>
        <w:spacing w:after="0" w:line="166" w:lineRule="exact"/>
        <w:rPr>
          <w:sz w:val="20"/>
          <w:szCs w:val="20"/>
          <w:color w:val="auto"/>
        </w:rPr>
      </w:pPr>
    </w:p>
    <w:p>
      <w:pPr>
        <w:ind w:right="2599" w:firstLine="382"/>
        <w:spacing w:after="0" w:line="260" w:lineRule="auto"/>
        <w:rPr>
          <w:sz w:val="20"/>
          <w:szCs w:val="20"/>
          <w:color w:val="auto"/>
        </w:rPr>
      </w:pPr>
      <w:r>
        <w:rPr>
          <w:rFonts w:ascii="Courier New" w:cs="Courier New" w:eastAsia="Courier New" w:hAnsi="Courier New"/>
          <w:sz w:val="15"/>
          <w:szCs w:val="15"/>
          <w:color w:val="auto"/>
        </w:rPr>
        <w:t>In April 1996, the Company declared a two for one stock split in the form of a 100% stock dividend payable on May 17, 1996 to shareholders of record as of May 6, 1996. All classes of common stock will participate on a pro rata basis. The weighted average number of common shares and equivalents and earnings per common and common equivalent share for the three months ended March 31, 1996 and 1995 have been adjusted accordingly, to reflect the two for one stock split. The number of Class A, B, C and D shares outstanding as of April 30, 1996 and March 31, 1996 have also been adjusted to reflect the two for one stock split.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 UNUSUAL ITEMS</w:t>
      </w:r>
    </w:p>
    <w:p>
      <w:pPr>
        <w:spacing w:after="0" w:line="188"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Included in net revenues for the three month periods ended March 31, 1996 and 1995 was $1.8 million and $3.8 million, respectively, of additional revenues received from special Medicaid reimbursements received by two of the Company's acute care facilities which participate in the Texas Medical Assistance Program. Upon meeting certain conditions of participation and serving a disproportionally high share of the state's low income patients, the hospitals became eligible and received additional reimbursement from the state's disproportionate share hospital fund. These programs are scheduled to terminate in August, 1996 and the Company cannot predict whether these programs will continue beyond the scheduled termination date.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 OTHER LIABILITIES</w:t>
      </w:r>
    </w:p>
    <w:p>
      <w:pPr>
        <w:spacing w:after="0" w:line="188" w:lineRule="exact"/>
        <w:rPr>
          <w:sz w:val="20"/>
          <w:szCs w:val="20"/>
          <w:color w:val="auto"/>
        </w:rPr>
      </w:pPr>
    </w:p>
    <w:p>
      <w:pPr>
        <w:ind w:right="2679" w:firstLine="382"/>
        <w:spacing w:after="0" w:line="271" w:lineRule="auto"/>
        <w:rPr>
          <w:sz w:val="20"/>
          <w:szCs w:val="20"/>
          <w:color w:val="auto"/>
        </w:rPr>
      </w:pPr>
      <w:r>
        <w:rPr>
          <w:rFonts w:ascii="Courier New" w:cs="Courier New" w:eastAsia="Courier New" w:hAnsi="Courier New"/>
          <w:sz w:val="15"/>
          <w:szCs w:val="15"/>
          <w:color w:val="auto"/>
        </w:rPr>
        <w:t>Other noncurrent liabilities include the long-term portion of the Company's professional and general liability and workers' compensation reserves.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 COMMITMENT AND CONTINGENCIES</w:t>
      </w:r>
    </w:p>
    <w:p>
      <w:pPr>
        <w:spacing w:after="0" w:line="188" w:lineRule="exact"/>
        <w:rPr>
          <w:sz w:val="20"/>
          <w:szCs w:val="20"/>
          <w:color w:val="auto"/>
        </w:rPr>
      </w:pPr>
    </w:p>
    <w:p>
      <w:pPr>
        <w:ind w:right="2979" w:firstLine="382"/>
        <w:spacing w:after="0" w:line="265" w:lineRule="auto"/>
        <w:rPr>
          <w:sz w:val="20"/>
          <w:szCs w:val="20"/>
          <w:color w:val="auto"/>
        </w:rPr>
      </w:pPr>
      <w:r>
        <w:rPr>
          <w:rFonts w:ascii="Courier New" w:cs="Courier New" w:eastAsia="Courier New" w:hAnsi="Courier New"/>
          <w:sz w:val="15"/>
          <w:szCs w:val="15"/>
          <w:color w:val="auto"/>
        </w:rPr>
        <w:t>Under certain agreements, the Company has committed or guaranteed an aggregate of $22,000,000 related principally to the Company's self-insurance programs and as support for various debt instruments and loan guarantees.</w:t>
      </w:r>
    </w:p>
    <w:p>
      <w:pPr>
        <w:spacing w:after="0" w:line="16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F-25</w:t>
      </w:r>
    </w:p>
    <w:p>
      <w:pPr>
        <w:sectPr>
          <w:pgSz w:w="11900" w:h="16838" w:orient="portrait"/>
          <w:cols w:equalWidth="0" w:num="1">
            <w:col w:w="10219"/>
          </w:cols>
          <w:pgMar w:left="240" w:top="481" w:right="1440" w:bottom="1440" w:gutter="0" w:footer="0" w:header="0"/>
        </w:sectPr>
      </w:pPr>
    </w:p>
    <w:bookmarkStart w:id="75" w:name="page76"/>
    <w:bookmarkEnd w:id="75"/>
    <w:p>
      <w:pPr>
        <w:ind w:left="1520"/>
        <w:spacing w:after="0"/>
        <w:rPr>
          <w:sz w:val="20"/>
          <w:szCs w:val="20"/>
          <w:color w:val="auto"/>
        </w:rPr>
      </w:pPr>
      <w:r>
        <w:rPr>
          <w:rFonts w:ascii="Courier New" w:cs="Courier New" w:eastAsia="Courier New" w:hAnsi="Courier New"/>
          <w:sz w:val="16"/>
          <w:szCs w:val="16"/>
          <w:color w:val="auto"/>
        </w:rPr>
        <w:t>UNIVERSAL HEALTH SERVICES, INC. AND SUBSIDIARIES</w:t>
      </w:r>
    </w:p>
    <w:p>
      <w:pPr>
        <w:spacing w:after="0" w:line="2"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NOTES TO CONDENSED CONSOLIDATED FINANCIAL STATEMENTS--(CONTINUED)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 SUBSEQUENT EVENTS</w:t>
      </w:r>
    </w:p>
    <w:p>
      <w:pPr>
        <w:spacing w:after="0" w:line="188" w:lineRule="exact"/>
        <w:rPr>
          <w:sz w:val="20"/>
          <w:szCs w:val="20"/>
          <w:color w:val="auto"/>
        </w:rPr>
      </w:pPr>
    </w:p>
    <w:p>
      <w:pPr>
        <w:ind w:right="2599" w:firstLine="382"/>
        <w:spacing w:after="0" w:line="259" w:lineRule="auto"/>
        <w:rPr>
          <w:sz w:val="20"/>
          <w:szCs w:val="20"/>
          <w:color w:val="auto"/>
        </w:rPr>
      </w:pPr>
      <w:r>
        <w:rPr>
          <w:rFonts w:ascii="Courier New" w:cs="Courier New" w:eastAsia="Courier New" w:hAnsi="Courier New"/>
          <w:sz w:val="15"/>
          <w:szCs w:val="15"/>
          <w:color w:val="auto"/>
        </w:rPr>
        <w:t>Subsequent to the end of the 1996 first quarter, the Company executed a purchase agreement to acquire four behavioral health care hospitals located in Pennsylvania and seven contracts to manage behavioral health programs. This purchase transaction, which is subject to regulatory approval, is expected to be completed in June, 1996. The total purchase price for the acquisition of these hospitals and management contracts is $36.5 million in cash for the operations and the property, plant and equipment and up to an additional $5 million which is contingent upon the future operating performance of the acquired assets. In May of 1996, the Company advanced $36.5 million to the seller pursuant to a term note, which is secured by the stock of the subsidiaries to be acquired by the Company. The term note matures upon the earlier of the granting of regulatory approval and the closing of the purchase transaction, or October 31, 1996. Also in connection with this transaction, the Company entered into a $7 million loan agreement which is secured by the stock of the subsidiaries to be acquired by the Company. The $7 million note, the term of which may be extended upon closing of the above mentioned purchase transaction, is scheduled to mature upon the earlier of the granting of regulatory approval and the closing of the purchase transaction described above, or October 31, 1996.</w:t>
      </w:r>
    </w:p>
    <w:p>
      <w:pPr>
        <w:spacing w:after="0" w:line="367"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In May, 1996 the Company completed the acquisition of Northwest Texas Healthcare System located in Amarillo, Texas for approximately $125 million in cash and additional amounts payable to the seller based upon performance of the facility for a seven year period after the closing. Northwest Texas Healthcare System consists of a 360 licensed bed full service acute care hospital and free standing behavioral health hospital, two urgent care clinics and other operations.</w:t>
      </w:r>
    </w:p>
    <w:p>
      <w:pPr>
        <w:spacing w:after="0" w:line="188" w:lineRule="exact"/>
        <w:rPr>
          <w:sz w:val="20"/>
          <w:szCs w:val="20"/>
          <w:color w:val="auto"/>
        </w:rPr>
      </w:pPr>
    </w:p>
    <w:p>
      <w:pPr>
        <w:ind w:right="2979" w:firstLine="382"/>
        <w:spacing w:after="0" w:line="239" w:lineRule="auto"/>
        <w:rPr>
          <w:sz w:val="20"/>
          <w:szCs w:val="20"/>
          <w:color w:val="auto"/>
        </w:rPr>
      </w:pPr>
      <w:r>
        <w:rPr>
          <w:rFonts w:ascii="Courier New" w:cs="Courier New" w:eastAsia="Courier New" w:hAnsi="Courier New"/>
          <w:sz w:val="16"/>
          <w:szCs w:val="16"/>
          <w:color w:val="auto"/>
        </w:rPr>
        <w:t>The funds used to finance the above mentioned transactions were borrowed under the Company's revolving credit facility.</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F-26</w:t>
      </w:r>
    </w:p>
    <w:p>
      <w:pPr>
        <w:sectPr>
          <w:pgSz w:w="11900" w:h="16838" w:orient="portrait"/>
          <w:cols w:equalWidth="0" w:num="1">
            <w:col w:w="10219"/>
          </w:cols>
          <w:pgMar w:left="240" w:top="481" w:right="1440" w:bottom="1440" w:gutter="0" w:footer="0" w:header="0"/>
        </w:sectPr>
      </w:pPr>
    </w:p>
    <w:bookmarkStart w:id="76" w:name="page77"/>
    <w:bookmarkEnd w:id="76"/>
    <w:p>
      <w:pPr>
        <w:ind w:left="2480"/>
        <w:spacing w:after="0"/>
        <w:rPr>
          <w:sz w:val="20"/>
          <w:szCs w:val="20"/>
          <w:color w:val="auto"/>
        </w:rPr>
      </w:pPr>
      <w:r>
        <w:rPr>
          <w:rFonts w:ascii="Courier New" w:cs="Courier New" w:eastAsia="Courier New" w:hAnsi="Courier New"/>
          <w:sz w:val="16"/>
          <w:szCs w:val="16"/>
          <w:color w:val="auto"/>
        </w:rPr>
        <w:t>INDEPENDENT AUDITORS' REPORT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Board of Managers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Amarillo Hospital District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Amarillo, Texas</w:t>
      </w:r>
    </w:p>
    <w:p>
      <w:pPr>
        <w:spacing w:after="0" w:line="188"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We have audited the accompanying balance sheet of Northwest Texas Healthcare System (the Hospital), an operation of the Amarillo Hospital District, as of September 30, 1995, and the related statements of revenue and expenses, changes in fund balances and cash flows for the year then ended. These financial statements are the responsibility of the Hospital's management. Our responsibility is to express an opinion on these financial statements based on our audit.</w:t>
      </w:r>
    </w:p>
    <w:p>
      <w:pPr>
        <w:spacing w:after="0" w:line="188" w:lineRule="exact"/>
        <w:rPr>
          <w:sz w:val="20"/>
          <w:szCs w:val="20"/>
          <w:color w:val="auto"/>
        </w:rPr>
      </w:pPr>
    </w:p>
    <w:p>
      <w:pPr>
        <w:ind w:right="2599" w:firstLine="382"/>
        <w:spacing w:after="0" w:line="260" w:lineRule="auto"/>
        <w:rPr>
          <w:sz w:val="20"/>
          <w:szCs w:val="20"/>
          <w:color w:val="auto"/>
        </w:rPr>
      </w:pPr>
      <w:r>
        <w:rPr>
          <w:rFonts w:ascii="Courier New" w:cs="Courier New" w:eastAsia="Courier New" w:hAnsi="Courier New"/>
          <w:sz w:val="15"/>
          <w:szCs w:val="15"/>
          <w:color w:val="auto"/>
        </w:rPr>
        <w:t>We conducted our audit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78" w:lineRule="exact"/>
        <w:rPr>
          <w:sz w:val="20"/>
          <w:szCs w:val="20"/>
          <w:color w:val="auto"/>
        </w:rPr>
      </w:pPr>
    </w:p>
    <w:p>
      <w:pPr>
        <w:ind w:right="2879" w:firstLine="382"/>
        <w:spacing w:after="0" w:line="241" w:lineRule="auto"/>
        <w:rPr>
          <w:sz w:val="20"/>
          <w:szCs w:val="20"/>
          <w:color w:val="auto"/>
        </w:rPr>
      </w:pPr>
      <w:r>
        <w:rPr>
          <w:rFonts w:ascii="Courier New" w:cs="Courier New" w:eastAsia="Courier New" w:hAnsi="Courier New"/>
          <w:sz w:val="16"/>
          <w:szCs w:val="16"/>
          <w:color w:val="auto"/>
        </w:rPr>
        <w:t>As discussed in the Summary of Significant Accounting Policies, the financial statements of the Hospital are intended to present the financial position and results of operations and cash flows of only that portion of the financial reporting entity of the Amarillo Hospital District that are attributable to the transactions of the Hospital.</w:t>
      </w:r>
    </w:p>
    <w:p>
      <w:pPr>
        <w:spacing w:after="0" w:line="190" w:lineRule="exact"/>
        <w:rPr>
          <w:sz w:val="20"/>
          <w:szCs w:val="20"/>
          <w:color w:val="auto"/>
        </w:rPr>
      </w:pPr>
    </w:p>
    <w:p>
      <w:pPr>
        <w:ind w:right="2779" w:firstLine="382"/>
        <w:spacing w:after="0" w:line="263" w:lineRule="auto"/>
        <w:rPr>
          <w:sz w:val="20"/>
          <w:szCs w:val="20"/>
          <w:color w:val="auto"/>
        </w:rPr>
      </w:pPr>
      <w:r>
        <w:rPr>
          <w:rFonts w:ascii="Courier New" w:cs="Courier New" w:eastAsia="Courier New" w:hAnsi="Courier New"/>
          <w:sz w:val="15"/>
          <w:szCs w:val="15"/>
          <w:color w:val="auto"/>
        </w:rPr>
        <w:t>In our opinion, the 1995 financial statements referred to above present fairly, in all material respects, the financial position of the Hospital as of September 30, 1995, and the results of its operations and cash flows for the year then ended in conformity with generally accepted accounting principles.</w:t>
      </w:r>
    </w:p>
    <w:p>
      <w:pPr>
        <w:spacing w:after="0" w:line="172" w:lineRule="exact"/>
        <w:rPr>
          <w:sz w:val="20"/>
          <w:szCs w:val="20"/>
          <w:color w:val="auto"/>
        </w:rPr>
      </w:pPr>
    </w:p>
    <w:p>
      <w:pPr>
        <w:ind w:right="2599" w:firstLine="382"/>
        <w:spacing w:after="0" w:line="241" w:lineRule="auto"/>
        <w:rPr>
          <w:sz w:val="20"/>
          <w:szCs w:val="20"/>
          <w:color w:val="auto"/>
        </w:rPr>
      </w:pPr>
      <w:r>
        <w:rPr>
          <w:rFonts w:ascii="Courier New" w:cs="Courier New" w:eastAsia="Courier New" w:hAnsi="Courier New"/>
          <w:sz w:val="16"/>
          <w:szCs w:val="16"/>
          <w:color w:val="auto"/>
        </w:rPr>
        <w:t>As discussed in the Summary of Significant Accounting Policies, the Hospital changed its method of accounting for investment securities as of September 30, 1994 to adopt the provisions of the Financial Accounting Standards Board's Statement of Financial Accounting Standards No. 115, Accounting for Certain Investments in Debt and Equity Securities.</w:t>
      </w:r>
    </w:p>
    <w:p>
      <w:pPr>
        <w:spacing w:after="0" w:line="200" w:lineRule="exact"/>
        <w:rPr>
          <w:sz w:val="20"/>
          <w:szCs w:val="20"/>
          <w:color w:val="auto"/>
        </w:rPr>
      </w:pPr>
    </w:p>
    <w:p>
      <w:pPr>
        <w:spacing w:after="0" w:line="354"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6"/>
          <w:szCs w:val="16"/>
          <w:color w:val="auto"/>
        </w:rPr>
        <w:t>CLIFTON, GUNDERSON &amp; CO.</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Amarillo, Texas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18, 1995</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F-27</w:t>
      </w:r>
    </w:p>
    <w:p>
      <w:pPr>
        <w:sectPr>
          <w:pgSz w:w="11900" w:h="16838" w:orient="portrait"/>
          <w:cols w:equalWidth="0" w:num="1">
            <w:col w:w="10219"/>
          </w:cols>
          <w:pgMar w:left="240" w:top="481" w:right="1440" w:bottom="1440" w:gutter="0" w:footer="0" w:header="0"/>
        </w:sectPr>
      </w:pPr>
    </w:p>
    <w:bookmarkStart w:id="77" w:name="page78"/>
    <w:bookmarkEnd w:id="77"/>
    <w:p>
      <w:pPr>
        <w:ind w:left="2480"/>
        <w:spacing w:after="0"/>
        <w:rPr>
          <w:sz w:val="20"/>
          <w:szCs w:val="20"/>
          <w:color w:val="auto"/>
        </w:rPr>
      </w:pPr>
      <w:r>
        <w:rPr>
          <w:rFonts w:ascii="Courier New" w:cs="Courier New" w:eastAsia="Courier New" w:hAnsi="Courier New"/>
          <w:sz w:val="16"/>
          <w:szCs w:val="16"/>
          <w:color w:val="auto"/>
        </w:rPr>
        <w:t>INDEPENDENT AUDITORS' REPORT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Board of Managers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Amarillo Hospital District:</w:t>
      </w:r>
    </w:p>
    <w:p>
      <w:pPr>
        <w:spacing w:after="0" w:line="188"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We have audited the accompanying balance sheet of Northwest Texas Healthcare System (the Hospital), an operation of the Amarillo Hospital District, as of September 30, 1994, and the related statements of revenue and expenses, changes in fund balances and cash flows for the year then ended. These financial statements are the responsibility of the Hospital's management. Our responsibility is to express an opinion on these financial statements based on our audit.</w:t>
      </w:r>
    </w:p>
    <w:p>
      <w:pPr>
        <w:spacing w:after="0" w:line="188" w:lineRule="exact"/>
        <w:rPr>
          <w:sz w:val="20"/>
          <w:szCs w:val="20"/>
          <w:color w:val="auto"/>
        </w:rPr>
      </w:pPr>
    </w:p>
    <w:p>
      <w:pPr>
        <w:ind w:right="2599" w:firstLine="382"/>
        <w:spacing w:after="0" w:line="260" w:lineRule="auto"/>
        <w:rPr>
          <w:sz w:val="20"/>
          <w:szCs w:val="20"/>
          <w:color w:val="auto"/>
        </w:rPr>
      </w:pPr>
      <w:r>
        <w:rPr>
          <w:rFonts w:ascii="Courier New" w:cs="Courier New" w:eastAsia="Courier New" w:hAnsi="Courier New"/>
          <w:sz w:val="15"/>
          <w:szCs w:val="15"/>
          <w:color w:val="auto"/>
        </w:rPr>
        <w:t>We conducted our audit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78" w:lineRule="exact"/>
        <w:rPr>
          <w:sz w:val="20"/>
          <w:szCs w:val="20"/>
          <w:color w:val="auto"/>
        </w:rPr>
      </w:pPr>
    </w:p>
    <w:p>
      <w:pPr>
        <w:ind w:right="2599" w:firstLine="382"/>
        <w:spacing w:after="0" w:line="241" w:lineRule="auto"/>
        <w:rPr>
          <w:sz w:val="20"/>
          <w:szCs w:val="20"/>
          <w:color w:val="auto"/>
        </w:rPr>
      </w:pPr>
      <w:r>
        <w:rPr>
          <w:rFonts w:ascii="Courier New" w:cs="Courier New" w:eastAsia="Courier New" w:hAnsi="Courier New"/>
          <w:sz w:val="16"/>
          <w:szCs w:val="16"/>
          <w:color w:val="auto"/>
        </w:rPr>
        <w:t>As discussed in the Summary of Significant Accounting Policies, the accompanying financial statements of the Hospital are intended to present the financial position and results of operations and cash flows of only that portion of the financial reporting entity of the Amarillo Hospital District that are attributable to the transactions of the Hospital.</w:t>
      </w:r>
    </w:p>
    <w:p>
      <w:pPr>
        <w:spacing w:after="0" w:line="190" w:lineRule="exact"/>
        <w:rPr>
          <w:sz w:val="20"/>
          <w:szCs w:val="20"/>
          <w:color w:val="auto"/>
        </w:rPr>
      </w:pPr>
    </w:p>
    <w:p>
      <w:pPr>
        <w:ind w:right="2599" w:firstLine="382"/>
        <w:spacing w:after="0" w:line="263" w:lineRule="auto"/>
        <w:rPr>
          <w:sz w:val="20"/>
          <w:szCs w:val="20"/>
          <w:color w:val="auto"/>
        </w:rPr>
      </w:pPr>
      <w:r>
        <w:rPr>
          <w:rFonts w:ascii="Courier New" w:cs="Courier New" w:eastAsia="Courier New" w:hAnsi="Courier New"/>
          <w:sz w:val="15"/>
          <w:szCs w:val="15"/>
          <w:color w:val="auto"/>
        </w:rPr>
        <w:t>In our opinion, the 1994 financial statements referred to above present fairly, in all material respects, the financial position of the Hospital as of September 30, 1994, and the results of its operations and its cash flows for the year then ended in conformity with generally accepted accounting principles.</w:t>
      </w:r>
    </w:p>
    <w:p>
      <w:pPr>
        <w:spacing w:after="0" w:line="172" w:lineRule="exact"/>
        <w:rPr>
          <w:sz w:val="20"/>
          <w:szCs w:val="20"/>
          <w:color w:val="auto"/>
        </w:rPr>
      </w:pPr>
    </w:p>
    <w:p>
      <w:pPr>
        <w:ind w:right="2599" w:firstLine="382"/>
        <w:spacing w:after="0" w:line="241" w:lineRule="auto"/>
        <w:rPr>
          <w:sz w:val="20"/>
          <w:szCs w:val="20"/>
          <w:color w:val="auto"/>
        </w:rPr>
      </w:pPr>
      <w:r>
        <w:rPr>
          <w:rFonts w:ascii="Courier New" w:cs="Courier New" w:eastAsia="Courier New" w:hAnsi="Courier New"/>
          <w:sz w:val="16"/>
          <w:szCs w:val="16"/>
          <w:color w:val="auto"/>
        </w:rPr>
        <w:t>As discussed in the Summary of Significant Accounting Policies, the Hospital changed its method of accounting for investment securities at September 30, 1994 to adopt the provisions of the Financial Accounting Standards Board's Statement of Financial Accounting Standards No. 115, Accounting for Certain Investments in Debt and Equity Securities.</w:t>
      </w:r>
    </w:p>
    <w:p>
      <w:pPr>
        <w:spacing w:after="0" w:line="371" w:lineRule="exact"/>
        <w:rPr>
          <w:sz w:val="20"/>
          <w:szCs w:val="20"/>
          <w:color w:val="auto"/>
        </w:rPr>
      </w:pPr>
    </w:p>
    <w:p>
      <w:pPr>
        <w:jc w:val="center"/>
        <w:ind w:right="219"/>
        <w:spacing w:after="0"/>
        <w:rPr>
          <w:sz w:val="20"/>
          <w:szCs w:val="20"/>
          <w:color w:val="auto"/>
        </w:rPr>
      </w:pPr>
      <w:r>
        <w:rPr>
          <w:rFonts w:ascii="Courier New" w:cs="Courier New" w:eastAsia="Courier New" w:hAnsi="Courier New"/>
          <w:sz w:val="16"/>
          <w:szCs w:val="16"/>
          <w:color w:val="auto"/>
        </w:rPr>
        <w:t>KPMG PEAT MARWICK LLP</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Dallas, Texas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2, 1994</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F-28</w:t>
      </w:r>
    </w:p>
    <w:p>
      <w:pPr>
        <w:sectPr>
          <w:pgSz w:w="11900" w:h="16838" w:orient="portrait"/>
          <w:cols w:equalWidth="0" w:num="1">
            <w:col w:w="10219"/>
          </w:cols>
          <w:pgMar w:left="240" w:top="481" w:right="1440" w:bottom="1440" w:gutter="0" w:footer="0" w:header="0"/>
        </w:sectPr>
      </w:pPr>
    </w:p>
    <w:bookmarkStart w:id="78" w:name="page79"/>
    <w:bookmarkEnd w:id="78"/>
    <w:p>
      <w:pPr>
        <w:jc w:val="center"/>
        <w:ind w:right="2679"/>
        <w:spacing w:after="0"/>
        <w:rPr>
          <w:sz w:val="20"/>
          <w:szCs w:val="20"/>
          <w:color w:val="auto"/>
        </w:rPr>
      </w:pPr>
      <w:r>
        <w:rPr>
          <w:rFonts w:ascii="Courier New" w:cs="Courier New" w:eastAsia="Courier New" w:hAnsi="Courier New"/>
          <w:sz w:val="16"/>
          <w:szCs w:val="16"/>
          <w:color w:val="auto"/>
        </w:rPr>
        <w:t>NORTHWEST TEXAS HEALTHCARE SYSTEM</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BALANCE SHEETS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780" w:type="dxa"/>
            <w:vAlign w:val="bottom"/>
            <w:gridSpan w:val="4"/>
          </w:tcPr>
          <w:p>
            <w:pPr>
              <w:jc w:val="right"/>
              <w:ind w:right="641"/>
              <w:spacing w:after="0"/>
              <w:rPr>
                <w:sz w:val="20"/>
                <w:szCs w:val="20"/>
                <w:color w:val="auto"/>
              </w:rPr>
            </w:pPr>
            <w:r>
              <w:rPr>
                <w:rFonts w:ascii="Courier New" w:cs="Courier New" w:eastAsia="Courier New" w:hAnsi="Courier New"/>
                <w:sz w:val="16"/>
                <w:szCs w:val="16"/>
                <w:color w:val="auto"/>
              </w:rPr>
              <w:t>SEPTEMBER 30, 1994, SEPTEMBER 30, 1995 AND MARCH 31, 1996 (UNAUDITED)</w:t>
            </w:r>
          </w:p>
        </w:tc>
        <w:tc>
          <w:tcPr>
            <w:tcW w:w="1380" w:type="dxa"/>
            <w:vAlign w:val="bottom"/>
          </w:tcPr>
          <w:p>
            <w:pPr>
              <w:spacing w:after="0"/>
              <w:rPr>
                <w:sz w:val="15"/>
                <w:szCs w:val="15"/>
                <w:color w:val="auto"/>
              </w:rPr>
            </w:pPr>
          </w:p>
        </w:tc>
      </w:tr>
      <w:tr>
        <w:trPr>
          <w:trHeight w:val="550"/>
        </w:trPr>
        <w:tc>
          <w:tcPr>
            <w:tcW w:w="4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center"/>
              <w:ind w:right="261"/>
              <w:spacing w:after="0"/>
              <w:rPr>
                <w:sz w:val="20"/>
                <w:szCs w:val="20"/>
                <w:color w:val="auto"/>
              </w:rPr>
            </w:pPr>
            <w:r>
              <w:rPr>
                <w:rFonts w:ascii="Courier New" w:cs="Courier New" w:eastAsia="Courier New" w:hAnsi="Courier New"/>
                <w:sz w:val="16"/>
                <w:szCs w:val="16"/>
                <w:color w:val="auto"/>
                <w:w w:val="98"/>
              </w:rPr>
              <w:t>1994</w:t>
            </w:r>
          </w:p>
        </w:tc>
        <w:tc>
          <w:tcPr>
            <w:tcW w:w="1540" w:type="dxa"/>
            <w:vAlign w:val="bottom"/>
          </w:tcPr>
          <w:p>
            <w:pPr>
              <w:jc w:val="center"/>
              <w:ind w:right="21"/>
              <w:spacing w:after="0"/>
              <w:rPr>
                <w:sz w:val="20"/>
                <w:szCs w:val="20"/>
                <w:color w:val="auto"/>
              </w:rPr>
            </w:pPr>
            <w:r>
              <w:rPr>
                <w:rFonts w:ascii="Courier New" w:cs="Courier New" w:eastAsia="Courier New" w:hAnsi="Courier New"/>
                <w:sz w:val="16"/>
                <w:szCs w:val="16"/>
                <w:color w:val="auto"/>
              </w:rPr>
              <w:t>1995</w:t>
            </w:r>
          </w:p>
        </w:tc>
        <w:tc>
          <w:tcPr>
            <w:tcW w:w="13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1996</w:t>
            </w:r>
          </w:p>
        </w:tc>
      </w:tr>
      <w:tr>
        <w:trPr>
          <w:trHeight w:val="183"/>
        </w:trPr>
        <w:tc>
          <w:tcPr>
            <w:tcW w:w="4820" w:type="dxa"/>
            <w:vAlign w:val="bottom"/>
          </w:tcPr>
          <w:p>
            <w:pPr>
              <w:spacing w:after="0"/>
              <w:rPr>
                <w:sz w:val="15"/>
                <w:szCs w:val="15"/>
                <w:color w:val="auto"/>
              </w:rPr>
            </w:pPr>
          </w:p>
        </w:tc>
        <w:tc>
          <w:tcPr>
            <w:tcW w:w="14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(UNAUDITED)</w:t>
            </w:r>
          </w:p>
        </w:tc>
      </w:tr>
      <w:tr>
        <w:trPr>
          <w:trHeight w:val="183"/>
        </w:trPr>
        <w:tc>
          <w:tcPr>
            <w:tcW w:w="4820" w:type="dxa"/>
            <w:vAlign w:val="bottom"/>
          </w:tcPr>
          <w:p>
            <w:pPr>
              <w:ind w:left="2000"/>
              <w:spacing w:after="0"/>
              <w:rPr>
                <w:sz w:val="20"/>
                <w:szCs w:val="20"/>
                <w:color w:val="auto"/>
              </w:rPr>
            </w:pPr>
            <w:r>
              <w:rPr>
                <w:rFonts w:ascii="Courier New" w:cs="Courier New" w:eastAsia="Courier New" w:hAnsi="Courier New"/>
                <w:sz w:val="16"/>
                <w:szCs w:val="16"/>
                <w:color w:val="auto"/>
              </w:rPr>
              <w:t>ASSETS</w:t>
            </w: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367"/>
        </w:trPr>
        <w:tc>
          <w:tcPr>
            <w:tcW w:w="482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83"/>
        </w:trPr>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Cash and cash equivalents.....................</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8,116,477</w:t>
            </w:r>
          </w:p>
        </w:tc>
        <w:tc>
          <w:tcPr>
            <w:tcW w:w="1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$ 15,971,821</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$ 33,199,529</w:t>
            </w:r>
          </w:p>
        </w:tc>
      </w:tr>
      <w:tr>
        <w:trPr>
          <w:trHeight w:val="183"/>
        </w:trPr>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Assets whose use is limited--required for</w:t>
            </w: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3"/>
        </w:trPr>
        <w:tc>
          <w:tcPr>
            <w:tcW w:w="4820" w:type="dxa"/>
            <w:vAlign w:val="bottom"/>
          </w:tcPr>
          <w:p>
            <w:pPr>
              <w:ind w:left="380"/>
              <w:spacing w:after="0"/>
              <w:rPr>
                <w:sz w:val="20"/>
                <w:szCs w:val="20"/>
                <w:color w:val="auto"/>
              </w:rPr>
            </w:pPr>
            <w:r>
              <w:rPr>
                <w:rFonts w:ascii="Courier New" w:cs="Courier New" w:eastAsia="Courier New" w:hAnsi="Courier New"/>
                <w:sz w:val="16"/>
                <w:szCs w:val="16"/>
                <w:color w:val="auto"/>
              </w:rPr>
              <w:t>current liabilities.........................</w:t>
            </w:r>
          </w:p>
        </w:tc>
        <w:tc>
          <w:tcPr>
            <w:tcW w:w="1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16,078,474</w:t>
            </w:r>
          </w:p>
        </w:tc>
        <w:tc>
          <w:tcPr>
            <w:tcW w:w="1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8,176,010</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8,251,010</w:t>
            </w:r>
          </w:p>
        </w:tc>
      </w:tr>
      <w:tr>
        <w:trPr>
          <w:trHeight w:val="183"/>
        </w:trPr>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Investments, at fair value (aggregate cost of</w:t>
            </w: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3"/>
        </w:trPr>
        <w:tc>
          <w:tcPr>
            <w:tcW w:w="4820" w:type="dxa"/>
            <w:vAlign w:val="bottom"/>
          </w:tcPr>
          <w:p>
            <w:pPr>
              <w:ind w:left="380"/>
              <w:spacing w:after="0"/>
              <w:rPr>
                <w:sz w:val="20"/>
                <w:szCs w:val="20"/>
                <w:color w:val="auto"/>
              </w:rPr>
            </w:pPr>
            <w:r>
              <w:rPr>
                <w:rFonts w:ascii="Courier New" w:cs="Courier New" w:eastAsia="Courier New" w:hAnsi="Courier New"/>
                <w:sz w:val="16"/>
                <w:szCs w:val="16"/>
                <w:color w:val="auto"/>
              </w:rPr>
              <w:t>$28,073,978 in 1994 and $35,337,779 in 1995)..</w:t>
            </w:r>
          </w:p>
        </w:tc>
        <w:tc>
          <w:tcPr>
            <w:tcW w:w="1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27,103,707</w:t>
            </w:r>
          </w:p>
        </w:tc>
        <w:tc>
          <w:tcPr>
            <w:tcW w:w="1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35,036,351</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33,227,525</w:t>
            </w:r>
          </w:p>
        </w:tc>
      </w:tr>
      <w:tr>
        <w:trPr>
          <w:trHeight w:val="183"/>
        </w:trPr>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Patient accounts receivable, net of estimated</w:t>
            </w: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3"/>
        </w:trPr>
        <w:tc>
          <w:tcPr>
            <w:tcW w:w="4820" w:type="dxa"/>
            <w:vAlign w:val="bottom"/>
          </w:tcPr>
          <w:p>
            <w:pPr>
              <w:ind w:left="380"/>
              <w:spacing w:after="0"/>
              <w:rPr>
                <w:sz w:val="20"/>
                <w:szCs w:val="20"/>
                <w:color w:val="auto"/>
              </w:rPr>
            </w:pPr>
            <w:r>
              <w:rPr>
                <w:rFonts w:ascii="Courier New" w:cs="Courier New" w:eastAsia="Courier New" w:hAnsi="Courier New"/>
                <w:sz w:val="16"/>
                <w:szCs w:val="16"/>
                <w:color w:val="auto"/>
              </w:rPr>
              <w:t>uncollectibles of approximately $17,531,000</w:t>
            </w: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3"/>
        </w:trPr>
        <w:tc>
          <w:tcPr>
            <w:tcW w:w="4820" w:type="dxa"/>
            <w:vAlign w:val="bottom"/>
          </w:tcPr>
          <w:p>
            <w:pPr>
              <w:ind w:left="380"/>
              <w:spacing w:after="0"/>
              <w:rPr>
                <w:sz w:val="20"/>
                <w:szCs w:val="20"/>
                <w:color w:val="auto"/>
              </w:rPr>
            </w:pPr>
            <w:r>
              <w:rPr>
                <w:rFonts w:ascii="Courier New" w:cs="Courier New" w:eastAsia="Courier New" w:hAnsi="Courier New"/>
                <w:sz w:val="16"/>
                <w:szCs w:val="16"/>
                <w:color w:val="auto"/>
              </w:rPr>
              <w:t>in 1994 and $19,091,000 in 1995.............</w:t>
            </w:r>
          </w:p>
        </w:tc>
        <w:tc>
          <w:tcPr>
            <w:tcW w:w="1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16,034,683</w:t>
            </w:r>
          </w:p>
        </w:tc>
        <w:tc>
          <w:tcPr>
            <w:tcW w:w="1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17,047,958</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16,340,925</w:t>
            </w:r>
          </w:p>
        </w:tc>
      </w:tr>
      <w:tr>
        <w:trPr>
          <w:trHeight w:val="183"/>
        </w:trPr>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Taxes receivable, net of allowance for</w:t>
            </w: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3"/>
        </w:trPr>
        <w:tc>
          <w:tcPr>
            <w:tcW w:w="4820" w:type="dxa"/>
            <w:vAlign w:val="bottom"/>
          </w:tcPr>
          <w:p>
            <w:pPr>
              <w:ind w:left="380"/>
              <w:spacing w:after="0"/>
              <w:rPr>
                <w:sz w:val="20"/>
                <w:szCs w:val="20"/>
                <w:color w:val="auto"/>
              </w:rPr>
            </w:pPr>
            <w:r>
              <w:rPr>
                <w:rFonts w:ascii="Courier New" w:cs="Courier New" w:eastAsia="Courier New" w:hAnsi="Courier New"/>
                <w:sz w:val="16"/>
                <w:szCs w:val="16"/>
                <w:color w:val="auto"/>
              </w:rPr>
              <w:t>doubtful accounts of approximately $742,000</w:t>
            </w: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3"/>
        </w:trPr>
        <w:tc>
          <w:tcPr>
            <w:tcW w:w="4820" w:type="dxa"/>
            <w:vAlign w:val="bottom"/>
          </w:tcPr>
          <w:p>
            <w:pPr>
              <w:ind w:left="380"/>
              <w:spacing w:after="0"/>
              <w:rPr>
                <w:sz w:val="20"/>
                <w:szCs w:val="20"/>
                <w:color w:val="auto"/>
              </w:rPr>
            </w:pPr>
            <w:r>
              <w:rPr>
                <w:rFonts w:ascii="Courier New" w:cs="Courier New" w:eastAsia="Courier New" w:hAnsi="Courier New"/>
                <w:sz w:val="16"/>
                <w:szCs w:val="16"/>
                <w:color w:val="auto"/>
              </w:rPr>
              <w:t>in 1994 and $746,000 in 1995................</w:t>
            </w:r>
          </w:p>
        </w:tc>
        <w:tc>
          <w:tcPr>
            <w:tcW w:w="1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247,421</w:t>
            </w:r>
          </w:p>
        </w:tc>
        <w:tc>
          <w:tcPr>
            <w:tcW w:w="1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134,157</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352,512</w:t>
            </w:r>
          </w:p>
        </w:tc>
      </w:tr>
      <w:tr>
        <w:trPr>
          <w:trHeight w:val="183"/>
        </w:trPr>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Other receivable..............................</w:t>
            </w:r>
          </w:p>
        </w:tc>
        <w:tc>
          <w:tcPr>
            <w:tcW w:w="140" w:type="dxa"/>
            <w:vAlign w:val="bottom"/>
          </w:tcPr>
          <w:p>
            <w:pPr>
              <w:spacing w:after="0"/>
              <w:rPr>
                <w:sz w:val="15"/>
                <w:szCs w:val="15"/>
                <w:color w:val="auto"/>
              </w:rPr>
            </w:pPr>
          </w:p>
        </w:tc>
        <w:tc>
          <w:tcPr>
            <w:tcW w:w="1280" w:type="dxa"/>
            <w:vAlign w:val="bottom"/>
          </w:tcPr>
          <w:p>
            <w:pPr>
              <w:jc w:val="center"/>
              <w:ind w:right="261"/>
              <w:spacing w:after="0"/>
              <w:rPr>
                <w:sz w:val="20"/>
                <w:szCs w:val="20"/>
                <w:color w:val="auto"/>
              </w:rPr>
            </w:pPr>
            <w:r>
              <w:rPr>
                <w:rFonts w:ascii="Courier New" w:cs="Courier New" w:eastAsia="Courier New" w:hAnsi="Courier New"/>
                <w:sz w:val="16"/>
                <w:szCs w:val="16"/>
                <w:color w:val="auto"/>
                <w:w w:val="93"/>
              </w:rPr>
              <w:t>--</w:t>
            </w:r>
          </w:p>
        </w:tc>
        <w:tc>
          <w:tcPr>
            <w:tcW w:w="1540" w:type="dxa"/>
            <w:vAlign w:val="bottom"/>
          </w:tcPr>
          <w:p>
            <w:pPr>
              <w:jc w:val="center"/>
              <w:ind w:right="2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422,988</w:t>
            </w:r>
          </w:p>
        </w:tc>
      </w:tr>
      <w:tr>
        <w:trPr>
          <w:trHeight w:val="183"/>
        </w:trPr>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Inventory.....................................</w:t>
            </w:r>
          </w:p>
        </w:tc>
        <w:tc>
          <w:tcPr>
            <w:tcW w:w="1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3,109,371</w:t>
            </w:r>
          </w:p>
        </w:tc>
        <w:tc>
          <w:tcPr>
            <w:tcW w:w="1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3,277,629</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3,353,885</w:t>
            </w:r>
          </w:p>
        </w:tc>
      </w:tr>
      <w:tr>
        <w:trPr>
          <w:trHeight w:val="183"/>
        </w:trPr>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Prepaid expenses..............................</w:t>
            </w:r>
          </w:p>
        </w:tc>
        <w:tc>
          <w:tcPr>
            <w:tcW w:w="1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505,570</w:t>
            </w:r>
          </w:p>
        </w:tc>
        <w:tc>
          <w:tcPr>
            <w:tcW w:w="1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596,889</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864,125</w:t>
            </w:r>
          </w:p>
        </w:tc>
      </w:tr>
      <w:tr>
        <w:trPr>
          <w:trHeight w:val="183"/>
        </w:trPr>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Other current assets..........................</w:t>
            </w:r>
          </w:p>
        </w:tc>
        <w:tc>
          <w:tcPr>
            <w:tcW w:w="1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297,928</w:t>
            </w:r>
          </w:p>
        </w:tc>
        <w:tc>
          <w:tcPr>
            <w:tcW w:w="1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237,495</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469,527</w:t>
            </w:r>
          </w:p>
        </w:tc>
      </w:tr>
      <w:tr>
        <w:trPr>
          <w:trHeight w:val="183"/>
        </w:trPr>
        <w:tc>
          <w:tcPr>
            <w:tcW w:w="4820" w:type="dxa"/>
            <w:vAlign w:val="bottom"/>
          </w:tcPr>
          <w:p>
            <w:pPr>
              <w:spacing w:after="0"/>
              <w:rPr>
                <w:sz w:val="15"/>
                <w:szCs w:val="15"/>
                <w:color w:val="auto"/>
              </w:rPr>
            </w:pPr>
          </w:p>
        </w:tc>
        <w:tc>
          <w:tcPr>
            <w:tcW w:w="14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8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Total current assets......................</w:t>
            </w:r>
          </w:p>
        </w:tc>
        <w:tc>
          <w:tcPr>
            <w:tcW w:w="1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71,493,631</w:t>
            </w:r>
          </w:p>
        </w:tc>
        <w:tc>
          <w:tcPr>
            <w:tcW w:w="1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80,478,310</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96,482,026</w:t>
            </w:r>
          </w:p>
        </w:tc>
      </w:tr>
      <w:tr>
        <w:trPr>
          <w:trHeight w:val="183"/>
        </w:trPr>
        <w:tc>
          <w:tcPr>
            <w:tcW w:w="482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8"/>
              </w:rPr>
              <w:t>NONCURRENT ASSETS WHOSE USE IS LIMITED..........</w:t>
            </w:r>
          </w:p>
        </w:tc>
        <w:tc>
          <w:tcPr>
            <w:tcW w:w="1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5,386,551</w:t>
            </w:r>
          </w:p>
        </w:tc>
        <w:tc>
          <w:tcPr>
            <w:tcW w:w="1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5,735,708</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4,132,109</w:t>
            </w:r>
          </w:p>
        </w:tc>
      </w:tr>
      <w:tr>
        <w:trPr>
          <w:trHeight w:val="183"/>
        </w:trPr>
        <w:tc>
          <w:tcPr>
            <w:tcW w:w="482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8"/>
              </w:rPr>
              <w:t>PROPERTY AND EQUIPMENT, NET.....................</w:t>
            </w:r>
          </w:p>
        </w:tc>
        <w:tc>
          <w:tcPr>
            <w:tcW w:w="1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67,848,270</w:t>
            </w:r>
          </w:p>
        </w:tc>
        <w:tc>
          <w:tcPr>
            <w:tcW w:w="1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67,252,717</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65,175,589</w:t>
            </w:r>
          </w:p>
        </w:tc>
      </w:tr>
      <w:tr>
        <w:trPr>
          <w:trHeight w:val="183"/>
        </w:trPr>
        <w:tc>
          <w:tcPr>
            <w:tcW w:w="4820" w:type="dxa"/>
            <w:vAlign w:val="bottom"/>
          </w:tcPr>
          <w:p>
            <w:pPr>
              <w:spacing w:after="0"/>
              <w:rPr>
                <w:sz w:val="15"/>
                <w:szCs w:val="15"/>
                <w:color w:val="auto"/>
              </w:rPr>
            </w:pPr>
          </w:p>
        </w:tc>
        <w:tc>
          <w:tcPr>
            <w:tcW w:w="14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82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8"/>
              </w:rPr>
              <w:t>TOTAL ASSETS....................................</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6"/>
              </w:rPr>
              <w:t>144,728,452</w:t>
            </w:r>
          </w:p>
        </w:tc>
        <w:tc>
          <w:tcPr>
            <w:tcW w:w="1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$153,466,735</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$165,789,724</w:t>
            </w:r>
          </w:p>
        </w:tc>
      </w:tr>
      <w:tr>
        <w:trPr>
          <w:trHeight w:val="183"/>
        </w:trPr>
        <w:tc>
          <w:tcPr>
            <w:tcW w:w="4820" w:type="dxa"/>
            <w:vAlign w:val="bottom"/>
          </w:tcPr>
          <w:p>
            <w:pPr>
              <w:spacing w:after="0"/>
              <w:rPr>
                <w:sz w:val="15"/>
                <w:szCs w:val="15"/>
                <w:color w:val="auto"/>
              </w:rPr>
            </w:pPr>
          </w:p>
        </w:tc>
        <w:tc>
          <w:tcPr>
            <w:tcW w:w="14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820" w:type="dxa"/>
            <w:vAlign w:val="bottom"/>
          </w:tcPr>
          <w:p>
            <w:pPr>
              <w:spacing w:after="0"/>
              <w:rPr>
                <w:sz w:val="15"/>
                <w:szCs w:val="15"/>
                <w:color w:val="auto"/>
              </w:rPr>
            </w:pPr>
          </w:p>
        </w:tc>
        <w:tc>
          <w:tcPr>
            <w:tcW w:w="14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4820" w:type="dxa"/>
            <w:vAlign w:val="bottom"/>
          </w:tcPr>
          <w:p>
            <w:pPr>
              <w:ind w:left="860"/>
              <w:spacing w:after="0"/>
              <w:rPr>
                <w:sz w:val="20"/>
                <w:szCs w:val="20"/>
                <w:color w:val="auto"/>
              </w:rPr>
            </w:pPr>
            <w:r>
              <w:rPr>
                <w:rFonts w:ascii="Courier New" w:cs="Courier New" w:eastAsia="Courier New" w:hAnsi="Courier New"/>
                <w:sz w:val="16"/>
                <w:szCs w:val="16"/>
                <w:color w:val="auto"/>
              </w:rPr>
              <w:t>LIABILITIES AND FUND BALANCES</w:t>
            </w: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67"/>
        </w:trPr>
        <w:tc>
          <w:tcPr>
            <w:tcW w:w="482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83"/>
        </w:trPr>
        <w:tc>
          <w:tcPr>
            <w:tcW w:w="48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Current installments of long-term debt........</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1,200,000</w:t>
            </w:r>
          </w:p>
        </w:tc>
        <w:tc>
          <w:tcPr>
            <w:tcW w:w="1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1,250,000</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1,325,000</w:t>
            </w:r>
          </w:p>
        </w:tc>
      </w:tr>
      <w:tr>
        <w:trPr>
          <w:trHeight w:val="183"/>
        </w:trPr>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Current portion of capital lease</w:t>
            </w: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3"/>
        </w:trPr>
        <w:tc>
          <w:tcPr>
            <w:tcW w:w="48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obligations.................................</w:t>
            </w:r>
          </w:p>
        </w:tc>
        <w:tc>
          <w:tcPr>
            <w:tcW w:w="1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94,398</w:t>
            </w:r>
          </w:p>
        </w:tc>
        <w:tc>
          <w:tcPr>
            <w:tcW w:w="1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48,228</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50,065</w:t>
            </w:r>
          </w:p>
        </w:tc>
      </w:tr>
      <w:tr>
        <w:trPr>
          <w:trHeight w:val="183"/>
        </w:trPr>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Current portion of estimated self-insurance</w:t>
            </w: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3"/>
        </w:trPr>
        <w:tc>
          <w:tcPr>
            <w:tcW w:w="48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costs.......................................</w:t>
            </w:r>
          </w:p>
        </w:tc>
        <w:tc>
          <w:tcPr>
            <w:tcW w:w="1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1,735,320</w:t>
            </w:r>
          </w:p>
        </w:tc>
        <w:tc>
          <w:tcPr>
            <w:tcW w:w="1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1,541,248</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1,541,248</w:t>
            </w:r>
          </w:p>
        </w:tc>
      </w:tr>
      <w:tr>
        <w:trPr>
          <w:trHeight w:val="183"/>
        </w:trPr>
        <w:tc>
          <w:tcPr>
            <w:tcW w:w="48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Accounts payable..............................</w:t>
            </w:r>
          </w:p>
        </w:tc>
        <w:tc>
          <w:tcPr>
            <w:tcW w:w="1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4,494,394</w:t>
            </w:r>
          </w:p>
        </w:tc>
        <w:tc>
          <w:tcPr>
            <w:tcW w:w="1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3,258,554</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2,097,409</w:t>
            </w:r>
          </w:p>
        </w:tc>
      </w:tr>
      <w:tr>
        <w:trPr>
          <w:trHeight w:val="183"/>
        </w:trPr>
        <w:tc>
          <w:tcPr>
            <w:tcW w:w="48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Accrued expenses..............................</w:t>
            </w:r>
          </w:p>
        </w:tc>
        <w:tc>
          <w:tcPr>
            <w:tcW w:w="1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8,426,091</w:t>
            </w:r>
          </w:p>
        </w:tc>
        <w:tc>
          <w:tcPr>
            <w:tcW w:w="1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3,044,112</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3,066,979</w:t>
            </w:r>
          </w:p>
        </w:tc>
      </w:tr>
      <w:tr>
        <w:trPr>
          <w:trHeight w:val="183"/>
        </w:trPr>
        <w:tc>
          <w:tcPr>
            <w:tcW w:w="48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Deferred ad valorem tax revenue...............</w:t>
            </w:r>
          </w:p>
        </w:tc>
        <w:tc>
          <w:tcPr>
            <w:tcW w:w="140" w:type="dxa"/>
            <w:vAlign w:val="bottom"/>
          </w:tcPr>
          <w:p>
            <w:pPr>
              <w:spacing w:after="0"/>
              <w:rPr>
                <w:sz w:val="15"/>
                <w:szCs w:val="15"/>
                <w:color w:val="auto"/>
              </w:rPr>
            </w:pPr>
          </w:p>
        </w:tc>
        <w:tc>
          <w:tcPr>
            <w:tcW w:w="1280" w:type="dxa"/>
            <w:vAlign w:val="bottom"/>
          </w:tcPr>
          <w:p>
            <w:pPr>
              <w:jc w:val="center"/>
              <w:ind w:right="261"/>
              <w:spacing w:after="0"/>
              <w:rPr>
                <w:sz w:val="20"/>
                <w:szCs w:val="20"/>
                <w:color w:val="auto"/>
              </w:rPr>
            </w:pPr>
            <w:r>
              <w:rPr>
                <w:rFonts w:ascii="Courier New" w:cs="Courier New" w:eastAsia="Courier New" w:hAnsi="Courier New"/>
                <w:sz w:val="16"/>
                <w:szCs w:val="16"/>
                <w:color w:val="auto"/>
                <w:w w:val="93"/>
              </w:rPr>
              <w:t>--</w:t>
            </w:r>
          </w:p>
        </w:tc>
        <w:tc>
          <w:tcPr>
            <w:tcW w:w="1540" w:type="dxa"/>
            <w:vAlign w:val="bottom"/>
          </w:tcPr>
          <w:p>
            <w:pPr>
              <w:jc w:val="center"/>
              <w:ind w:right="2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4,090,597</w:t>
            </w:r>
          </w:p>
        </w:tc>
      </w:tr>
      <w:tr>
        <w:trPr>
          <w:trHeight w:val="183"/>
        </w:trPr>
        <w:tc>
          <w:tcPr>
            <w:tcW w:w="48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Estimated third-party payor settlements.......</w:t>
            </w:r>
          </w:p>
        </w:tc>
        <w:tc>
          <w:tcPr>
            <w:tcW w:w="1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3,304,540</w:t>
            </w:r>
          </w:p>
        </w:tc>
        <w:tc>
          <w:tcPr>
            <w:tcW w:w="1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2,419,081</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4,157,503</w:t>
            </w:r>
          </w:p>
        </w:tc>
      </w:tr>
      <w:tr>
        <w:trPr>
          <w:trHeight w:val="183"/>
        </w:trPr>
        <w:tc>
          <w:tcPr>
            <w:tcW w:w="4820" w:type="dxa"/>
            <w:vAlign w:val="bottom"/>
          </w:tcPr>
          <w:p>
            <w:pPr>
              <w:spacing w:after="0"/>
              <w:rPr>
                <w:sz w:val="15"/>
                <w:szCs w:val="15"/>
                <w:color w:val="auto"/>
              </w:rPr>
            </w:pPr>
          </w:p>
        </w:tc>
        <w:tc>
          <w:tcPr>
            <w:tcW w:w="14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8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Total current liabilities.................</w:t>
            </w:r>
          </w:p>
        </w:tc>
        <w:tc>
          <w:tcPr>
            <w:tcW w:w="1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19,254,743</w:t>
            </w:r>
          </w:p>
        </w:tc>
        <w:tc>
          <w:tcPr>
            <w:tcW w:w="1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11,561,223</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16,328,801</w:t>
            </w:r>
          </w:p>
        </w:tc>
      </w:tr>
      <w:tr>
        <w:trPr>
          <w:trHeight w:val="183"/>
        </w:trPr>
        <w:tc>
          <w:tcPr>
            <w:tcW w:w="4820" w:type="dxa"/>
            <w:vAlign w:val="bottom"/>
          </w:tcPr>
          <w:p>
            <w:pPr>
              <w:spacing w:after="0"/>
              <w:rPr>
                <w:sz w:val="20"/>
                <w:szCs w:val="20"/>
                <w:color w:val="auto"/>
              </w:rPr>
            </w:pPr>
            <w:r>
              <w:rPr>
                <w:rFonts w:ascii="Courier New" w:cs="Courier New" w:eastAsia="Courier New" w:hAnsi="Courier New"/>
                <w:sz w:val="16"/>
                <w:szCs w:val="16"/>
                <w:color w:val="auto"/>
              </w:rPr>
              <w:t>ESTIMATED SELF-INSURANCE COSTS, excluding</w:t>
            </w: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3"/>
        </w:trPr>
        <w:tc>
          <w:tcPr>
            <w:tcW w:w="482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8"/>
              </w:rPr>
              <w:t>current portion.................................</w:t>
            </w:r>
          </w:p>
        </w:tc>
        <w:tc>
          <w:tcPr>
            <w:tcW w:w="1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1,029,750</w:t>
            </w:r>
          </w:p>
        </w:tc>
        <w:tc>
          <w:tcPr>
            <w:tcW w:w="1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626,536</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591,536</w:t>
            </w:r>
          </w:p>
        </w:tc>
      </w:tr>
      <w:tr>
        <w:trPr>
          <w:trHeight w:val="183"/>
        </w:trPr>
        <w:tc>
          <w:tcPr>
            <w:tcW w:w="4820" w:type="dxa"/>
            <w:vAlign w:val="bottom"/>
          </w:tcPr>
          <w:p>
            <w:pPr>
              <w:spacing w:after="0"/>
              <w:rPr>
                <w:sz w:val="20"/>
                <w:szCs w:val="20"/>
                <w:color w:val="auto"/>
              </w:rPr>
            </w:pPr>
            <w:r>
              <w:rPr>
                <w:rFonts w:ascii="Courier New" w:cs="Courier New" w:eastAsia="Courier New" w:hAnsi="Courier New"/>
                <w:sz w:val="16"/>
                <w:szCs w:val="16"/>
                <w:color w:val="auto"/>
              </w:rPr>
              <w:t>LONG-TERM DEBT, excluding current</w:t>
            </w: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3"/>
        </w:trPr>
        <w:tc>
          <w:tcPr>
            <w:tcW w:w="482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8"/>
              </w:rPr>
              <w:t>installments....................................</w:t>
            </w:r>
          </w:p>
        </w:tc>
        <w:tc>
          <w:tcPr>
            <w:tcW w:w="1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8,775,000</w:t>
            </w:r>
          </w:p>
        </w:tc>
        <w:tc>
          <w:tcPr>
            <w:tcW w:w="1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7,525,000</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6,200,000</w:t>
            </w:r>
          </w:p>
        </w:tc>
      </w:tr>
      <w:tr>
        <w:trPr>
          <w:trHeight w:val="183"/>
        </w:trPr>
        <w:tc>
          <w:tcPr>
            <w:tcW w:w="4820" w:type="dxa"/>
            <w:vAlign w:val="bottom"/>
          </w:tcPr>
          <w:p>
            <w:pPr>
              <w:spacing w:after="0"/>
              <w:rPr>
                <w:sz w:val="20"/>
                <w:szCs w:val="20"/>
                <w:color w:val="auto"/>
              </w:rPr>
            </w:pPr>
            <w:r>
              <w:rPr>
                <w:rFonts w:ascii="Courier New" w:cs="Courier New" w:eastAsia="Courier New" w:hAnsi="Courier New"/>
                <w:sz w:val="16"/>
                <w:szCs w:val="16"/>
                <w:color w:val="auto"/>
              </w:rPr>
              <w:t>CAPITAL LEASE OBLIGATIONS, excluding current</w:t>
            </w: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3"/>
        </w:trPr>
        <w:tc>
          <w:tcPr>
            <w:tcW w:w="48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portion.......................................</w:t>
            </w:r>
          </w:p>
        </w:tc>
        <w:tc>
          <w:tcPr>
            <w:tcW w:w="1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73,729</w:t>
            </w:r>
          </w:p>
        </w:tc>
        <w:tc>
          <w:tcPr>
            <w:tcW w:w="1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30,694</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5,194</w:t>
            </w:r>
          </w:p>
        </w:tc>
      </w:tr>
      <w:tr>
        <w:trPr>
          <w:trHeight w:val="183"/>
        </w:trPr>
        <w:tc>
          <w:tcPr>
            <w:tcW w:w="4820" w:type="dxa"/>
            <w:vAlign w:val="bottom"/>
          </w:tcPr>
          <w:p>
            <w:pPr>
              <w:spacing w:after="0"/>
              <w:rPr>
                <w:sz w:val="15"/>
                <w:szCs w:val="15"/>
                <w:color w:val="auto"/>
              </w:rPr>
            </w:pPr>
          </w:p>
        </w:tc>
        <w:tc>
          <w:tcPr>
            <w:tcW w:w="14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8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Total liabilities.........................</w:t>
            </w:r>
          </w:p>
        </w:tc>
        <w:tc>
          <w:tcPr>
            <w:tcW w:w="1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29,133,222</w:t>
            </w:r>
          </w:p>
        </w:tc>
        <w:tc>
          <w:tcPr>
            <w:tcW w:w="1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19,743,453</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23,125,531</w:t>
            </w:r>
          </w:p>
        </w:tc>
      </w:tr>
      <w:tr>
        <w:trPr>
          <w:trHeight w:val="183"/>
        </w:trPr>
        <w:tc>
          <w:tcPr>
            <w:tcW w:w="4820" w:type="dxa"/>
            <w:vAlign w:val="bottom"/>
          </w:tcPr>
          <w:p>
            <w:pPr>
              <w:spacing w:after="0"/>
              <w:rPr>
                <w:sz w:val="15"/>
                <w:szCs w:val="15"/>
                <w:color w:val="auto"/>
              </w:rPr>
            </w:pPr>
          </w:p>
        </w:tc>
        <w:tc>
          <w:tcPr>
            <w:tcW w:w="14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820" w:type="dxa"/>
            <w:vAlign w:val="bottom"/>
          </w:tcPr>
          <w:p>
            <w:pPr>
              <w:spacing w:after="0"/>
              <w:rPr>
                <w:sz w:val="20"/>
                <w:szCs w:val="20"/>
                <w:color w:val="auto"/>
              </w:rPr>
            </w:pPr>
            <w:r>
              <w:rPr>
                <w:rFonts w:ascii="Courier New" w:cs="Courier New" w:eastAsia="Courier New" w:hAnsi="Courier New"/>
                <w:sz w:val="16"/>
                <w:szCs w:val="16"/>
                <w:color w:val="auto"/>
              </w:rPr>
              <w:t>FUND BALANCES</w:t>
            </w: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3"/>
        </w:trPr>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Fund balance--reserved for net unrealized</w:t>
            </w: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3"/>
        </w:trPr>
        <w:tc>
          <w:tcPr>
            <w:tcW w:w="48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losses on investments.......................</w:t>
            </w:r>
          </w:p>
        </w:tc>
        <w:tc>
          <w:tcPr>
            <w:tcW w:w="14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(1,072,194)</w:t>
            </w:r>
          </w:p>
        </w:tc>
        <w:tc>
          <w:tcPr>
            <w:tcW w:w="15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(335,149)</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(64,729)</w:t>
            </w:r>
          </w:p>
        </w:tc>
      </w:tr>
      <w:tr>
        <w:trPr>
          <w:trHeight w:val="183"/>
        </w:trPr>
        <w:tc>
          <w:tcPr>
            <w:tcW w:w="48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Fund balance--unrestricted....................</w:t>
            </w:r>
          </w:p>
        </w:tc>
        <w:tc>
          <w:tcPr>
            <w:tcW w:w="1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6"/>
              </w:rPr>
              <w:t>116,667,424</w:t>
            </w:r>
          </w:p>
        </w:tc>
        <w:tc>
          <w:tcPr>
            <w:tcW w:w="1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134,058,431</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142,728,922</w:t>
            </w:r>
          </w:p>
        </w:tc>
      </w:tr>
      <w:tr>
        <w:trPr>
          <w:trHeight w:val="183"/>
        </w:trPr>
        <w:tc>
          <w:tcPr>
            <w:tcW w:w="4820" w:type="dxa"/>
            <w:vAlign w:val="bottom"/>
          </w:tcPr>
          <w:p>
            <w:pPr>
              <w:spacing w:after="0"/>
              <w:rPr>
                <w:sz w:val="15"/>
                <w:szCs w:val="15"/>
                <w:color w:val="auto"/>
              </w:rPr>
            </w:pPr>
          </w:p>
        </w:tc>
        <w:tc>
          <w:tcPr>
            <w:tcW w:w="14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8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Total fund balances.......................</w:t>
            </w:r>
          </w:p>
        </w:tc>
        <w:tc>
          <w:tcPr>
            <w:tcW w:w="1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6"/>
              </w:rPr>
              <w:t>115,595,230</w:t>
            </w:r>
          </w:p>
        </w:tc>
        <w:tc>
          <w:tcPr>
            <w:tcW w:w="1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133,723,282</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142,664,193</w:t>
            </w:r>
          </w:p>
        </w:tc>
      </w:tr>
      <w:tr>
        <w:trPr>
          <w:trHeight w:val="183"/>
        </w:trPr>
        <w:tc>
          <w:tcPr>
            <w:tcW w:w="4820" w:type="dxa"/>
            <w:vAlign w:val="bottom"/>
          </w:tcPr>
          <w:p>
            <w:pPr>
              <w:spacing w:after="0"/>
              <w:rPr>
                <w:sz w:val="15"/>
                <w:szCs w:val="15"/>
                <w:color w:val="auto"/>
              </w:rPr>
            </w:pPr>
          </w:p>
        </w:tc>
        <w:tc>
          <w:tcPr>
            <w:tcW w:w="14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82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8"/>
              </w:rPr>
              <w:t>TOTAL LIABILITIES AND FUND BALANCES.............</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6"/>
              </w:rPr>
              <w:t>144,728,452</w:t>
            </w:r>
          </w:p>
        </w:tc>
        <w:tc>
          <w:tcPr>
            <w:tcW w:w="1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$153,466,735</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$165,789,724</w:t>
            </w:r>
          </w:p>
        </w:tc>
      </w:tr>
      <w:tr>
        <w:trPr>
          <w:trHeight w:val="183"/>
        </w:trPr>
        <w:tc>
          <w:tcPr>
            <w:tcW w:w="4820" w:type="dxa"/>
            <w:vAlign w:val="bottom"/>
          </w:tcPr>
          <w:p>
            <w:pPr>
              <w:spacing w:after="0"/>
              <w:rPr>
                <w:sz w:val="15"/>
                <w:szCs w:val="15"/>
                <w:color w:val="auto"/>
              </w:rPr>
            </w:pPr>
          </w:p>
        </w:tc>
        <w:tc>
          <w:tcPr>
            <w:tcW w:w="14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820" w:type="dxa"/>
            <w:vAlign w:val="bottom"/>
          </w:tcPr>
          <w:p>
            <w:pPr>
              <w:spacing w:after="0"/>
              <w:rPr>
                <w:sz w:val="15"/>
                <w:szCs w:val="15"/>
                <w:color w:val="auto"/>
              </w:rPr>
            </w:pPr>
          </w:p>
        </w:tc>
        <w:tc>
          <w:tcPr>
            <w:tcW w:w="14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372"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These financial statements should be read only in connection with the accompanying summary of significant accounting policies and notes to financial statements.</w:t>
      </w:r>
    </w:p>
    <w:p>
      <w:pPr>
        <w:spacing w:after="0" w:line="18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F-29</w:t>
      </w:r>
    </w:p>
    <w:p>
      <w:pPr>
        <w:sectPr>
          <w:pgSz w:w="11900" w:h="16838" w:orient="portrait"/>
          <w:cols w:equalWidth="0" w:num="1">
            <w:col w:w="10219"/>
          </w:cols>
          <w:pgMar w:left="240" w:top="481" w:right="1440" w:bottom="1440" w:gutter="0" w:footer="0" w:header="0"/>
        </w:sectPr>
      </w:pPr>
    </w:p>
    <w:bookmarkStart w:id="79" w:name="page80"/>
    <w:bookmarkEnd w:id="79"/>
    <w:p>
      <w:pPr>
        <w:ind w:left="2200"/>
        <w:spacing w:after="0"/>
        <w:rPr>
          <w:sz w:val="20"/>
          <w:szCs w:val="20"/>
          <w:color w:val="auto"/>
        </w:rPr>
      </w:pPr>
      <w:r>
        <w:rPr>
          <w:rFonts w:ascii="Courier New" w:cs="Courier New" w:eastAsia="Courier New" w:hAnsi="Courier New"/>
          <w:sz w:val="16"/>
          <w:szCs w:val="16"/>
          <w:color w:val="auto"/>
        </w:rPr>
        <w:t>NORTHWEST TEXAS HEALTHCARE SYSTEM</w:t>
      </w:r>
    </w:p>
    <w:p>
      <w:pPr>
        <w:spacing w:after="0" w:line="2"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STATEMENTS OF REVENUE AND EXPENSES</w:t>
      </w:r>
    </w:p>
    <w:p>
      <w:pPr>
        <w:spacing w:after="0" w:line="2"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YEARS ENDED SEPTEMBER 30, 1994 AND 1995 AND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680" w:type="dxa"/>
            <w:vAlign w:val="bottom"/>
            <w:gridSpan w:val="3"/>
          </w:tcPr>
          <w:p>
            <w:pPr>
              <w:jc w:val="right"/>
              <w:ind w:right="301"/>
              <w:spacing w:after="0"/>
              <w:rPr>
                <w:sz w:val="20"/>
                <w:szCs w:val="20"/>
                <w:color w:val="auto"/>
              </w:rPr>
            </w:pPr>
            <w:r>
              <w:rPr>
                <w:rFonts w:ascii="Courier New" w:cs="Courier New" w:eastAsia="Courier New" w:hAnsi="Courier New"/>
                <w:sz w:val="16"/>
                <w:szCs w:val="16"/>
                <w:color w:val="auto"/>
              </w:rPr>
              <w:t>SIX MONTHS ENDED MARCH 31, 1995 AND 1996 (UNAUDITED)</w:t>
            </w:r>
          </w:p>
        </w:tc>
        <w:tc>
          <w:tcPr>
            <w:tcW w:w="14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550"/>
        </w:trPr>
        <w:tc>
          <w:tcPr>
            <w:tcW w:w="3580" w:type="dxa"/>
            <w:vAlign w:val="bottom"/>
          </w:tcPr>
          <w:p>
            <w:pPr>
              <w:spacing w:after="0"/>
              <w:rPr>
                <w:sz w:val="24"/>
                <w:szCs w:val="24"/>
                <w:color w:val="auto"/>
              </w:rPr>
            </w:pPr>
          </w:p>
        </w:tc>
        <w:tc>
          <w:tcPr>
            <w:tcW w:w="3100" w:type="dxa"/>
            <w:vAlign w:val="bottom"/>
            <w:gridSpan w:val="2"/>
          </w:tcPr>
          <w:p>
            <w:pPr>
              <w:jc w:val="right"/>
              <w:ind w:right="1081"/>
              <w:spacing w:after="0"/>
              <w:rPr>
                <w:sz w:val="20"/>
                <w:szCs w:val="20"/>
                <w:color w:val="auto"/>
              </w:rPr>
            </w:pPr>
            <w:r>
              <w:rPr>
                <w:rFonts w:ascii="Courier New" w:cs="Courier New" w:eastAsia="Courier New" w:hAnsi="Courier New"/>
                <w:sz w:val="16"/>
                <w:szCs w:val="16"/>
                <w:color w:val="auto"/>
              </w:rPr>
              <w:t>YEARS ENDED</w:t>
            </w:r>
          </w:p>
        </w:tc>
        <w:tc>
          <w:tcPr>
            <w:tcW w:w="2760" w:type="dxa"/>
            <w:vAlign w:val="bottom"/>
            <w:gridSpan w:val="2"/>
          </w:tcPr>
          <w:p>
            <w:pPr>
              <w:jc w:val="right"/>
              <w:ind w:right="881"/>
              <w:spacing w:after="0"/>
              <w:rPr>
                <w:sz w:val="20"/>
                <w:szCs w:val="20"/>
                <w:color w:val="auto"/>
              </w:rPr>
            </w:pPr>
            <w:r>
              <w:rPr>
                <w:rFonts w:ascii="Courier New" w:cs="Courier New" w:eastAsia="Courier New" w:hAnsi="Courier New"/>
                <w:sz w:val="16"/>
                <w:szCs w:val="16"/>
                <w:color w:val="auto"/>
              </w:rPr>
              <w:t>SIX MONTHS</w:t>
            </w:r>
          </w:p>
        </w:tc>
      </w:tr>
      <w:tr>
        <w:trPr>
          <w:trHeight w:val="183"/>
        </w:trPr>
        <w:tc>
          <w:tcPr>
            <w:tcW w:w="3580" w:type="dxa"/>
            <w:vAlign w:val="bottom"/>
          </w:tcPr>
          <w:p>
            <w:pPr>
              <w:spacing w:after="0"/>
              <w:rPr>
                <w:sz w:val="15"/>
                <w:szCs w:val="15"/>
                <w:color w:val="auto"/>
              </w:rPr>
            </w:pPr>
          </w:p>
        </w:tc>
        <w:tc>
          <w:tcPr>
            <w:tcW w:w="3100" w:type="dxa"/>
            <w:vAlign w:val="bottom"/>
            <w:gridSpan w:val="2"/>
          </w:tcPr>
          <w:p>
            <w:pPr>
              <w:jc w:val="right"/>
              <w:ind w:right="981"/>
              <w:spacing w:after="0"/>
              <w:rPr>
                <w:sz w:val="20"/>
                <w:szCs w:val="20"/>
                <w:color w:val="auto"/>
              </w:rPr>
            </w:pPr>
            <w:r>
              <w:rPr>
                <w:rFonts w:ascii="Courier New" w:cs="Courier New" w:eastAsia="Courier New" w:hAnsi="Courier New"/>
                <w:sz w:val="16"/>
                <w:szCs w:val="16"/>
                <w:color w:val="auto"/>
              </w:rPr>
              <w:t>SEPTEMBER 30,</w:t>
            </w:r>
          </w:p>
        </w:tc>
        <w:tc>
          <w:tcPr>
            <w:tcW w:w="2760" w:type="dxa"/>
            <w:vAlign w:val="bottom"/>
            <w:gridSpan w:val="2"/>
          </w:tcPr>
          <w:p>
            <w:pPr>
              <w:jc w:val="right"/>
              <w:ind w:right="681"/>
              <w:spacing w:after="0"/>
              <w:rPr>
                <w:sz w:val="20"/>
                <w:szCs w:val="20"/>
                <w:color w:val="auto"/>
              </w:rPr>
            </w:pPr>
            <w:r>
              <w:rPr>
                <w:rFonts w:ascii="Courier New" w:cs="Courier New" w:eastAsia="Courier New" w:hAnsi="Courier New"/>
                <w:sz w:val="16"/>
                <w:szCs w:val="16"/>
                <w:color w:val="auto"/>
              </w:rPr>
              <w:t>ENDED MARCH 31,</w:t>
            </w:r>
          </w:p>
        </w:tc>
      </w:tr>
      <w:tr>
        <w:trPr>
          <w:trHeight w:val="183"/>
        </w:trPr>
        <w:tc>
          <w:tcPr>
            <w:tcW w:w="3580" w:type="dxa"/>
            <w:vAlign w:val="bottom"/>
          </w:tcPr>
          <w:p>
            <w:pPr>
              <w:spacing w:after="0"/>
              <w:rPr>
                <w:sz w:val="15"/>
                <w:szCs w:val="15"/>
                <w:color w:val="auto"/>
              </w:rPr>
            </w:pPr>
          </w:p>
        </w:tc>
        <w:tc>
          <w:tcPr>
            <w:tcW w:w="310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276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3"/>
        </w:trPr>
        <w:tc>
          <w:tcPr>
            <w:tcW w:w="3580" w:type="dxa"/>
            <w:vAlign w:val="bottom"/>
          </w:tcPr>
          <w:p>
            <w:pPr>
              <w:spacing w:after="0"/>
              <w:rPr>
                <w:sz w:val="15"/>
                <w:szCs w:val="15"/>
                <w:color w:val="auto"/>
              </w:rPr>
            </w:pPr>
          </w:p>
        </w:tc>
        <w:tc>
          <w:tcPr>
            <w:tcW w:w="166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1994</w:t>
            </w:r>
          </w:p>
        </w:tc>
        <w:tc>
          <w:tcPr>
            <w:tcW w:w="144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1995</w:t>
            </w:r>
          </w:p>
        </w:tc>
        <w:tc>
          <w:tcPr>
            <w:tcW w:w="14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1995</w:t>
            </w:r>
          </w:p>
        </w:tc>
        <w:tc>
          <w:tcPr>
            <w:tcW w:w="13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1996</w:t>
            </w:r>
          </w:p>
        </w:tc>
      </w:tr>
      <w:tr>
        <w:trPr>
          <w:trHeight w:val="183"/>
        </w:trPr>
        <w:tc>
          <w:tcPr>
            <w:tcW w:w="3580" w:type="dxa"/>
            <w:vAlign w:val="bottom"/>
          </w:tcPr>
          <w:p>
            <w:pPr>
              <w:spacing w:after="0"/>
              <w:rPr>
                <w:sz w:val="15"/>
                <w:szCs w:val="15"/>
                <w:color w:val="auto"/>
              </w:rPr>
            </w:pPr>
          </w:p>
        </w:tc>
        <w:tc>
          <w:tcPr>
            <w:tcW w:w="16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97"/>
              </w:rPr>
              <w:t>------------</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3"/>
        </w:trPr>
        <w:tc>
          <w:tcPr>
            <w:tcW w:w="3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20" w:type="dxa"/>
            <w:vAlign w:val="bottom"/>
          </w:tcPr>
          <w:p>
            <w:pPr>
              <w:ind w:left="80"/>
              <w:spacing w:after="0"/>
              <w:rPr>
                <w:sz w:val="20"/>
                <w:szCs w:val="20"/>
                <w:color w:val="auto"/>
              </w:rPr>
            </w:pPr>
            <w:r>
              <w:rPr>
                <w:rFonts w:ascii="Courier New" w:cs="Courier New" w:eastAsia="Courier New" w:hAnsi="Courier New"/>
                <w:sz w:val="16"/>
                <w:szCs w:val="16"/>
                <w:color w:val="auto"/>
              </w:rPr>
              <w:t>(UNAUDITED)</w:t>
            </w:r>
          </w:p>
        </w:tc>
        <w:tc>
          <w:tcPr>
            <w:tcW w:w="1340" w:type="dxa"/>
            <w:vAlign w:val="bottom"/>
          </w:tcPr>
          <w:p>
            <w:pPr>
              <w:ind w:left="100"/>
              <w:spacing w:after="0"/>
              <w:rPr>
                <w:sz w:val="20"/>
                <w:szCs w:val="20"/>
                <w:color w:val="auto"/>
              </w:rPr>
            </w:pPr>
            <w:r>
              <w:rPr>
                <w:rFonts w:ascii="Courier New" w:cs="Courier New" w:eastAsia="Courier New" w:hAnsi="Courier New"/>
                <w:sz w:val="16"/>
                <w:szCs w:val="16"/>
                <w:color w:val="auto"/>
              </w:rPr>
              <w:t>(UNAUDITED)</w:t>
            </w:r>
          </w:p>
        </w:tc>
      </w:tr>
      <w:tr>
        <w:trPr>
          <w:trHeight w:val="367"/>
        </w:trPr>
        <w:tc>
          <w:tcPr>
            <w:tcW w:w="3580" w:type="dxa"/>
            <w:vAlign w:val="bottom"/>
          </w:tcPr>
          <w:p>
            <w:pPr>
              <w:spacing w:after="0"/>
              <w:rPr>
                <w:sz w:val="20"/>
                <w:szCs w:val="20"/>
                <w:color w:val="auto"/>
              </w:rPr>
            </w:pPr>
            <w:r>
              <w:rPr>
                <w:rFonts w:ascii="Courier New" w:cs="Courier New" w:eastAsia="Courier New" w:hAnsi="Courier New"/>
                <w:sz w:val="16"/>
                <w:szCs w:val="16"/>
                <w:color w:val="auto"/>
              </w:rPr>
              <w:t>REVENUE</w:t>
            </w:r>
          </w:p>
        </w:tc>
        <w:tc>
          <w:tcPr>
            <w:tcW w:w="16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83"/>
        </w:trPr>
        <w:tc>
          <w:tcPr>
            <w:tcW w:w="3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Net patient service revenue.......</w:t>
            </w:r>
          </w:p>
        </w:tc>
        <w:tc>
          <w:tcPr>
            <w:tcW w:w="16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$116,270,349</w:t>
            </w:r>
          </w:p>
        </w:tc>
        <w:tc>
          <w:tcPr>
            <w:tcW w:w="144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97"/>
              </w:rPr>
              <w:t>$120,526,146</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$59,258,003</w:t>
            </w:r>
          </w:p>
        </w:tc>
        <w:tc>
          <w:tcPr>
            <w:tcW w:w="13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$58,965,891</w:t>
            </w:r>
          </w:p>
        </w:tc>
      </w:tr>
      <w:tr>
        <w:trPr>
          <w:trHeight w:val="183"/>
        </w:trPr>
        <w:tc>
          <w:tcPr>
            <w:tcW w:w="3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Ad valorem tax revenue............</w:t>
            </w:r>
          </w:p>
        </w:tc>
        <w:tc>
          <w:tcPr>
            <w:tcW w:w="16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8,440,032</w:t>
            </w:r>
          </w:p>
        </w:tc>
        <w:tc>
          <w:tcPr>
            <w:tcW w:w="14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8,148,950</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3,976,986</w:t>
            </w:r>
          </w:p>
        </w:tc>
        <w:tc>
          <w:tcPr>
            <w:tcW w:w="13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4,147,934</w:t>
            </w:r>
          </w:p>
        </w:tc>
      </w:tr>
      <w:tr>
        <w:trPr>
          <w:trHeight w:val="183"/>
        </w:trPr>
        <w:tc>
          <w:tcPr>
            <w:tcW w:w="3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Other revenue.....................</w:t>
            </w:r>
          </w:p>
        </w:tc>
        <w:tc>
          <w:tcPr>
            <w:tcW w:w="16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6,347,587</w:t>
            </w:r>
          </w:p>
        </w:tc>
        <w:tc>
          <w:tcPr>
            <w:tcW w:w="14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7,323,087</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3,484,741</w:t>
            </w:r>
          </w:p>
        </w:tc>
        <w:tc>
          <w:tcPr>
            <w:tcW w:w="13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3,163,798</w:t>
            </w:r>
          </w:p>
        </w:tc>
      </w:tr>
      <w:tr>
        <w:trPr>
          <w:trHeight w:val="183"/>
        </w:trPr>
        <w:tc>
          <w:tcPr>
            <w:tcW w:w="3580" w:type="dxa"/>
            <w:vAlign w:val="bottom"/>
          </w:tcPr>
          <w:p>
            <w:pPr>
              <w:spacing w:after="0"/>
              <w:rPr>
                <w:sz w:val="15"/>
                <w:szCs w:val="15"/>
                <w:color w:val="auto"/>
              </w:rPr>
            </w:pPr>
          </w:p>
        </w:tc>
        <w:tc>
          <w:tcPr>
            <w:tcW w:w="16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97"/>
              </w:rPr>
              <w:t>------------</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3"/>
        </w:trPr>
        <w:tc>
          <w:tcPr>
            <w:tcW w:w="3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Total revenue...................</w:t>
            </w:r>
          </w:p>
        </w:tc>
        <w:tc>
          <w:tcPr>
            <w:tcW w:w="16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131,057,968</w:t>
            </w:r>
          </w:p>
        </w:tc>
        <w:tc>
          <w:tcPr>
            <w:tcW w:w="14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135,998,183</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66,719,730</w:t>
            </w:r>
          </w:p>
        </w:tc>
        <w:tc>
          <w:tcPr>
            <w:tcW w:w="13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66,277,623</w:t>
            </w:r>
          </w:p>
        </w:tc>
      </w:tr>
      <w:tr>
        <w:trPr>
          <w:trHeight w:val="183"/>
        </w:trPr>
        <w:tc>
          <w:tcPr>
            <w:tcW w:w="3580" w:type="dxa"/>
            <w:vAlign w:val="bottom"/>
          </w:tcPr>
          <w:p>
            <w:pPr>
              <w:spacing w:after="0"/>
              <w:rPr>
                <w:sz w:val="15"/>
                <w:szCs w:val="15"/>
                <w:color w:val="auto"/>
              </w:rPr>
            </w:pPr>
          </w:p>
        </w:tc>
        <w:tc>
          <w:tcPr>
            <w:tcW w:w="16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97"/>
              </w:rPr>
              <w:t>------------</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3"/>
        </w:trPr>
        <w:tc>
          <w:tcPr>
            <w:tcW w:w="3580" w:type="dxa"/>
            <w:vAlign w:val="bottom"/>
          </w:tcPr>
          <w:p>
            <w:pPr>
              <w:spacing w:after="0"/>
              <w:rPr>
                <w:sz w:val="20"/>
                <w:szCs w:val="20"/>
                <w:color w:val="auto"/>
              </w:rPr>
            </w:pPr>
            <w:r>
              <w:rPr>
                <w:rFonts w:ascii="Courier New" w:cs="Courier New" w:eastAsia="Courier New" w:hAnsi="Courier New"/>
                <w:sz w:val="16"/>
                <w:szCs w:val="16"/>
                <w:color w:val="auto"/>
              </w:rPr>
              <w:t>EXPENSES</w:t>
            </w:r>
          </w:p>
        </w:tc>
        <w:tc>
          <w:tcPr>
            <w:tcW w:w="16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3"/>
        </w:trPr>
        <w:tc>
          <w:tcPr>
            <w:tcW w:w="3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Wages, salaries and benefits......</w:t>
            </w:r>
          </w:p>
        </w:tc>
        <w:tc>
          <w:tcPr>
            <w:tcW w:w="16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62,955,952</w:t>
            </w:r>
          </w:p>
        </w:tc>
        <w:tc>
          <w:tcPr>
            <w:tcW w:w="14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60,927,158</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31,057,634</w:t>
            </w:r>
          </w:p>
        </w:tc>
        <w:tc>
          <w:tcPr>
            <w:tcW w:w="13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29,505,047</w:t>
            </w:r>
          </w:p>
        </w:tc>
      </w:tr>
      <w:tr>
        <w:trPr>
          <w:trHeight w:val="183"/>
        </w:trPr>
        <w:tc>
          <w:tcPr>
            <w:tcW w:w="3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Supplies and other................</w:t>
            </w:r>
          </w:p>
        </w:tc>
        <w:tc>
          <w:tcPr>
            <w:tcW w:w="16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29,841,638</w:t>
            </w:r>
          </w:p>
        </w:tc>
        <w:tc>
          <w:tcPr>
            <w:tcW w:w="14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31,901,499</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15,518,621</w:t>
            </w:r>
          </w:p>
        </w:tc>
        <w:tc>
          <w:tcPr>
            <w:tcW w:w="13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15,966,026</w:t>
            </w:r>
          </w:p>
        </w:tc>
      </w:tr>
      <w:tr>
        <w:trPr>
          <w:trHeight w:val="183"/>
        </w:trPr>
        <w:tc>
          <w:tcPr>
            <w:tcW w:w="3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Purchased services................</w:t>
            </w:r>
          </w:p>
        </w:tc>
        <w:tc>
          <w:tcPr>
            <w:tcW w:w="16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16,587,044</w:t>
            </w:r>
          </w:p>
        </w:tc>
        <w:tc>
          <w:tcPr>
            <w:tcW w:w="14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20,684,018</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9,369,627</w:t>
            </w:r>
          </w:p>
        </w:tc>
        <w:tc>
          <w:tcPr>
            <w:tcW w:w="13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11,247,888</w:t>
            </w:r>
          </w:p>
        </w:tc>
      </w:tr>
      <w:tr>
        <w:trPr>
          <w:trHeight w:val="183"/>
        </w:trPr>
        <w:tc>
          <w:tcPr>
            <w:tcW w:w="3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Professional malpractice costs....</w:t>
            </w:r>
          </w:p>
        </w:tc>
        <w:tc>
          <w:tcPr>
            <w:tcW w:w="16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471,648</w:t>
            </w:r>
          </w:p>
        </w:tc>
        <w:tc>
          <w:tcPr>
            <w:tcW w:w="14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132,786</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4,409</w:t>
            </w:r>
          </w:p>
        </w:tc>
        <w:tc>
          <w:tcPr>
            <w:tcW w:w="13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13,132</w:t>
            </w:r>
          </w:p>
        </w:tc>
      </w:tr>
      <w:tr>
        <w:trPr>
          <w:trHeight w:val="183"/>
        </w:trPr>
        <w:tc>
          <w:tcPr>
            <w:tcW w:w="3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Depreciation and amortization.....</w:t>
            </w:r>
          </w:p>
        </w:tc>
        <w:tc>
          <w:tcPr>
            <w:tcW w:w="16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7,223,586</w:t>
            </w:r>
          </w:p>
        </w:tc>
        <w:tc>
          <w:tcPr>
            <w:tcW w:w="14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8,664,553</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4,323,802</w:t>
            </w:r>
          </w:p>
        </w:tc>
        <w:tc>
          <w:tcPr>
            <w:tcW w:w="13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4,241,609</w:t>
            </w:r>
          </w:p>
        </w:tc>
      </w:tr>
      <w:tr>
        <w:trPr>
          <w:trHeight w:val="183"/>
        </w:trPr>
        <w:tc>
          <w:tcPr>
            <w:tcW w:w="3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Interest..........................</w:t>
            </w:r>
          </w:p>
        </w:tc>
        <w:tc>
          <w:tcPr>
            <w:tcW w:w="16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85,550</w:t>
            </w:r>
          </w:p>
        </w:tc>
        <w:tc>
          <w:tcPr>
            <w:tcW w:w="14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532,042</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253,803</w:t>
            </w:r>
          </w:p>
        </w:tc>
        <w:tc>
          <w:tcPr>
            <w:tcW w:w="13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222,733</w:t>
            </w:r>
          </w:p>
        </w:tc>
      </w:tr>
      <w:tr>
        <w:trPr>
          <w:trHeight w:val="183"/>
        </w:trPr>
        <w:tc>
          <w:tcPr>
            <w:tcW w:w="3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Provision for bad debts...........</w:t>
            </w:r>
          </w:p>
        </w:tc>
        <w:tc>
          <w:tcPr>
            <w:tcW w:w="16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11,439,013</w:t>
            </w:r>
          </w:p>
        </w:tc>
        <w:tc>
          <w:tcPr>
            <w:tcW w:w="14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12,187,290</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5,798,734</w:t>
            </w:r>
          </w:p>
        </w:tc>
        <w:tc>
          <w:tcPr>
            <w:tcW w:w="13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5,526,645</w:t>
            </w:r>
          </w:p>
        </w:tc>
      </w:tr>
      <w:tr>
        <w:trPr>
          <w:trHeight w:val="183"/>
        </w:trPr>
        <w:tc>
          <w:tcPr>
            <w:tcW w:w="3580" w:type="dxa"/>
            <w:vAlign w:val="bottom"/>
          </w:tcPr>
          <w:p>
            <w:pPr>
              <w:spacing w:after="0"/>
              <w:rPr>
                <w:sz w:val="15"/>
                <w:szCs w:val="15"/>
                <w:color w:val="auto"/>
              </w:rPr>
            </w:pPr>
          </w:p>
        </w:tc>
        <w:tc>
          <w:tcPr>
            <w:tcW w:w="16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97"/>
              </w:rPr>
              <w:t>------------</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3"/>
        </w:trPr>
        <w:tc>
          <w:tcPr>
            <w:tcW w:w="3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Total expenses..................</w:t>
            </w:r>
          </w:p>
        </w:tc>
        <w:tc>
          <w:tcPr>
            <w:tcW w:w="16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128,604,431</w:t>
            </w:r>
          </w:p>
        </w:tc>
        <w:tc>
          <w:tcPr>
            <w:tcW w:w="14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135,029,346</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66,326,630</w:t>
            </w:r>
          </w:p>
        </w:tc>
        <w:tc>
          <w:tcPr>
            <w:tcW w:w="13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66,723,080</w:t>
            </w:r>
          </w:p>
        </w:tc>
      </w:tr>
      <w:tr>
        <w:trPr>
          <w:trHeight w:val="183"/>
        </w:trPr>
        <w:tc>
          <w:tcPr>
            <w:tcW w:w="3580" w:type="dxa"/>
            <w:vAlign w:val="bottom"/>
          </w:tcPr>
          <w:p>
            <w:pPr>
              <w:spacing w:after="0"/>
              <w:rPr>
                <w:sz w:val="15"/>
                <w:szCs w:val="15"/>
                <w:color w:val="auto"/>
              </w:rPr>
            </w:pPr>
          </w:p>
        </w:tc>
        <w:tc>
          <w:tcPr>
            <w:tcW w:w="16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97"/>
              </w:rPr>
              <w:t>------------</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3"/>
        </w:trPr>
        <w:tc>
          <w:tcPr>
            <w:tcW w:w="3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Income (loss) from operations...</w:t>
            </w:r>
          </w:p>
        </w:tc>
        <w:tc>
          <w:tcPr>
            <w:tcW w:w="16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2,453,537</w:t>
            </w:r>
          </w:p>
        </w:tc>
        <w:tc>
          <w:tcPr>
            <w:tcW w:w="14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968,837</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393,100</w:t>
            </w: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(445,457)</w:t>
            </w:r>
          </w:p>
        </w:tc>
      </w:tr>
      <w:tr>
        <w:trPr>
          <w:trHeight w:val="183"/>
        </w:trPr>
        <w:tc>
          <w:tcPr>
            <w:tcW w:w="3580" w:type="dxa"/>
            <w:vAlign w:val="bottom"/>
          </w:tcPr>
          <w:p>
            <w:pPr>
              <w:spacing w:after="0"/>
              <w:rPr>
                <w:sz w:val="15"/>
                <w:szCs w:val="15"/>
                <w:color w:val="auto"/>
              </w:rPr>
            </w:pPr>
          </w:p>
        </w:tc>
        <w:tc>
          <w:tcPr>
            <w:tcW w:w="16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97"/>
              </w:rPr>
              <w:t>------------</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3"/>
        </w:trPr>
        <w:tc>
          <w:tcPr>
            <w:tcW w:w="3580" w:type="dxa"/>
            <w:vAlign w:val="bottom"/>
          </w:tcPr>
          <w:p>
            <w:pPr>
              <w:spacing w:after="0"/>
              <w:rPr>
                <w:sz w:val="20"/>
                <w:szCs w:val="20"/>
                <w:color w:val="auto"/>
              </w:rPr>
            </w:pPr>
            <w:r>
              <w:rPr>
                <w:rFonts w:ascii="Courier New" w:cs="Courier New" w:eastAsia="Courier New" w:hAnsi="Courier New"/>
                <w:sz w:val="16"/>
                <w:szCs w:val="16"/>
                <w:color w:val="auto"/>
              </w:rPr>
              <w:t>NONOPERATING GAINS (LOSSES)</w:t>
            </w:r>
          </w:p>
        </w:tc>
        <w:tc>
          <w:tcPr>
            <w:tcW w:w="16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3"/>
        </w:trPr>
        <w:tc>
          <w:tcPr>
            <w:tcW w:w="3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Income on investments whose use is</w:t>
            </w:r>
          </w:p>
        </w:tc>
        <w:tc>
          <w:tcPr>
            <w:tcW w:w="16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3"/>
        </w:trPr>
        <w:tc>
          <w:tcPr>
            <w:tcW w:w="3580" w:type="dxa"/>
            <w:vAlign w:val="bottom"/>
          </w:tcPr>
          <w:p>
            <w:pPr>
              <w:ind w:left="380"/>
              <w:spacing w:after="0"/>
              <w:rPr>
                <w:sz w:val="20"/>
                <w:szCs w:val="20"/>
                <w:color w:val="auto"/>
              </w:rPr>
            </w:pPr>
            <w:r>
              <w:rPr>
                <w:rFonts w:ascii="Courier New" w:cs="Courier New" w:eastAsia="Courier New" w:hAnsi="Courier New"/>
                <w:sz w:val="16"/>
                <w:szCs w:val="16"/>
                <w:color w:val="auto"/>
              </w:rPr>
              <w:t>limited under indenture</w:t>
            </w:r>
          </w:p>
        </w:tc>
        <w:tc>
          <w:tcPr>
            <w:tcW w:w="16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3"/>
        </w:trPr>
        <w:tc>
          <w:tcPr>
            <w:tcW w:w="3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agreement.......................</w:t>
            </w:r>
          </w:p>
        </w:tc>
        <w:tc>
          <w:tcPr>
            <w:tcW w:w="16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227,788</w:t>
            </w:r>
          </w:p>
        </w:tc>
        <w:tc>
          <w:tcPr>
            <w:tcW w:w="14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267,824</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135,638</w:t>
            </w:r>
          </w:p>
        </w:tc>
        <w:tc>
          <w:tcPr>
            <w:tcW w:w="13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147,347</w:t>
            </w:r>
          </w:p>
        </w:tc>
      </w:tr>
      <w:tr>
        <w:trPr>
          <w:trHeight w:val="183"/>
        </w:trPr>
        <w:tc>
          <w:tcPr>
            <w:tcW w:w="3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Other investment income...........</w:t>
            </w:r>
          </w:p>
        </w:tc>
        <w:tc>
          <w:tcPr>
            <w:tcW w:w="16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2,840,242</w:t>
            </w:r>
          </w:p>
        </w:tc>
        <w:tc>
          <w:tcPr>
            <w:tcW w:w="14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3,272,077</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1,464,773</w:t>
            </w:r>
          </w:p>
        </w:tc>
        <w:tc>
          <w:tcPr>
            <w:tcW w:w="13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1,860,104</w:t>
            </w:r>
          </w:p>
        </w:tc>
      </w:tr>
      <w:tr>
        <w:trPr>
          <w:trHeight w:val="183"/>
        </w:trPr>
        <w:tc>
          <w:tcPr>
            <w:tcW w:w="3580" w:type="dxa"/>
            <w:vAlign w:val="bottom"/>
          </w:tcPr>
          <w:p>
            <w:pPr>
              <w:ind w:left="180"/>
              <w:spacing w:after="0"/>
              <w:rPr>
                <w:sz w:val="20"/>
                <w:szCs w:val="20"/>
                <w:color w:val="auto"/>
              </w:rPr>
            </w:pPr>
            <w:r>
              <w:rPr>
                <w:rFonts w:ascii="Courier New" w:cs="Courier New" w:eastAsia="Courier New" w:hAnsi="Courier New"/>
                <w:sz w:val="16"/>
                <w:szCs w:val="16"/>
                <w:color w:val="auto"/>
              </w:rPr>
              <w:t>Gain (loss) on disposal of</w:t>
            </w:r>
          </w:p>
        </w:tc>
        <w:tc>
          <w:tcPr>
            <w:tcW w:w="16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3"/>
        </w:trPr>
        <w:tc>
          <w:tcPr>
            <w:tcW w:w="3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equipment.......................</w:t>
            </w:r>
          </w:p>
        </w:tc>
        <w:tc>
          <w:tcPr>
            <w:tcW w:w="16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(38,105)</w:t>
            </w:r>
          </w:p>
        </w:tc>
        <w:tc>
          <w:tcPr>
            <w:tcW w:w="14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15,094</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12,501</w:t>
            </w: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(81,707)</w:t>
            </w:r>
          </w:p>
        </w:tc>
      </w:tr>
      <w:tr>
        <w:trPr>
          <w:trHeight w:val="183"/>
        </w:trPr>
        <w:tc>
          <w:tcPr>
            <w:tcW w:w="3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Donations to school of pharmacy...</w:t>
            </w:r>
          </w:p>
        </w:tc>
        <w:tc>
          <w:tcPr>
            <w:tcW w:w="16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(4,000,000)</w:t>
            </w:r>
          </w:p>
        </w:tc>
        <w:tc>
          <w:tcPr>
            <w:tcW w:w="14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(155,683)</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(155,683)</w:t>
            </w:r>
          </w:p>
        </w:tc>
        <w:tc>
          <w:tcPr>
            <w:tcW w:w="13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3"/>
        </w:trPr>
        <w:tc>
          <w:tcPr>
            <w:tcW w:w="3580" w:type="dxa"/>
            <w:vAlign w:val="bottom"/>
          </w:tcPr>
          <w:p>
            <w:pPr>
              <w:ind w:left="180"/>
              <w:spacing w:after="0"/>
              <w:rPr>
                <w:sz w:val="20"/>
                <w:szCs w:val="20"/>
                <w:color w:val="auto"/>
              </w:rPr>
            </w:pPr>
            <w:r>
              <w:rPr>
                <w:rFonts w:ascii="Courier New" w:cs="Courier New" w:eastAsia="Courier New" w:hAnsi="Courier New"/>
                <w:sz w:val="16"/>
                <w:szCs w:val="16"/>
                <w:color w:val="auto"/>
              </w:rPr>
              <w:t>Medicaid disproportionate share</w:t>
            </w:r>
          </w:p>
        </w:tc>
        <w:tc>
          <w:tcPr>
            <w:tcW w:w="16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3"/>
        </w:trPr>
        <w:tc>
          <w:tcPr>
            <w:tcW w:w="3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program.........................</w:t>
            </w:r>
          </w:p>
        </w:tc>
        <w:tc>
          <w:tcPr>
            <w:tcW w:w="16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12,194,289</w:t>
            </w:r>
          </w:p>
        </w:tc>
        <w:tc>
          <w:tcPr>
            <w:tcW w:w="14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12,771,681</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6,562,895</w:t>
            </w:r>
          </w:p>
        </w:tc>
        <w:tc>
          <w:tcPr>
            <w:tcW w:w="13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6,898,502</w:t>
            </w:r>
          </w:p>
        </w:tc>
      </w:tr>
      <w:tr>
        <w:trPr>
          <w:trHeight w:val="183"/>
        </w:trPr>
        <w:tc>
          <w:tcPr>
            <w:tcW w:w="3580" w:type="dxa"/>
            <w:vAlign w:val="bottom"/>
          </w:tcPr>
          <w:p>
            <w:pPr>
              <w:spacing w:after="0"/>
              <w:rPr>
                <w:sz w:val="15"/>
                <w:szCs w:val="15"/>
                <w:color w:val="auto"/>
              </w:rPr>
            </w:pPr>
          </w:p>
        </w:tc>
        <w:tc>
          <w:tcPr>
            <w:tcW w:w="16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3580" w:type="dxa"/>
            <w:vAlign w:val="bottom"/>
          </w:tcPr>
          <w:p>
            <w:pPr>
              <w:ind w:left="380"/>
              <w:spacing w:after="0"/>
              <w:rPr>
                <w:sz w:val="20"/>
                <w:szCs w:val="20"/>
                <w:color w:val="auto"/>
              </w:rPr>
            </w:pPr>
            <w:r>
              <w:rPr>
                <w:rFonts w:ascii="Courier New" w:cs="Courier New" w:eastAsia="Courier New" w:hAnsi="Courier New"/>
                <w:sz w:val="16"/>
                <w:szCs w:val="16"/>
                <w:color w:val="auto"/>
              </w:rPr>
              <w:t>Nonoperating gains, net.......</w:t>
            </w:r>
          </w:p>
        </w:tc>
        <w:tc>
          <w:tcPr>
            <w:tcW w:w="166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11,224,214</w:t>
            </w:r>
          </w:p>
        </w:tc>
        <w:tc>
          <w:tcPr>
            <w:tcW w:w="144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7"/>
              </w:rPr>
              <w:t>16,170,993</w:t>
            </w:r>
          </w:p>
        </w:tc>
        <w:tc>
          <w:tcPr>
            <w:tcW w:w="1420" w:type="dxa"/>
            <w:vAlign w:val="bottom"/>
          </w:tcPr>
          <w:p>
            <w:pPr>
              <w:ind w:left="80"/>
              <w:spacing w:after="0"/>
              <w:rPr>
                <w:sz w:val="20"/>
                <w:szCs w:val="20"/>
                <w:color w:val="auto"/>
              </w:rPr>
            </w:pPr>
            <w:r>
              <w:rPr>
                <w:rFonts w:ascii="Courier New" w:cs="Courier New" w:eastAsia="Courier New" w:hAnsi="Courier New"/>
                <w:sz w:val="16"/>
                <w:szCs w:val="16"/>
                <w:color w:val="auto"/>
              </w:rPr>
              <w:t>8,020,124</w:t>
            </w:r>
          </w:p>
        </w:tc>
        <w:tc>
          <w:tcPr>
            <w:tcW w:w="1340" w:type="dxa"/>
            <w:vAlign w:val="bottom"/>
          </w:tcPr>
          <w:p>
            <w:pPr>
              <w:ind w:left="100"/>
              <w:spacing w:after="0"/>
              <w:rPr>
                <w:sz w:val="20"/>
                <w:szCs w:val="20"/>
                <w:color w:val="auto"/>
              </w:rPr>
            </w:pPr>
            <w:r>
              <w:rPr>
                <w:rFonts w:ascii="Courier New" w:cs="Courier New" w:eastAsia="Courier New" w:hAnsi="Courier New"/>
                <w:sz w:val="16"/>
                <w:szCs w:val="16"/>
                <w:color w:val="auto"/>
              </w:rPr>
              <w:t>8,824,246</w:t>
            </w:r>
          </w:p>
        </w:tc>
      </w:tr>
      <w:tr>
        <w:trPr>
          <w:trHeight w:val="183"/>
        </w:trPr>
        <w:tc>
          <w:tcPr>
            <w:tcW w:w="3580" w:type="dxa"/>
            <w:vAlign w:val="bottom"/>
          </w:tcPr>
          <w:p>
            <w:pPr>
              <w:spacing w:after="0"/>
              <w:rPr>
                <w:sz w:val="15"/>
                <w:szCs w:val="15"/>
                <w:color w:val="auto"/>
              </w:rPr>
            </w:pPr>
          </w:p>
        </w:tc>
        <w:tc>
          <w:tcPr>
            <w:tcW w:w="16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97"/>
              </w:rPr>
              <w:t>------------</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3"/>
        </w:trPr>
        <w:tc>
          <w:tcPr>
            <w:tcW w:w="3580" w:type="dxa"/>
            <w:vAlign w:val="bottom"/>
          </w:tcPr>
          <w:p>
            <w:pPr>
              <w:spacing w:after="0"/>
              <w:rPr>
                <w:sz w:val="20"/>
                <w:szCs w:val="20"/>
                <w:color w:val="auto"/>
              </w:rPr>
            </w:pPr>
            <w:r>
              <w:rPr>
                <w:rFonts w:ascii="Courier New" w:cs="Courier New" w:eastAsia="Courier New" w:hAnsi="Courier New"/>
                <w:sz w:val="16"/>
                <w:szCs w:val="16"/>
                <w:color w:val="auto"/>
              </w:rPr>
              <w:t>REVENUE AND GAINS IN EXCESS OF</w:t>
            </w:r>
          </w:p>
        </w:tc>
        <w:tc>
          <w:tcPr>
            <w:tcW w:w="16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3"/>
        </w:trPr>
        <w:tc>
          <w:tcPr>
            <w:tcW w:w="3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EXPENSES AND LOSSES...............</w:t>
            </w:r>
          </w:p>
        </w:tc>
        <w:tc>
          <w:tcPr>
            <w:tcW w:w="16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$ 13,677,751</w:t>
            </w:r>
          </w:p>
        </w:tc>
        <w:tc>
          <w:tcPr>
            <w:tcW w:w="144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97"/>
              </w:rPr>
              <w:t>$ 17,139,830</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$ 8,413,224</w:t>
            </w:r>
          </w:p>
        </w:tc>
        <w:tc>
          <w:tcPr>
            <w:tcW w:w="13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$ 8,378,789</w:t>
            </w:r>
          </w:p>
        </w:tc>
      </w:tr>
      <w:tr>
        <w:trPr>
          <w:trHeight w:val="183"/>
        </w:trPr>
        <w:tc>
          <w:tcPr>
            <w:tcW w:w="3580" w:type="dxa"/>
            <w:vAlign w:val="bottom"/>
          </w:tcPr>
          <w:p>
            <w:pPr>
              <w:spacing w:after="0"/>
              <w:rPr>
                <w:sz w:val="15"/>
                <w:szCs w:val="15"/>
                <w:color w:val="auto"/>
              </w:rPr>
            </w:pPr>
          </w:p>
        </w:tc>
        <w:tc>
          <w:tcPr>
            <w:tcW w:w="16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97"/>
              </w:rPr>
              <w:t>------------</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3"/>
        </w:trPr>
        <w:tc>
          <w:tcPr>
            <w:tcW w:w="3580" w:type="dxa"/>
            <w:vAlign w:val="bottom"/>
          </w:tcPr>
          <w:p>
            <w:pPr>
              <w:spacing w:after="0"/>
              <w:rPr>
                <w:sz w:val="15"/>
                <w:szCs w:val="15"/>
                <w:color w:val="auto"/>
              </w:rPr>
            </w:pPr>
          </w:p>
        </w:tc>
        <w:tc>
          <w:tcPr>
            <w:tcW w:w="16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97"/>
              </w:rPr>
              <w:t>------------</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bl>
    <w:p>
      <w:pPr>
        <w:spacing w:after="0" w:line="372"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These financial statements should be read only in connection with the accompanying summary of significant accounting policies and notes to financial statements.</w:t>
      </w:r>
    </w:p>
    <w:p>
      <w:pPr>
        <w:spacing w:after="0" w:line="18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F-30</w:t>
      </w:r>
    </w:p>
    <w:p>
      <w:pPr>
        <w:sectPr>
          <w:pgSz w:w="11900" w:h="16838" w:orient="portrait"/>
          <w:cols w:equalWidth="0" w:num="1">
            <w:col w:w="10219"/>
          </w:cols>
          <w:pgMar w:left="240" w:top="481" w:right="1440" w:bottom="1440" w:gutter="0" w:footer="0" w:header="0"/>
        </w:sectPr>
      </w:pPr>
    </w:p>
    <w:bookmarkStart w:id="80" w:name="page81"/>
    <w:bookmarkEnd w:id="80"/>
    <w:p>
      <w:pPr>
        <w:ind w:left="2200"/>
        <w:spacing w:after="0"/>
        <w:rPr>
          <w:sz w:val="20"/>
          <w:szCs w:val="20"/>
          <w:color w:val="auto"/>
        </w:rPr>
      </w:pPr>
      <w:r>
        <w:rPr>
          <w:rFonts w:ascii="Courier New" w:cs="Courier New" w:eastAsia="Courier New" w:hAnsi="Courier New"/>
          <w:sz w:val="16"/>
          <w:szCs w:val="16"/>
          <w:color w:val="auto"/>
        </w:rPr>
        <w:t>NORTHWEST TEXAS HEALTHCARE SYSTEM</w:t>
      </w:r>
    </w:p>
    <w:p>
      <w:pPr>
        <w:spacing w:after="0" w:line="2"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STATEMENTS OF CHANGES IN FUND BALANCES</w:t>
      </w:r>
    </w:p>
    <w:p>
      <w:pPr>
        <w:spacing w:after="0" w:line="5"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YEARS ENDED SEPTEMBER 30, 1994 AND 1995 AND</w:t>
      </w:r>
    </w:p>
    <w:p>
      <w:pPr>
        <w:spacing w:after="0" w:line="13"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SIX MONTHS ENDED MARCH 31, 1996 (UNAUDITED)</w:t>
      </w:r>
    </w:p>
    <w:p>
      <w:pPr>
        <w:sectPr>
          <w:pgSz w:w="11900" w:h="16838" w:orient="portrait"/>
          <w:cols w:equalWidth="0" w:num="1">
            <w:col w:w="10219"/>
          </w:cols>
          <w:pgMar w:left="240" w:top="4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YEAR ENDED</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SEPTEMBER 30, 1994</w:t>
      </w:r>
    </w:p>
    <w:p>
      <w:pPr>
        <w:spacing w:after="0" w:line="5"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UNREALIZED</w:t>
      </w:r>
    </w:p>
    <w:p>
      <w:pPr>
        <w:spacing w:after="0" w:line="2" w:lineRule="exact"/>
        <w:rPr>
          <w:sz w:val="20"/>
          <w:szCs w:val="20"/>
          <w:color w:val="auto"/>
        </w:rPr>
      </w:pPr>
    </w:p>
    <w:p>
      <w:pPr>
        <w:ind w:left="2200"/>
        <w:spacing w:after="0"/>
        <w:tabs>
          <w:tab w:leader="none" w:pos="3800" w:val="left"/>
        </w:tabs>
        <w:rPr>
          <w:sz w:val="20"/>
          <w:szCs w:val="20"/>
          <w:color w:val="auto"/>
        </w:rPr>
      </w:pPr>
      <w:r>
        <w:rPr>
          <w:rFonts w:ascii="Courier New" w:cs="Courier New" w:eastAsia="Courier New" w:hAnsi="Courier New"/>
          <w:sz w:val="16"/>
          <w:szCs w:val="16"/>
          <w:color w:val="auto"/>
        </w:rPr>
        <w:t>UNRESTRICTED</w:t>
      </w:r>
      <w:r>
        <w:rPr>
          <w:sz w:val="20"/>
          <w:szCs w:val="20"/>
          <w:color w:val="auto"/>
        </w:rPr>
        <w:tab/>
      </w:r>
      <w:r>
        <w:rPr>
          <w:rFonts w:ascii="Courier New" w:cs="Courier New" w:eastAsia="Courier New" w:hAnsi="Courier New"/>
          <w:sz w:val="16"/>
          <w:szCs w:val="16"/>
          <w:color w:val="auto"/>
        </w:rPr>
        <w:t>LOSSES</w:t>
      </w:r>
    </w:p>
    <w:p>
      <w:pPr>
        <w:spacing w:after="0" w:line="2" w:lineRule="exact"/>
        <w:rPr>
          <w:sz w:val="20"/>
          <w:szCs w:val="20"/>
          <w:color w:val="auto"/>
        </w:rPr>
      </w:pPr>
    </w:p>
    <w:p>
      <w:pPr>
        <w:ind w:left="2200"/>
        <w:spacing w:after="0"/>
        <w:tabs>
          <w:tab w:leader="none" w:pos="3600" w:val="left"/>
        </w:tabs>
        <w:rPr>
          <w:sz w:val="20"/>
          <w:szCs w:val="20"/>
          <w:color w:val="auto"/>
        </w:rPr>
      </w:pPr>
      <w:r>
        <w:rPr>
          <w:rFonts w:ascii="Courier New" w:cs="Courier New" w:eastAsia="Courier New" w:hAnsi="Courier New"/>
          <w:sz w:val="16"/>
          <w:szCs w:val="16"/>
          <w:color w:val="auto"/>
        </w:rPr>
        <w:t>------------</w:t>
        <w:tab/>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YEAR ENDED</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SEPTEMBER 30, 1995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UNREALIZED</w:t>
      </w:r>
    </w:p>
    <w:p>
      <w:pPr>
        <w:spacing w:after="0" w:line="2"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6"/>
          <w:szCs w:val="16"/>
          <w:color w:val="auto"/>
        </w:rPr>
        <w:t>UNRESTRICTED</w:t>
      </w:r>
      <w:r>
        <w:rPr>
          <w:sz w:val="20"/>
          <w:szCs w:val="20"/>
          <w:color w:val="auto"/>
        </w:rPr>
        <w:tab/>
      </w:r>
      <w:r>
        <w:rPr>
          <w:rFonts w:ascii="Courier New" w:cs="Courier New" w:eastAsia="Courier New" w:hAnsi="Courier New"/>
          <w:sz w:val="16"/>
          <w:szCs w:val="16"/>
          <w:color w:val="auto"/>
        </w:rPr>
        <w:t>LOSSES</w:t>
      </w:r>
    </w:p>
    <w:p>
      <w:pPr>
        <w:spacing w:after="0" w:line="2"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w:t>
        <w:tab/>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1"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SIX MONTHS ENDED</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MARCH 31, 1996</w:t>
      </w:r>
    </w:p>
    <w:p>
      <w:pPr>
        <w:spacing w:after="0" w:line="2"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(UNAUDITED)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UNREALIZED</w:t>
      </w:r>
    </w:p>
    <w:p>
      <w:pPr>
        <w:spacing w:after="0" w:line="11"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6"/>
          <w:szCs w:val="16"/>
          <w:color w:val="auto"/>
        </w:rPr>
        <w:t>UNRESTRICTED</w:t>
      </w:r>
      <w:r>
        <w:rPr>
          <w:sz w:val="20"/>
          <w:szCs w:val="20"/>
          <w:color w:val="auto"/>
        </w:rPr>
        <w:tab/>
      </w:r>
      <w:r>
        <w:rPr>
          <w:rFonts w:ascii="Courier New" w:cs="Courier New" w:eastAsia="Courier New" w:hAnsi="Courier New"/>
          <w:sz w:val="16"/>
          <w:szCs w:val="16"/>
          <w:color w:val="auto"/>
        </w:rPr>
        <w:t>LOSSES</w:t>
      </w:r>
    </w:p>
    <w:p>
      <w:pPr>
        <w:spacing w:after="0" w:line="5" w:lineRule="exact"/>
        <w:rPr>
          <w:sz w:val="20"/>
          <w:szCs w:val="20"/>
          <w:color w:val="auto"/>
        </w:rPr>
      </w:pPr>
    </w:p>
    <w:p>
      <w:pPr>
        <w:spacing w:after="0"/>
        <w:tabs>
          <w:tab w:leader="none" w:pos="14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96" w:lineRule="exact"/>
        <w:rPr>
          <w:sz w:val="20"/>
          <w:szCs w:val="20"/>
          <w:color w:val="auto"/>
        </w:rPr>
      </w:pPr>
    </w:p>
    <w:p>
      <w:pPr>
        <w:sectPr>
          <w:pgSz w:w="11900" w:h="16838" w:orient="portrait"/>
          <w:cols w:equalWidth="0" w:num="3">
            <w:col w:w="4680" w:space="280"/>
            <w:col w:w="2480" w:space="280"/>
            <w:col w:w="2499"/>
          </w:cols>
          <w:pgMar w:left="240" w:top="48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BALANCE, BEGINNING OF</w:t>
      </w:r>
    </w:p>
    <w:p>
      <w:pPr>
        <w:sectPr>
          <w:pgSz w:w="11900" w:h="16838" w:orient="portrait"/>
          <w:cols w:equalWidth="0" w:num="1">
            <w:col w:w="10219"/>
          </w:cols>
          <w:pgMar w:left="240" w:top="481" w:right="1440" w:bottom="1440" w:gutter="0" w:footer="0" w:header="0"/>
          <w:type w:val="continuous"/>
        </w:sectPr>
      </w:pPr>
    </w:p>
    <w:p>
      <w:pPr>
        <w:spacing w:after="0" w:line="1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$102,947,085</w:t>
      </w:r>
    </w:p>
    <w:p>
      <w:pPr>
        <w:spacing w:after="0" w:line="20" w:lineRule="exact"/>
        <w:rPr>
          <w:sz w:val="20"/>
          <w:szCs w:val="20"/>
          <w:color w:val="auto"/>
        </w:rPr>
      </w:pPr>
      <w:r>
        <w:rPr>
          <w:sz w:val="20"/>
          <w:szCs w:val="20"/>
          <w:color w:val="auto"/>
        </w:rPr>
        <w:br w:type="column"/>
      </w:r>
    </w:p>
    <w:p>
      <w:pPr>
        <w:spacing w:after="0"/>
        <w:tabs>
          <w:tab w:leader="none" w:pos="360" w:val="left"/>
        </w:tabs>
        <w:rPr>
          <w:sz w:val="20"/>
          <w:szCs w:val="20"/>
          <w:color w:val="auto"/>
        </w:rPr>
      </w:pPr>
      <w:r>
        <w:rPr>
          <w:rFonts w:ascii="Courier New" w:cs="Courier New" w:eastAsia="Courier New" w:hAnsi="Courier New"/>
          <w:sz w:val="16"/>
          <w:szCs w:val="16"/>
          <w:color w:val="auto"/>
        </w:rPr>
        <w:t>$</w:t>
        <w:tab/>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$116,667,424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$(1,072,194)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$134,058,431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(335,149)</w:t>
      </w:r>
    </w:p>
    <w:p>
      <w:pPr>
        <w:spacing w:after="0" w:line="13" w:lineRule="exact"/>
        <w:rPr>
          <w:sz w:val="20"/>
          <w:szCs w:val="20"/>
          <w:color w:val="auto"/>
        </w:rPr>
      </w:pPr>
    </w:p>
    <w:p>
      <w:pPr>
        <w:sectPr>
          <w:pgSz w:w="11900" w:h="16838" w:orient="portrait"/>
          <w:cols w:equalWidth="0" w:num="7">
            <w:col w:w="2000" w:space="200"/>
            <w:col w:w="1140" w:space="280"/>
            <w:col w:w="620" w:space="720"/>
            <w:col w:w="1140" w:space="280"/>
            <w:col w:w="1160" w:space="180"/>
            <w:col w:w="1140" w:space="300"/>
            <w:col w:w="1059"/>
          </w:cols>
          <w:pgMar w:left="240" w:top="481" w:right="1440" w:bottom="144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Revenue and gains</w:t>
      </w:r>
    </w:p>
    <w:p>
      <w:pPr>
        <w:spacing w:after="0" w:line="11"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in excess of</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expenses and</w:t>
      </w:r>
    </w:p>
    <w:p>
      <w:pPr>
        <w:sectPr>
          <w:pgSz w:w="11900" w:h="16838" w:orient="portrait"/>
          <w:cols w:equalWidth="0" w:num="1">
            <w:col w:w="10219"/>
          </w:cols>
          <w:pgMar w:left="240" w:top="481" w:right="1440" w:bottom="1440" w:gutter="0" w:footer="0" w:header="0"/>
          <w:type w:val="continuous"/>
        </w:sectPr>
      </w:pP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losses...........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13,677,751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17,139,830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8,378,789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1" w:lineRule="exact"/>
        <w:rPr>
          <w:sz w:val="20"/>
          <w:szCs w:val="20"/>
          <w:color w:val="auto"/>
        </w:rPr>
      </w:pPr>
    </w:p>
    <w:p>
      <w:pPr>
        <w:sectPr>
          <w:pgSz w:w="11900" w:h="16838" w:orient="portrait"/>
          <w:cols w:equalWidth="0" w:num="7">
            <w:col w:w="2000" w:space="380"/>
            <w:col w:w="960" w:space="660"/>
            <w:col w:w="420" w:space="720"/>
            <w:col w:w="960" w:space="660"/>
            <w:col w:w="520" w:space="720"/>
            <w:col w:w="860" w:space="680"/>
            <w:col w:w="679"/>
          </w:cols>
          <w:pgMar w:left="240" w:top="481" w:right="1440" w:bottom="1440" w:gutter="0" w:footer="0" w:header="0"/>
          <w:type w:val="continuous"/>
        </w:sectPr>
      </w:pPr>
    </w:p>
    <w:p>
      <w:pPr>
        <w:ind w:left="180"/>
        <w:spacing w:after="0"/>
        <w:rPr>
          <w:sz w:val="20"/>
          <w:szCs w:val="20"/>
          <w:color w:val="auto"/>
        </w:rPr>
      </w:pPr>
      <w:r>
        <w:rPr>
          <w:rFonts w:ascii="Courier New" w:cs="Courier New" w:eastAsia="Courier New" w:hAnsi="Courier New"/>
          <w:sz w:val="16"/>
          <w:szCs w:val="16"/>
          <w:color w:val="auto"/>
        </w:rPr>
        <w:t>Change in</w:t>
      </w: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unrealized gains</w:t>
      </w:r>
    </w:p>
    <w:p>
      <w:pPr>
        <w:spacing w:after="0" w:line="11"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(losses) on</w:t>
      </w:r>
    </w:p>
    <w:p>
      <w:pPr>
        <w:sectPr>
          <w:pgSz w:w="11900" w:h="16838" w:orient="portrait"/>
          <w:cols w:equalWidth="0" w:num="1">
            <w:col w:w="10219"/>
          </w:cols>
          <w:pgMar w:left="240" w:top="481" w:right="1440" w:bottom="1440" w:gutter="0" w:footer="0" w:header="0"/>
          <w:type w:val="continuous"/>
        </w:sectPr>
      </w:pP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investments......</w:t>
      </w:r>
    </w:p>
    <w:p>
      <w:pPr>
        <w:spacing w:after="0" w:line="1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Other..............</w:t>
      </w:r>
    </w:p>
    <w:p>
      <w:pPr>
        <w:spacing w:after="0" w:line="20" w:lineRule="exact"/>
        <w:rPr>
          <w:sz w:val="20"/>
          <w:szCs w:val="20"/>
          <w:color w:val="auto"/>
        </w:rPr>
      </w:pPr>
      <w:r>
        <w:rPr>
          <w:sz w:val="20"/>
          <w:szCs w:val="20"/>
          <w:color w:val="auto"/>
        </w:rPr>
        <w:br w:type="column"/>
      </w:r>
    </w:p>
    <w:p>
      <w:pPr>
        <w:ind w:left="46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42,588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5"/>
          <w:szCs w:val="15"/>
          <w:color w:val="auto"/>
        </w:rPr>
        <w:t>(1,072,194)</w:t>
      </w:r>
    </w:p>
    <w:p>
      <w:pPr>
        <w:spacing w:after="0" w:line="11"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48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80"/>
        <w:spacing w:after="0"/>
        <w:rPr>
          <w:sz w:val="20"/>
          <w:szCs w:val="20"/>
          <w:color w:val="auto"/>
        </w:rPr>
      </w:pPr>
      <w:r>
        <w:rPr>
          <w:rFonts w:ascii="Courier New" w:cs="Courier New" w:eastAsia="Courier New" w:hAnsi="Courier New"/>
          <w:sz w:val="15"/>
          <w:szCs w:val="15"/>
          <w:color w:val="auto"/>
        </w:rPr>
        <w:t>251,177</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380"/>
        <w:spacing w:after="0"/>
        <w:rPr>
          <w:sz w:val="20"/>
          <w:szCs w:val="20"/>
          <w:color w:val="auto"/>
        </w:rPr>
      </w:pPr>
      <w:r>
        <w:rPr>
          <w:rFonts w:ascii="Courier New" w:cs="Courier New" w:eastAsia="Courier New" w:hAnsi="Courier New"/>
          <w:sz w:val="16"/>
          <w:szCs w:val="16"/>
          <w:color w:val="auto"/>
        </w:rPr>
        <w:t>737,045</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48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80"/>
        <w:spacing w:after="0"/>
        <w:rPr>
          <w:sz w:val="20"/>
          <w:szCs w:val="20"/>
          <w:color w:val="auto"/>
        </w:rPr>
      </w:pPr>
      <w:r>
        <w:rPr>
          <w:rFonts w:ascii="Courier New" w:cs="Courier New" w:eastAsia="Courier New" w:hAnsi="Courier New"/>
          <w:sz w:val="15"/>
          <w:szCs w:val="15"/>
          <w:color w:val="auto"/>
        </w:rPr>
        <w:t>291,702</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center"/>
        <w:ind w:right="-160"/>
        <w:spacing w:after="0"/>
        <w:rPr>
          <w:sz w:val="20"/>
          <w:szCs w:val="20"/>
          <w:color w:val="auto"/>
        </w:rPr>
      </w:pPr>
      <w:r>
        <w:rPr>
          <w:rFonts w:ascii="Courier New" w:cs="Courier New" w:eastAsia="Courier New" w:hAnsi="Courier New"/>
          <w:sz w:val="15"/>
          <w:szCs w:val="15"/>
          <w:color w:val="auto"/>
        </w:rPr>
        <w:t>270,420</w:t>
      </w:r>
    </w:p>
    <w:p>
      <w:pPr>
        <w:spacing w:after="0" w:line="11" w:lineRule="exact"/>
        <w:rPr>
          <w:sz w:val="20"/>
          <w:szCs w:val="20"/>
          <w:color w:val="auto"/>
        </w:rPr>
      </w:pPr>
    </w:p>
    <w:p>
      <w:pPr>
        <w:jc w:val="center"/>
        <w:ind w:right="119"/>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center"/>
        <w:ind w:right="119"/>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sectPr>
          <w:pgSz w:w="11900" w:h="16838" w:orient="portrait"/>
          <w:cols w:equalWidth="0" w:num="7">
            <w:col w:w="2000" w:space="200"/>
            <w:col w:w="1140" w:space="280"/>
            <w:col w:w="1140" w:space="200"/>
            <w:col w:w="1140" w:space="280"/>
            <w:col w:w="1060" w:space="280"/>
            <w:col w:w="1140" w:space="300"/>
            <w:col w:w="1059"/>
          </w:cols>
          <w:pgMar w:left="240" w:top="48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BALANCE,</w:t>
      </w:r>
    </w:p>
    <w:p>
      <w:pPr>
        <w:sectPr>
          <w:pgSz w:w="11900" w:h="16838" w:orient="portrait"/>
          <w:cols w:equalWidth="0" w:num="1">
            <w:col w:w="10219"/>
          </w:cols>
          <w:pgMar w:left="240" w:top="481" w:right="1440" w:bottom="1440" w:gutter="0" w:footer="0" w:header="0"/>
          <w:type w:val="continuous"/>
        </w:sectPr>
      </w:pPr>
    </w:p>
    <w:p>
      <w:pPr>
        <w:spacing w:after="0" w:line="1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END OF PERIOD......</w:t>
      </w:r>
    </w:p>
    <w:p>
      <w:pPr>
        <w:spacing w:after="0" w:line="20" w:lineRule="exact"/>
        <w:rPr>
          <w:sz w:val="20"/>
          <w:szCs w:val="20"/>
          <w:color w:val="auto"/>
        </w:rPr>
      </w:pPr>
      <w:r>
        <w:rPr>
          <w:sz w:val="20"/>
          <w:szCs w:val="20"/>
          <w:color w:val="auto"/>
        </w:rPr>
        <w:br w:type="column"/>
      </w:r>
    </w:p>
    <w:p>
      <w:pPr>
        <w:spacing w:after="0" w:line="265" w:lineRule="auto"/>
        <w:rPr>
          <w:sz w:val="20"/>
          <w:szCs w:val="20"/>
          <w:color w:val="auto"/>
        </w:rPr>
      </w:pPr>
      <w:r>
        <w:rPr>
          <w:rFonts w:ascii="Courier New" w:cs="Courier New" w:eastAsia="Courier New" w:hAnsi="Courier New"/>
          <w:sz w:val="15"/>
          <w:szCs w:val="15"/>
          <w:color w:val="auto"/>
        </w:rPr>
        <w:t>$116,667,424 ------------ ------------</w:t>
      </w:r>
    </w:p>
    <w:p>
      <w:pPr>
        <w:spacing w:after="0" w:line="20" w:lineRule="exact"/>
        <w:rPr>
          <w:sz w:val="20"/>
          <w:szCs w:val="20"/>
          <w:color w:val="auto"/>
        </w:rPr>
      </w:pPr>
      <w:r>
        <w:rPr>
          <w:sz w:val="20"/>
          <w:szCs w:val="20"/>
          <w:color w:val="auto"/>
        </w:rPr>
        <w:br w:type="column"/>
      </w:r>
    </w:p>
    <w:p>
      <w:pPr>
        <w:spacing w:after="0" w:line="265" w:lineRule="auto"/>
        <w:rPr>
          <w:sz w:val="20"/>
          <w:szCs w:val="20"/>
          <w:color w:val="auto"/>
        </w:rPr>
      </w:pPr>
      <w:r>
        <w:rPr>
          <w:rFonts w:ascii="Courier New" w:cs="Courier New" w:eastAsia="Courier New" w:hAnsi="Courier New"/>
          <w:sz w:val="15"/>
          <w:szCs w:val="15"/>
          <w:color w:val="auto"/>
        </w:rPr>
        <w:t>$(1,072,194) ----------- -----------</w:t>
      </w:r>
    </w:p>
    <w:p>
      <w:pPr>
        <w:spacing w:after="0" w:line="20" w:lineRule="exact"/>
        <w:rPr>
          <w:sz w:val="20"/>
          <w:szCs w:val="20"/>
          <w:color w:val="auto"/>
        </w:rPr>
      </w:pPr>
      <w:r>
        <w:rPr>
          <w:sz w:val="20"/>
          <w:szCs w:val="20"/>
          <w:color w:val="auto"/>
        </w:rPr>
        <w:br w:type="column"/>
      </w:r>
    </w:p>
    <w:p>
      <w:pPr>
        <w:spacing w:after="0" w:line="265" w:lineRule="auto"/>
        <w:rPr>
          <w:sz w:val="20"/>
          <w:szCs w:val="20"/>
          <w:color w:val="auto"/>
        </w:rPr>
      </w:pPr>
      <w:r>
        <w:rPr>
          <w:rFonts w:ascii="Courier New" w:cs="Courier New" w:eastAsia="Courier New" w:hAnsi="Courier New"/>
          <w:sz w:val="15"/>
          <w:szCs w:val="15"/>
          <w:color w:val="auto"/>
        </w:rPr>
        <w:t>$134,058,431 ------------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 (335,149) ----------- -----------</w:t>
      </w:r>
    </w:p>
    <w:p>
      <w:pPr>
        <w:spacing w:after="0" w:line="20" w:lineRule="exact"/>
        <w:rPr>
          <w:sz w:val="20"/>
          <w:szCs w:val="20"/>
          <w:color w:val="auto"/>
        </w:rPr>
      </w:pPr>
      <w:r>
        <w:rPr>
          <w:sz w:val="20"/>
          <w:szCs w:val="20"/>
          <w:color w:val="auto"/>
        </w:rPr>
        <w:br w:type="column"/>
      </w:r>
    </w:p>
    <w:p>
      <w:pPr>
        <w:jc w:val="both"/>
        <w:spacing w:after="0" w:line="265" w:lineRule="auto"/>
        <w:rPr>
          <w:sz w:val="20"/>
          <w:szCs w:val="20"/>
          <w:color w:val="auto"/>
        </w:rPr>
      </w:pPr>
      <w:r>
        <w:rPr>
          <w:rFonts w:ascii="Courier New" w:cs="Courier New" w:eastAsia="Courier New" w:hAnsi="Courier New"/>
          <w:sz w:val="15"/>
          <w:szCs w:val="15"/>
          <w:color w:val="auto"/>
        </w:rPr>
        <w:t>$142,728,922 ------------ ------------</w:t>
      </w:r>
    </w:p>
    <w:p>
      <w:pPr>
        <w:spacing w:after="0" w:line="20" w:lineRule="exact"/>
        <w:rPr>
          <w:sz w:val="20"/>
          <w:szCs w:val="20"/>
          <w:color w:val="auto"/>
        </w:rPr>
      </w:pPr>
      <w:r>
        <w:rPr>
          <w:sz w:val="20"/>
          <w:szCs w:val="20"/>
          <w:color w:val="auto"/>
        </w:rPr>
        <w:br w:type="column"/>
      </w:r>
    </w:p>
    <w:p>
      <w:pPr>
        <w:ind w:right="19"/>
        <w:spacing w:after="0"/>
        <w:rPr>
          <w:sz w:val="20"/>
          <w:szCs w:val="20"/>
          <w:color w:val="auto"/>
        </w:rPr>
      </w:pPr>
      <w:r>
        <w:rPr>
          <w:rFonts w:ascii="Courier New" w:cs="Courier New" w:eastAsia="Courier New" w:hAnsi="Courier New"/>
          <w:sz w:val="16"/>
          <w:szCs w:val="16"/>
          <w:color w:val="auto"/>
        </w:rPr>
        <w:t>$ (64,729) ---------- ----------</w:t>
      </w:r>
    </w:p>
    <w:p>
      <w:pPr>
        <w:spacing w:after="0" w:line="219" w:lineRule="exact"/>
        <w:rPr>
          <w:sz w:val="20"/>
          <w:szCs w:val="20"/>
          <w:color w:val="auto"/>
        </w:rPr>
      </w:pPr>
    </w:p>
    <w:p>
      <w:pPr>
        <w:sectPr>
          <w:pgSz w:w="11900" w:h="16838" w:orient="portrait"/>
          <w:cols w:equalWidth="0" w:num="7">
            <w:col w:w="2000" w:space="200"/>
            <w:col w:w="1140" w:space="280"/>
            <w:col w:w="1140" w:space="200"/>
            <w:col w:w="1140" w:space="280"/>
            <w:col w:w="1160" w:space="180"/>
            <w:col w:w="1140" w:space="300"/>
            <w:col w:w="1059"/>
          </w:cols>
          <w:pgMar w:left="240" w:top="481" w:right="1440" w:bottom="1440" w:gutter="0" w:footer="0" w:header="0"/>
          <w:type w:val="continuous"/>
        </w:sectPr>
      </w:pPr>
    </w:p>
    <w:p>
      <w:pPr>
        <w:spacing w:after="0" w:line="154" w:lineRule="exact"/>
        <w:rPr>
          <w:sz w:val="20"/>
          <w:szCs w:val="20"/>
          <w:color w:val="auto"/>
        </w:rPr>
      </w:pPr>
    </w:p>
    <w:p>
      <w:pPr>
        <w:jc w:val="center"/>
        <w:ind w:left="480" w:right="3159"/>
        <w:spacing w:after="0"/>
        <w:rPr>
          <w:sz w:val="20"/>
          <w:szCs w:val="20"/>
          <w:color w:val="auto"/>
        </w:rPr>
      </w:pPr>
      <w:r>
        <w:rPr>
          <w:rFonts w:ascii="Courier New" w:cs="Courier New" w:eastAsia="Courier New" w:hAnsi="Courier New"/>
          <w:sz w:val="16"/>
          <w:szCs w:val="16"/>
          <w:color w:val="auto"/>
        </w:rPr>
        <w:t>These financial statements should be read only in connection with the accompanying summary of significant accounting policies and notes to financial statements.</w:t>
      </w:r>
    </w:p>
    <w:p>
      <w:pPr>
        <w:spacing w:after="0" w:line="18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F-31</w:t>
      </w:r>
    </w:p>
    <w:p>
      <w:pPr>
        <w:sectPr>
          <w:pgSz w:w="11900" w:h="16838" w:orient="portrait"/>
          <w:cols w:equalWidth="0" w:num="1">
            <w:col w:w="10219"/>
          </w:cols>
          <w:pgMar w:left="240" w:top="481" w:right="1440" w:bottom="1440" w:gutter="0" w:footer="0" w:header="0"/>
          <w:type w:val="continuous"/>
        </w:sectPr>
      </w:pPr>
    </w:p>
    <w:bookmarkStart w:id="81" w:name="page82"/>
    <w:bookmarkEnd w:id="81"/>
    <w:p>
      <w:pPr>
        <w:ind w:left="2200"/>
        <w:spacing w:after="0"/>
        <w:rPr>
          <w:sz w:val="20"/>
          <w:szCs w:val="20"/>
          <w:color w:val="auto"/>
        </w:rPr>
      </w:pPr>
      <w:r>
        <w:rPr>
          <w:rFonts w:ascii="Courier New" w:cs="Courier New" w:eastAsia="Courier New" w:hAnsi="Courier New"/>
          <w:sz w:val="16"/>
          <w:szCs w:val="16"/>
          <w:color w:val="auto"/>
        </w:rPr>
        <w:t>NORTHWEST TEXAS HEALTHCARE SYSTEM</w:t>
      </w:r>
    </w:p>
    <w:p>
      <w:pPr>
        <w:spacing w:after="0" w:line="2"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STATEMENTS OF CASH FLOWS</w:t>
      </w:r>
    </w:p>
    <w:p>
      <w:pPr>
        <w:spacing w:after="0" w:line="2"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YEARS ENDED SEPTEMBER 30, 1994 AND 1995 AND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480" w:type="dxa"/>
            <w:vAlign w:val="bottom"/>
            <w:gridSpan w:val="4"/>
          </w:tcPr>
          <w:p>
            <w:pPr>
              <w:jc w:val="right"/>
              <w:ind w:right="1101"/>
              <w:spacing w:after="0"/>
              <w:rPr>
                <w:sz w:val="20"/>
                <w:szCs w:val="20"/>
                <w:color w:val="auto"/>
              </w:rPr>
            </w:pPr>
            <w:r>
              <w:rPr>
                <w:rFonts w:ascii="Courier New" w:cs="Courier New" w:eastAsia="Courier New" w:hAnsi="Courier New"/>
                <w:sz w:val="16"/>
                <w:szCs w:val="16"/>
                <w:color w:val="auto"/>
              </w:rPr>
              <w:t>SIX MONTHS ENDED MARCH 31, 1995 AND 1996 (UNAUDITED)</w:t>
            </w:r>
          </w:p>
        </w:tc>
        <w:tc>
          <w:tcPr>
            <w:tcW w:w="13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550"/>
        </w:trPr>
        <w:tc>
          <w:tcPr>
            <w:tcW w:w="4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0" w:type="dxa"/>
            <w:vAlign w:val="bottom"/>
            <w:gridSpan w:val="2"/>
          </w:tcPr>
          <w:p>
            <w:pPr>
              <w:jc w:val="right"/>
              <w:ind w:right="1021"/>
              <w:spacing w:after="0"/>
              <w:rPr>
                <w:sz w:val="20"/>
                <w:szCs w:val="20"/>
                <w:color w:val="auto"/>
              </w:rPr>
            </w:pPr>
            <w:r>
              <w:rPr>
                <w:rFonts w:ascii="Courier New" w:cs="Courier New" w:eastAsia="Courier New" w:hAnsi="Courier New"/>
                <w:sz w:val="16"/>
                <w:szCs w:val="16"/>
                <w:color w:val="auto"/>
              </w:rPr>
              <w:t>YEARS ENDED</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SIX</w:t>
            </w:r>
          </w:p>
        </w:tc>
        <w:tc>
          <w:tcPr>
            <w:tcW w:w="1520" w:type="dxa"/>
            <w:vAlign w:val="bottom"/>
          </w:tcPr>
          <w:p>
            <w:pPr>
              <w:spacing w:after="0"/>
              <w:rPr>
                <w:sz w:val="20"/>
                <w:szCs w:val="20"/>
                <w:color w:val="auto"/>
              </w:rPr>
            </w:pPr>
            <w:r>
              <w:rPr>
                <w:rFonts w:ascii="Courier New" w:cs="Courier New" w:eastAsia="Courier New" w:hAnsi="Courier New"/>
                <w:sz w:val="16"/>
                <w:szCs w:val="16"/>
                <w:color w:val="auto"/>
              </w:rPr>
              <w:t>MONTHS</w:t>
            </w:r>
          </w:p>
        </w:tc>
      </w:tr>
      <w:tr>
        <w:trPr>
          <w:trHeight w:val="183"/>
        </w:trPr>
        <w:tc>
          <w:tcPr>
            <w:tcW w:w="4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0" w:type="dxa"/>
            <w:vAlign w:val="bottom"/>
            <w:gridSpan w:val="2"/>
          </w:tcPr>
          <w:p>
            <w:pPr>
              <w:jc w:val="right"/>
              <w:ind w:right="921"/>
              <w:spacing w:after="0"/>
              <w:rPr>
                <w:sz w:val="20"/>
                <w:szCs w:val="20"/>
                <w:color w:val="auto"/>
              </w:rPr>
            </w:pPr>
            <w:r>
              <w:rPr>
                <w:rFonts w:ascii="Courier New" w:cs="Courier New" w:eastAsia="Courier New" w:hAnsi="Courier New"/>
                <w:sz w:val="16"/>
                <w:szCs w:val="16"/>
                <w:color w:val="auto"/>
              </w:rPr>
              <w:t>SEPTEMBER 30,</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ENDED</w:t>
            </w:r>
          </w:p>
        </w:tc>
        <w:tc>
          <w:tcPr>
            <w:tcW w:w="1520" w:type="dxa"/>
            <w:vAlign w:val="bottom"/>
          </w:tcPr>
          <w:p>
            <w:pPr>
              <w:spacing w:after="0"/>
              <w:rPr>
                <w:sz w:val="20"/>
                <w:szCs w:val="20"/>
                <w:color w:val="auto"/>
              </w:rPr>
            </w:pPr>
            <w:r>
              <w:rPr>
                <w:rFonts w:ascii="Courier New" w:cs="Courier New" w:eastAsia="Courier New" w:hAnsi="Courier New"/>
                <w:sz w:val="16"/>
                <w:szCs w:val="16"/>
                <w:color w:val="auto"/>
              </w:rPr>
              <w:t>MARCH 31,</w:t>
            </w:r>
          </w:p>
        </w:tc>
      </w:tr>
      <w:tr>
        <w:trPr>
          <w:trHeight w:val="183"/>
        </w:trPr>
        <w:tc>
          <w:tcPr>
            <w:tcW w:w="4440" w:type="dxa"/>
            <w:vAlign w:val="bottom"/>
          </w:tcPr>
          <w:p>
            <w:pPr>
              <w:spacing w:after="0"/>
              <w:rPr>
                <w:sz w:val="15"/>
                <w:szCs w:val="15"/>
                <w:color w:val="auto"/>
              </w:rPr>
            </w:pPr>
          </w:p>
        </w:tc>
        <w:tc>
          <w:tcPr>
            <w:tcW w:w="1520" w:type="dxa"/>
            <w:vAlign w:val="bottom"/>
            <w:gridSpan w:val="2"/>
          </w:tcPr>
          <w:p>
            <w:pPr>
              <w:ind w:left="140"/>
              <w:spacing w:after="0"/>
              <w:rPr>
                <w:sz w:val="20"/>
                <w:szCs w:val="20"/>
                <w:color w:val="auto"/>
              </w:rPr>
            </w:pPr>
            <w:r>
              <w:rPr>
                <w:rFonts w:ascii="Courier New" w:cs="Courier New" w:eastAsia="Courier New" w:hAnsi="Courier New"/>
                <w:sz w:val="11"/>
                <w:szCs w:val="11"/>
                <w:color w:val="auto"/>
                <w:w w:val="73"/>
              </w:rPr>
              <w:t>----------------------------</w:t>
            </w:r>
          </w:p>
        </w:tc>
        <w:tc>
          <w:tcPr>
            <w:tcW w:w="1520" w:type="dxa"/>
            <w:vAlign w:val="bottom"/>
          </w:tcPr>
          <w:p>
            <w:pPr>
              <w:spacing w:after="0"/>
              <w:rPr>
                <w:sz w:val="15"/>
                <w:szCs w:val="15"/>
                <w:color w:val="auto"/>
              </w:rPr>
            </w:pPr>
          </w:p>
        </w:tc>
        <w:tc>
          <w:tcPr>
            <w:tcW w:w="28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jc w:val="center"/>
              <w:ind w:right="261"/>
              <w:spacing w:after="0"/>
              <w:rPr>
                <w:sz w:val="20"/>
                <w:szCs w:val="20"/>
                <w:color w:val="auto"/>
              </w:rPr>
            </w:pPr>
            <w:r>
              <w:rPr>
                <w:rFonts w:ascii="Courier New" w:cs="Courier New" w:eastAsia="Courier New" w:hAnsi="Courier New"/>
                <w:sz w:val="16"/>
                <w:szCs w:val="16"/>
                <w:color w:val="auto"/>
                <w:w w:val="98"/>
              </w:rPr>
              <w:t>1994</w:t>
            </w:r>
          </w:p>
        </w:tc>
        <w:tc>
          <w:tcPr>
            <w:tcW w:w="1520" w:type="dxa"/>
            <w:vAlign w:val="bottom"/>
          </w:tcPr>
          <w:p>
            <w:pPr>
              <w:jc w:val="center"/>
              <w:ind w:right="21"/>
              <w:spacing w:after="0"/>
              <w:rPr>
                <w:sz w:val="20"/>
                <w:szCs w:val="20"/>
                <w:color w:val="auto"/>
              </w:rPr>
            </w:pPr>
            <w:r>
              <w:rPr>
                <w:rFonts w:ascii="Courier New" w:cs="Courier New" w:eastAsia="Courier New" w:hAnsi="Courier New"/>
                <w:sz w:val="16"/>
                <w:szCs w:val="16"/>
                <w:color w:val="auto"/>
                <w:w w:val="98"/>
              </w:rPr>
              <w:t>1995</w:t>
            </w:r>
          </w:p>
        </w:tc>
        <w:tc>
          <w:tcPr>
            <w:tcW w:w="1300" w:type="dxa"/>
            <w:vAlign w:val="bottom"/>
          </w:tcPr>
          <w:p>
            <w:pPr>
              <w:jc w:val="center"/>
              <w:spacing w:after="0"/>
              <w:rPr>
                <w:sz w:val="20"/>
                <w:szCs w:val="20"/>
                <w:color w:val="auto"/>
              </w:rPr>
            </w:pPr>
            <w:r>
              <w:rPr>
                <w:rFonts w:ascii="Courier New" w:cs="Courier New" w:eastAsia="Courier New" w:hAnsi="Courier New"/>
                <w:sz w:val="16"/>
                <w:szCs w:val="16"/>
                <w:color w:val="auto"/>
                <w:w w:val="98"/>
              </w:rPr>
              <w:t>1995</w:t>
            </w:r>
          </w:p>
        </w:tc>
        <w:tc>
          <w:tcPr>
            <w:tcW w:w="1520" w:type="dxa"/>
            <w:vAlign w:val="bottom"/>
          </w:tcPr>
          <w:p>
            <w:pPr>
              <w:jc w:val="center"/>
              <w:ind w:left="101"/>
              <w:spacing w:after="0"/>
              <w:rPr>
                <w:sz w:val="20"/>
                <w:szCs w:val="20"/>
                <w:color w:val="auto"/>
              </w:rPr>
            </w:pPr>
            <w:r>
              <w:rPr>
                <w:rFonts w:ascii="Courier New" w:cs="Courier New" w:eastAsia="Courier New" w:hAnsi="Courier New"/>
                <w:sz w:val="16"/>
                <w:szCs w:val="16"/>
                <w:color w:val="auto"/>
                <w:w w:val="98"/>
              </w:rPr>
              <w:t>1996</w:t>
            </w:r>
          </w:p>
        </w:tc>
      </w:tr>
      <w:tr>
        <w:trPr>
          <w:trHeight w:val="183"/>
        </w:trPr>
        <w:tc>
          <w:tcPr>
            <w:tcW w:w="4440" w:type="dxa"/>
            <w:vAlign w:val="bottom"/>
          </w:tcPr>
          <w:p>
            <w:pPr>
              <w:spacing w:after="0"/>
              <w:rPr>
                <w:sz w:val="15"/>
                <w:szCs w:val="15"/>
                <w:color w:val="auto"/>
              </w:rPr>
            </w:pPr>
          </w:p>
        </w:tc>
        <w:tc>
          <w:tcPr>
            <w:tcW w:w="15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(UNAUDITED)</w:t>
            </w:r>
          </w:p>
        </w:tc>
        <w:tc>
          <w:tcPr>
            <w:tcW w:w="15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(UNAUDITED)</w:t>
            </w:r>
          </w:p>
        </w:tc>
      </w:tr>
      <w:tr>
        <w:trPr>
          <w:trHeight w:val="367"/>
        </w:trPr>
        <w:tc>
          <w:tcPr>
            <w:tcW w:w="4440" w:type="dxa"/>
            <w:vAlign w:val="bottom"/>
          </w:tcPr>
          <w:p>
            <w:pPr>
              <w:spacing w:after="0"/>
              <w:rPr>
                <w:sz w:val="20"/>
                <w:szCs w:val="20"/>
                <w:color w:val="auto"/>
              </w:rPr>
            </w:pPr>
            <w:r>
              <w:rPr>
                <w:rFonts w:ascii="Courier New" w:cs="Courier New" w:eastAsia="Courier New" w:hAnsi="Courier New"/>
                <w:sz w:val="16"/>
                <w:szCs w:val="16"/>
                <w:color w:val="auto"/>
              </w:rPr>
              <w:t>CASH FLOWS FROM OPERATING</w:t>
            </w: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83"/>
        </w:trPr>
        <w:tc>
          <w:tcPr>
            <w:tcW w:w="4440" w:type="dxa"/>
            <w:vAlign w:val="bottom"/>
          </w:tcPr>
          <w:p>
            <w:pPr>
              <w:ind w:left="100"/>
              <w:spacing w:after="0"/>
              <w:rPr>
                <w:sz w:val="20"/>
                <w:szCs w:val="20"/>
                <w:color w:val="auto"/>
              </w:rPr>
            </w:pPr>
            <w:r>
              <w:rPr>
                <w:rFonts w:ascii="Courier New" w:cs="Courier New" w:eastAsia="Courier New" w:hAnsi="Courier New"/>
                <w:sz w:val="16"/>
                <w:szCs w:val="16"/>
                <w:color w:val="auto"/>
              </w:rPr>
              <w:t>ACTIVITIES AND GAINS AND LOSSES</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83"/>
        </w:trPr>
        <w:tc>
          <w:tcPr>
            <w:tcW w:w="4440" w:type="dxa"/>
            <w:vAlign w:val="bottom"/>
          </w:tcPr>
          <w:p>
            <w:pPr>
              <w:ind w:left="100"/>
              <w:spacing w:after="0"/>
              <w:rPr>
                <w:sz w:val="20"/>
                <w:szCs w:val="20"/>
                <w:color w:val="auto"/>
              </w:rPr>
            </w:pPr>
            <w:r>
              <w:rPr>
                <w:rFonts w:ascii="Courier New" w:cs="Courier New" w:eastAsia="Courier New" w:hAnsi="Courier New"/>
                <w:sz w:val="16"/>
                <w:szCs w:val="16"/>
                <w:color w:val="auto"/>
              </w:rPr>
              <w:t>Revenue and gains in excess of expenses</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83"/>
        </w:trPr>
        <w:tc>
          <w:tcPr>
            <w:tcW w:w="4440" w:type="dxa"/>
            <w:vAlign w:val="bottom"/>
          </w:tcPr>
          <w:p>
            <w:pPr>
              <w:ind w:left="280"/>
              <w:spacing w:after="0"/>
              <w:rPr>
                <w:sz w:val="20"/>
                <w:szCs w:val="20"/>
                <w:color w:val="auto"/>
              </w:rPr>
            </w:pPr>
            <w:r>
              <w:rPr>
                <w:rFonts w:ascii="Courier New" w:cs="Courier New" w:eastAsia="Courier New" w:hAnsi="Courier New"/>
                <w:sz w:val="16"/>
                <w:szCs w:val="16"/>
                <w:color w:val="auto"/>
              </w:rPr>
              <w:t>and losses................................</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13,677,751</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$ 17,139,830</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$ 8,413,224</w:t>
            </w:r>
          </w:p>
        </w:tc>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8,378,789</w:t>
            </w:r>
          </w:p>
        </w:tc>
      </w:tr>
      <w:tr>
        <w:trPr>
          <w:trHeight w:val="183"/>
        </w:trPr>
        <w:tc>
          <w:tcPr>
            <w:tcW w:w="4440" w:type="dxa"/>
            <w:vAlign w:val="bottom"/>
          </w:tcPr>
          <w:p>
            <w:pPr>
              <w:ind w:left="100"/>
              <w:spacing w:after="0"/>
              <w:rPr>
                <w:sz w:val="20"/>
                <w:szCs w:val="20"/>
                <w:color w:val="auto"/>
              </w:rPr>
            </w:pPr>
            <w:r>
              <w:rPr>
                <w:rFonts w:ascii="Courier New" w:cs="Courier New" w:eastAsia="Courier New" w:hAnsi="Courier New"/>
                <w:sz w:val="16"/>
                <w:szCs w:val="16"/>
                <w:color w:val="auto"/>
              </w:rPr>
              <w:t>Adjustments to reconcile revenue and gains</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83"/>
        </w:trPr>
        <w:tc>
          <w:tcPr>
            <w:tcW w:w="4440" w:type="dxa"/>
            <w:vAlign w:val="bottom"/>
          </w:tcPr>
          <w:p>
            <w:pPr>
              <w:ind w:left="280"/>
              <w:spacing w:after="0"/>
              <w:rPr>
                <w:sz w:val="20"/>
                <w:szCs w:val="20"/>
                <w:color w:val="auto"/>
              </w:rPr>
            </w:pPr>
            <w:r>
              <w:rPr>
                <w:rFonts w:ascii="Courier New" w:cs="Courier New" w:eastAsia="Courier New" w:hAnsi="Courier New"/>
                <w:sz w:val="16"/>
                <w:szCs w:val="16"/>
                <w:color w:val="auto"/>
              </w:rPr>
              <w:t>in excess of expenses and losses to net</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83"/>
        </w:trPr>
        <w:tc>
          <w:tcPr>
            <w:tcW w:w="4440" w:type="dxa"/>
            <w:vAlign w:val="bottom"/>
          </w:tcPr>
          <w:p>
            <w:pPr>
              <w:ind w:left="280"/>
              <w:spacing w:after="0"/>
              <w:rPr>
                <w:sz w:val="20"/>
                <w:szCs w:val="20"/>
                <w:color w:val="auto"/>
              </w:rPr>
            </w:pPr>
            <w:r>
              <w:rPr>
                <w:rFonts w:ascii="Courier New" w:cs="Courier New" w:eastAsia="Courier New" w:hAnsi="Courier New"/>
                <w:sz w:val="16"/>
                <w:szCs w:val="16"/>
                <w:color w:val="auto"/>
              </w:rPr>
              <w:t>cash provided by operating activities and</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83"/>
        </w:trPr>
        <w:tc>
          <w:tcPr>
            <w:tcW w:w="4440" w:type="dxa"/>
            <w:vAlign w:val="bottom"/>
          </w:tcPr>
          <w:p>
            <w:pPr>
              <w:ind w:left="280"/>
              <w:spacing w:after="0"/>
              <w:rPr>
                <w:sz w:val="20"/>
                <w:szCs w:val="20"/>
                <w:color w:val="auto"/>
              </w:rPr>
            </w:pPr>
            <w:r>
              <w:rPr>
                <w:rFonts w:ascii="Courier New" w:cs="Courier New" w:eastAsia="Courier New" w:hAnsi="Courier New"/>
                <w:sz w:val="16"/>
                <w:szCs w:val="16"/>
                <w:color w:val="auto"/>
              </w:rPr>
              <w:t>gains and losses:</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83"/>
        </w:trPr>
        <w:tc>
          <w:tcPr>
            <w:tcW w:w="4440" w:type="dxa"/>
            <w:vAlign w:val="bottom"/>
          </w:tcPr>
          <w:p>
            <w:pPr>
              <w:ind w:left="280"/>
              <w:spacing w:after="0"/>
              <w:rPr>
                <w:sz w:val="20"/>
                <w:szCs w:val="20"/>
                <w:color w:val="auto"/>
              </w:rPr>
            </w:pPr>
            <w:r>
              <w:rPr>
                <w:rFonts w:ascii="Courier New" w:cs="Courier New" w:eastAsia="Courier New" w:hAnsi="Courier New"/>
                <w:sz w:val="16"/>
                <w:szCs w:val="16"/>
                <w:color w:val="auto"/>
              </w:rPr>
              <w:t>Provision for bad debts...................</w:t>
            </w:r>
          </w:p>
        </w:tc>
        <w:tc>
          <w:tcPr>
            <w:tcW w:w="2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11,439,013</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12,187,290</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5,798,734</w:t>
            </w:r>
          </w:p>
        </w:tc>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5,526,645</w:t>
            </w:r>
          </w:p>
        </w:tc>
      </w:tr>
      <w:tr>
        <w:trPr>
          <w:trHeight w:val="183"/>
        </w:trPr>
        <w:tc>
          <w:tcPr>
            <w:tcW w:w="4440" w:type="dxa"/>
            <w:vAlign w:val="bottom"/>
          </w:tcPr>
          <w:p>
            <w:pPr>
              <w:ind w:left="280"/>
              <w:spacing w:after="0"/>
              <w:rPr>
                <w:sz w:val="20"/>
                <w:szCs w:val="20"/>
                <w:color w:val="auto"/>
              </w:rPr>
            </w:pPr>
            <w:r>
              <w:rPr>
                <w:rFonts w:ascii="Courier New" w:cs="Courier New" w:eastAsia="Courier New" w:hAnsi="Courier New"/>
                <w:sz w:val="16"/>
                <w:szCs w:val="16"/>
                <w:color w:val="auto"/>
              </w:rPr>
              <w:t>Depreciation and amortization.............</w:t>
            </w:r>
          </w:p>
        </w:tc>
        <w:tc>
          <w:tcPr>
            <w:tcW w:w="2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7,223,586</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8,664,553</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4,323,802</w:t>
            </w:r>
          </w:p>
        </w:tc>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4,241,609</w:t>
            </w:r>
          </w:p>
        </w:tc>
      </w:tr>
      <w:tr>
        <w:trPr>
          <w:trHeight w:val="183"/>
        </w:trPr>
        <w:tc>
          <w:tcPr>
            <w:tcW w:w="4440" w:type="dxa"/>
            <w:vAlign w:val="bottom"/>
          </w:tcPr>
          <w:p>
            <w:pPr>
              <w:ind w:left="280"/>
              <w:spacing w:after="0"/>
              <w:rPr>
                <w:sz w:val="20"/>
                <w:szCs w:val="20"/>
                <w:color w:val="auto"/>
              </w:rPr>
            </w:pPr>
            <w:r>
              <w:rPr>
                <w:rFonts w:ascii="Courier New" w:cs="Courier New" w:eastAsia="Courier New" w:hAnsi="Courier New"/>
                <w:sz w:val="16"/>
                <w:szCs w:val="16"/>
                <w:color w:val="auto"/>
              </w:rPr>
              <w:t>(Gain) loss on disposal of assets.........</w:t>
            </w:r>
          </w:p>
        </w:tc>
        <w:tc>
          <w:tcPr>
            <w:tcW w:w="2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38,105</w:t>
            </w:r>
          </w:p>
        </w:tc>
        <w:tc>
          <w:tcPr>
            <w:tcW w:w="15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(15,094)</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(12,509)</w:t>
            </w:r>
          </w:p>
        </w:tc>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79,082</w:t>
            </w:r>
          </w:p>
        </w:tc>
      </w:tr>
      <w:tr>
        <w:trPr>
          <w:trHeight w:val="183"/>
        </w:trPr>
        <w:tc>
          <w:tcPr>
            <w:tcW w:w="4440" w:type="dxa"/>
            <w:vAlign w:val="bottom"/>
          </w:tcPr>
          <w:p>
            <w:pPr>
              <w:ind w:left="280"/>
              <w:spacing w:after="0"/>
              <w:rPr>
                <w:sz w:val="20"/>
                <w:szCs w:val="20"/>
                <w:color w:val="auto"/>
              </w:rPr>
            </w:pPr>
            <w:r>
              <w:rPr>
                <w:rFonts w:ascii="Courier New" w:cs="Courier New" w:eastAsia="Courier New" w:hAnsi="Courier New"/>
                <w:sz w:val="16"/>
                <w:szCs w:val="16"/>
                <w:color w:val="auto"/>
              </w:rPr>
              <w:t>Loss on sale of investments...............</w:t>
            </w:r>
          </w:p>
        </w:tc>
        <w:tc>
          <w:tcPr>
            <w:tcW w:w="2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88,659</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17,578</w:t>
            </w:r>
          </w:p>
        </w:tc>
        <w:tc>
          <w:tcPr>
            <w:tcW w:w="130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center"/>
              <w:ind w:left="101"/>
              <w:spacing w:after="0"/>
              <w:rPr>
                <w:sz w:val="20"/>
                <w:szCs w:val="20"/>
                <w:color w:val="auto"/>
              </w:rPr>
            </w:pPr>
            <w:r>
              <w:rPr>
                <w:rFonts w:ascii="Courier New" w:cs="Courier New" w:eastAsia="Courier New" w:hAnsi="Courier New"/>
                <w:sz w:val="16"/>
                <w:szCs w:val="16"/>
                <w:color w:val="auto"/>
                <w:w w:val="93"/>
              </w:rPr>
              <w:t>--</w:t>
            </w:r>
          </w:p>
        </w:tc>
      </w:tr>
      <w:tr>
        <w:trPr>
          <w:trHeight w:val="183"/>
        </w:trPr>
        <w:tc>
          <w:tcPr>
            <w:tcW w:w="4440" w:type="dxa"/>
            <w:vAlign w:val="bottom"/>
          </w:tcPr>
          <w:p>
            <w:pPr>
              <w:ind w:left="280"/>
              <w:spacing w:after="0"/>
              <w:rPr>
                <w:sz w:val="20"/>
                <w:szCs w:val="20"/>
                <w:color w:val="auto"/>
              </w:rPr>
            </w:pPr>
            <w:r>
              <w:rPr>
                <w:rFonts w:ascii="Courier New" w:cs="Courier New" w:eastAsia="Courier New" w:hAnsi="Courier New"/>
                <w:sz w:val="16"/>
                <w:szCs w:val="16"/>
                <w:color w:val="auto"/>
              </w:rPr>
              <w:t>Decrease (increase) in:</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83"/>
        </w:trPr>
        <w:tc>
          <w:tcPr>
            <w:tcW w:w="44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Patient accounts receivable.............</w:t>
            </w:r>
          </w:p>
        </w:tc>
        <w:tc>
          <w:tcPr>
            <w:tcW w:w="24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(12,850,787)</w:t>
            </w:r>
          </w:p>
        </w:tc>
        <w:tc>
          <w:tcPr>
            <w:tcW w:w="15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(13,196,232)</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(7,824,701)</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(4,819,612)</w:t>
            </w:r>
          </w:p>
        </w:tc>
      </w:tr>
      <w:tr>
        <w:trPr>
          <w:trHeight w:val="183"/>
        </w:trPr>
        <w:tc>
          <w:tcPr>
            <w:tcW w:w="44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Taxes receivable........................</w:t>
            </w:r>
          </w:p>
        </w:tc>
        <w:tc>
          <w:tcPr>
            <w:tcW w:w="2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80,766</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108,931</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(262,446)</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(218,355)</w:t>
            </w:r>
          </w:p>
        </w:tc>
      </w:tr>
      <w:tr>
        <w:trPr>
          <w:trHeight w:val="183"/>
        </w:trPr>
        <w:tc>
          <w:tcPr>
            <w:tcW w:w="44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Other receivable........................</w:t>
            </w:r>
          </w:p>
        </w:tc>
        <w:tc>
          <w:tcPr>
            <w:tcW w:w="240" w:type="dxa"/>
            <w:vAlign w:val="bottom"/>
          </w:tcPr>
          <w:p>
            <w:pPr>
              <w:spacing w:after="0"/>
              <w:rPr>
                <w:sz w:val="15"/>
                <w:szCs w:val="15"/>
                <w:color w:val="auto"/>
              </w:rPr>
            </w:pPr>
          </w:p>
        </w:tc>
        <w:tc>
          <w:tcPr>
            <w:tcW w:w="1280" w:type="dxa"/>
            <w:vAlign w:val="bottom"/>
          </w:tcPr>
          <w:p>
            <w:pPr>
              <w:jc w:val="center"/>
              <w:ind w:right="261"/>
              <w:spacing w:after="0"/>
              <w:rPr>
                <w:sz w:val="20"/>
                <w:szCs w:val="20"/>
                <w:color w:val="auto"/>
              </w:rPr>
            </w:pPr>
            <w:r>
              <w:rPr>
                <w:rFonts w:ascii="Courier New" w:cs="Courier New" w:eastAsia="Courier New" w:hAnsi="Courier New"/>
                <w:sz w:val="16"/>
                <w:szCs w:val="16"/>
                <w:color w:val="auto"/>
                <w:w w:val="93"/>
              </w:rPr>
              <w:t>--</w:t>
            </w:r>
          </w:p>
        </w:tc>
        <w:tc>
          <w:tcPr>
            <w:tcW w:w="1520" w:type="dxa"/>
            <w:vAlign w:val="bottom"/>
          </w:tcPr>
          <w:p>
            <w:pPr>
              <w:jc w:val="center"/>
              <w:ind w:right="21"/>
              <w:spacing w:after="0"/>
              <w:rPr>
                <w:sz w:val="20"/>
                <w:szCs w:val="20"/>
                <w:color w:val="auto"/>
              </w:rPr>
            </w:pPr>
            <w:r>
              <w:rPr>
                <w:rFonts w:ascii="Courier New" w:cs="Courier New" w:eastAsia="Courier New" w:hAnsi="Courier New"/>
                <w:sz w:val="16"/>
                <w:szCs w:val="16"/>
                <w:color w:val="auto"/>
                <w:w w:val="93"/>
              </w:rPr>
              <w:t>--</w:t>
            </w:r>
          </w:p>
        </w:tc>
        <w:tc>
          <w:tcPr>
            <w:tcW w:w="130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(422,988)</w:t>
            </w:r>
          </w:p>
        </w:tc>
      </w:tr>
      <w:tr>
        <w:trPr>
          <w:trHeight w:val="183"/>
        </w:trPr>
        <w:tc>
          <w:tcPr>
            <w:tcW w:w="44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Inventory of supplies...................</w:t>
            </w:r>
          </w:p>
        </w:tc>
        <w:tc>
          <w:tcPr>
            <w:tcW w:w="24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(247,722)</w:t>
            </w:r>
          </w:p>
        </w:tc>
        <w:tc>
          <w:tcPr>
            <w:tcW w:w="15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(168,258)</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(255,712)</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(76,256)</w:t>
            </w:r>
          </w:p>
        </w:tc>
      </w:tr>
      <w:tr>
        <w:trPr>
          <w:trHeight w:val="183"/>
        </w:trPr>
        <w:tc>
          <w:tcPr>
            <w:tcW w:w="44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Prepaid expenses........................</w:t>
            </w:r>
          </w:p>
        </w:tc>
        <w:tc>
          <w:tcPr>
            <w:tcW w:w="2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127,474</w:t>
            </w:r>
          </w:p>
        </w:tc>
        <w:tc>
          <w:tcPr>
            <w:tcW w:w="15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(91,319)</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(332,797)</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(267,236)</w:t>
            </w:r>
          </w:p>
        </w:tc>
      </w:tr>
      <w:tr>
        <w:trPr>
          <w:trHeight w:val="183"/>
        </w:trPr>
        <w:tc>
          <w:tcPr>
            <w:tcW w:w="44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Other current assets....................</w:t>
            </w:r>
          </w:p>
        </w:tc>
        <w:tc>
          <w:tcPr>
            <w:tcW w:w="24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(144,533)</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60,433</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13,416</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(232,032)</w:t>
            </w:r>
          </w:p>
        </w:tc>
      </w:tr>
      <w:tr>
        <w:trPr>
          <w:trHeight w:val="183"/>
        </w:trPr>
        <w:tc>
          <w:tcPr>
            <w:tcW w:w="44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Assets whose use is limited.............</w:t>
            </w:r>
          </w:p>
        </w:tc>
        <w:tc>
          <w:tcPr>
            <w:tcW w:w="24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(9,609)</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33,049</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(91,891)</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(50,674)</w:t>
            </w:r>
          </w:p>
        </w:tc>
      </w:tr>
      <w:tr>
        <w:trPr>
          <w:trHeight w:val="183"/>
        </w:trPr>
        <w:tc>
          <w:tcPr>
            <w:tcW w:w="4440" w:type="dxa"/>
            <w:vAlign w:val="bottom"/>
          </w:tcPr>
          <w:p>
            <w:pPr>
              <w:ind w:left="280"/>
              <w:spacing w:after="0"/>
              <w:rPr>
                <w:sz w:val="20"/>
                <w:szCs w:val="20"/>
                <w:color w:val="auto"/>
              </w:rPr>
            </w:pPr>
            <w:r>
              <w:rPr>
                <w:rFonts w:ascii="Courier New" w:cs="Courier New" w:eastAsia="Courier New" w:hAnsi="Courier New"/>
                <w:sz w:val="16"/>
                <w:szCs w:val="16"/>
                <w:color w:val="auto"/>
              </w:rPr>
              <w:t>Increase (decrease) in:</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83"/>
        </w:trPr>
        <w:tc>
          <w:tcPr>
            <w:tcW w:w="44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Accounts payable........................</w:t>
            </w:r>
          </w:p>
        </w:tc>
        <w:tc>
          <w:tcPr>
            <w:tcW w:w="24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(416,778)</w:t>
            </w:r>
          </w:p>
        </w:tc>
        <w:tc>
          <w:tcPr>
            <w:tcW w:w="15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(1,235,840)</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(1,044,454)</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(1,161,145)</w:t>
            </w:r>
          </w:p>
        </w:tc>
      </w:tr>
      <w:tr>
        <w:trPr>
          <w:trHeight w:val="183"/>
        </w:trPr>
        <w:tc>
          <w:tcPr>
            <w:tcW w:w="44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Accrued expenses........................</w:t>
            </w:r>
          </w:p>
        </w:tc>
        <w:tc>
          <w:tcPr>
            <w:tcW w:w="2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2,246,948</w:t>
            </w:r>
          </w:p>
        </w:tc>
        <w:tc>
          <w:tcPr>
            <w:tcW w:w="15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(5,374,383)</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(5,454,726)</w:t>
            </w:r>
          </w:p>
        </w:tc>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29,159</w:t>
            </w:r>
          </w:p>
        </w:tc>
      </w:tr>
      <w:tr>
        <w:trPr>
          <w:trHeight w:val="183"/>
        </w:trPr>
        <w:tc>
          <w:tcPr>
            <w:tcW w:w="4440" w:type="dxa"/>
            <w:vAlign w:val="bottom"/>
          </w:tcPr>
          <w:p>
            <w:pPr>
              <w:jc w:val="right"/>
              <w:ind w:right="1321"/>
              <w:spacing w:after="0"/>
              <w:rPr>
                <w:sz w:val="20"/>
                <w:szCs w:val="20"/>
                <w:color w:val="auto"/>
              </w:rPr>
            </w:pPr>
            <w:r>
              <w:rPr>
                <w:rFonts w:ascii="Courier New" w:cs="Courier New" w:eastAsia="Courier New" w:hAnsi="Courier New"/>
                <w:sz w:val="16"/>
                <w:szCs w:val="16"/>
                <w:color w:val="auto"/>
              </w:rPr>
              <w:t>Estimated third-party payor</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83"/>
        </w:trPr>
        <w:tc>
          <w:tcPr>
            <w:tcW w:w="44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settlements............................</w:t>
            </w:r>
          </w:p>
        </w:tc>
        <w:tc>
          <w:tcPr>
            <w:tcW w:w="24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(2,334,422)</w:t>
            </w:r>
          </w:p>
        </w:tc>
        <w:tc>
          <w:tcPr>
            <w:tcW w:w="15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(885,459)</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685,364</w:t>
            </w:r>
          </w:p>
        </w:tc>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1,738,422</w:t>
            </w:r>
          </w:p>
        </w:tc>
      </w:tr>
      <w:tr>
        <w:trPr>
          <w:trHeight w:val="183"/>
        </w:trPr>
        <w:tc>
          <w:tcPr>
            <w:tcW w:w="44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Estimated self-insurance costs..........</w:t>
            </w:r>
          </w:p>
        </w:tc>
        <w:tc>
          <w:tcPr>
            <w:tcW w:w="2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1,825,070</w:t>
            </w:r>
          </w:p>
        </w:tc>
        <w:tc>
          <w:tcPr>
            <w:tcW w:w="15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(597,286)</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(65,000)</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(35,000)</w:t>
            </w:r>
          </w:p>
        </w:tc>
      </w:tr>
      <w:tr>
        <w:trPr>
          <w:trHeight w:val="183"/>
        </w:trPr>
        <w:tc>
          <w:tcPr>
            <w:tcW w:w="44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Deferred ad valorem tax revenue.........</w:t>
            </w:r>
          </w:p>
        </w:tc>
        <w:tc>
          <w:tcPr>
            <w:tcW w:w="240" w:type="dxa"/>
            <w:vAlign w:val="bottom"/>
          </w:tcPr>
          <w:p>
            <w:pPr>
              <w:spacing w:after="0"/>
              <w:rPr>
                <w:sz w:val="15"/>
                <w:szCs w:val="15"/>
                <w:color w:val="auto"/>
              </w:rPr>
            </w:pPr>
          </w:p>
        </w:tc>
        <w:tc>
          <w:tcPr>
            <w:tcW w:w="1280" w:type="dxa"/>
            <w:vAlign w:val="bottom"/>
          </w:tcPr>
          <w:p>
            <w:pPr>
              <w:jc w:val="center"/>
              <w:ind w:right="261"/>
              <w:spacing w:after="0"/>
              <w:rPr>
                <w:sz w:val="20"/>
                <w:szCs w:val="20"/>
                <w:color w:val="auto"/>
              </w:rPr>
            </w:pPr>
            <w:r>
              <w:rPr>
                <w:rFonts w:ascii="Courier New" w:cs="Courier New" w:eastAsia="Courier New" w:hAnsi="Courier New"/>
                <w:sz w:val="16"/>
                <w:szCs w:val="16"/>
                <w:color w:val="auto"/>
                <w:w w:val="93"/>
              </w:rPr>
              <w:t>--</w:t>
            </w:r>
          </w:p>
        </w:tc>
        <w:tc>
          <w:tcPr>
            <w:tcW w:w="1520" w:type="dxa"/>
            <w:vAlign w:val="bottom"/>
          </w:tcPr>
          <w:p>
            <w:pPr>
              <w:jc w:val="center"/>
              <w:ind w:right="21"/>
              <w:spacing w:after="0"/>
              <w:rPr>
                <w:sz w:val="20"/>
                <w:szCs w:val="20"/>
                <w:color w:val="auto"/>
              </w:rPr>
            </w:pPr>
            <w:r>
              <w:rPr>
                <w:rFonts w:ascii="Courier New" w:cs="Courier New" w:eastAsia="Courier New" w:hAnsi="Courier New"/>
                <w:sz w:val="16"/>
                <w:szCs w:val="16"/>
                <w:color w:val="auto"/>
                <w:w w:val="93"/>
              </w:rPr>
              <w:t>--</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3,916,432</w:t>
            </w:r>
          </w:p>
        </w:tc>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4,090,597</w:t>
            </w:r>
          </w:p>
        </w:tc>
      </w:tr>
      <w:tr>
        <w:trPr>
          <w:trHeight w:val="183"/>
        </w:trPr>
        <w:tc>
          <w:tcPr>
            <w:tcW w:w="4440" w:type="dxa"/>
            <w:vAlign w:val="bottom"/>
          </w:tcPr>
          <w:p>
            <w:pPr>
              <w:spacing w:after="0"/>
              <w:rPr>
                <w:sz w:val="15"/>
                <w:szCs w:val="15"/>
                <w:color w:val="auto"/>
              </w:rPr>
            </w:pPr>
          </w:p>
        </w:tc>
        <w:tc>
          <w:tcPr>
            <w:tcW w:w="15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440" w:type="dxa"/>
            <w:vAlign w:val="bottom"/>
          </w:tcPr>
          <w:p>
            <w:pPr>
              <w:ind w:left="580"/>
              <w:spacing w:after="0"/>
              <w:rPr>
                <w:sz w:val="20"/>
                <w:szCs w:val="20"/>
                <w:color w:val="auto"/>
              </w:rPr>
            </w:pPr>
            <w:r>
              <w:rPr>
                <w:rFonts w:ascii="Courier New" w:cs="Courier New" w:eastAsia="Courier New" w:hAnsi="Courier New"/>
                <w:sz w:val="16"/>
                <w:szCs w:val="16"/>
                <w:color w:val="auto"/>
              </w:rPr>
              <w:t>Net cash provided by operating</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83"/>
        </w:trPr>
        <w:tc>
          <w:tcPr>
            <w:tcW w:w="44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activities and gains and losses......</w:t>
            </w:r>
          </w:p>
        </w:tc>
        <w:tc>
          <w:tcPr>
            <w:tcW w:w="2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20,743,521</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16,647,793</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7,806,736</w:t>
            </w:r>
          </w:p>
        </w:tc>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16,801,005</w:t>
            </w:r>
          </w:p>
        </w:tc>
      </w:tr>
      <w:tr>
        <w:trPr>
          <w:trHeight w:val="183"/>
        </w:trPr>
        <w:tc>
          <w:tcPr>
            <w:tcW w:w="4440" w:type="dxa"/>
            <w:vAlign w:val="bottom"/>
          </w:tcPr>
          <w:p>
            <w:pPr>
              <w:spacing w:after="0"/>
              <w:rPr>
                <w:sz w:val="15"/>
                <w:szCs w:val="15"/>
                <w:color w:val="auto"/>
              </w:rPr>
            </w:pPr>
          </w:p>
        </w:tc>
        <w:tc>
          <w:tcPr>
            <w:tcW w:w="15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44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83"/>
        </w:trPr>
        <w:tc>
          <w:tcPr>
            <w:tcW w:w="4440" w:type="dxa"/>
            <w:vAlign w:val="bottom"/>
          </w:tcPr>
          <w:p>
            <w:pPr>
              <w:ind w:left="100"/>
              <w:spacing w:after="0"/>
              <w:rPr>
                <w:sz w:val="20"/>
                <w:szCs w:val="20"/>
                <w:color w:val="auto"/>
              </w:rPr>
            </w:pPr>
            <w:r>
              <w:rPr>
                <w:rFonts w:ascii="Courier New" w:cs="Courier New" w:eastAsia="Courier New" w:hAnsi="Courier New"/>
                <w:sz w:val="16"/>
                <w:szCs w:val="16"/>
                <w:color w:val="auto"/>
              </w:rPr>
              <w:t>Cash received from (invested in) assets</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83"/>
        </w:trPr>
        <w:tc>
          <w:tcPr>
            <w:tcW w:w="44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whose use is limited......................</w:t>
            </w:r>
          </w:p>
        </w:tc>
        <w:tc>
          <w:tcPr>
            <w:tcW w:w="24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(628,416)</w:t>
            </w:r>
          </w:p>
        </w:tc>
        <w:tc>
          <w:tcPr>
            <w:tcW w:w="15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(459,206)</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6,971,711</w:t>
            </w:r>
          </w:p>
        </w:tc>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1,579,273</w:t>
            </w:r>
          </w:p>
        </w:tc>
      </w:tr>
      <w:tr>
        <w:trPr>
          <w:trHeight w:val="183"/>
        </w:trPr>
        <w:tc>
          <w:tcPr>
            <w:tcW w:w="44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Proceeds from sale of investments...........</w:t>
            </w:r>
          </w:p>
        </w:tc>
        <w:tc>
          <w:tcPr>
            <w:tcW w:w="2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910,091</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2,976,797</w:t>
            </w:r>
          </w:p>
        </w:tc>
        <w:tc>
          <w:tcPr>
            <w:tcW w:w="130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4,013,172</w:t>
            </w:r>
          </w:p>
        </w:tc>
      </w:tr>
      <w:tr>
        <w:trPr>
          <w:trHeight w:val="183"/>
        </w:trPr>
        <w:tc>
          <w:tcPr>
            <w:tcW w:w="44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Purchases of investments....................</w:t>
            </w:r>
          </w:p>
        </w:tc>
        <w:tc>
          <w:tcPr>
            <w:tcW w:w="24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(20,533,960)</w:t>
            </w:r>
          </w:p>
        </w:tc>
        <w:tc>
          <w:tcPr>
            <w:tcW w:w="15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(12,133,675)</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(6,284,979)</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(10,746,218)</w:t>
            </w:r>
          </w:p>
        </w:tc>
      </w:tr>
      <w:tr>
        <w:trPr>
          <w:trHeight w:val="183"/>
        </w:trPr>
        <w:tc>
          <w:tcPr>
            <w:tcW w:w="44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Maturities of investments...................</w:t>
            </w:r>
          </w:p>
        </w:tc>
        <w:tc>
          <w:tcPr>
            <w:tcW w:w="2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18,557,386</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9,923,165</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4,167,298</w:t>
            </w:r>
          </w:p>
        </w:tc>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8,812,292</w:t>
            </w:r>
          </w:p>
        </w:tc>
      </w:tr>
      <w:tr>
        <w:trPr>
          <w:trHeight w:val="183"/>
        </w:trPr>
        <w:tc>
          <w:tcPr>
            <w:tcW w:w="4440" w:type="dxa"/>
            <w:vAlign w:val="bottom"/>
          </w:tcPr>
          <w:p>
            <w:pPr>
              <w:spacing w:after="0"/>
              <w:rPr>
                <w:sz w:val="15"/>
                <w:szCs w:val="15"/>
                <w:color w:val="auto"/>
              </w:rPr>
            </w:pPr>
          </w:p>
        </w:tc>
        <w:tc>
          <w:tcPr>
            <w:tcW w:w="15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440" w:type="dxa"/>
            <w:vAlign w:val="bottom"/>
          </w:tcPr>
          <w:p>
            <w:pPr>
              <w:ind w:left="580"/>
              <w:spacing w:after="0"/>
              <w:rPr>
                <w:sz w:val="20"/>
                <w:szCs w:val="20"/>
                <w:color w:val="auto"/>
              </w:rPr>
            </w:pPr>
            <w:r>
              <w:rPr>
                <w:rFonts w:ascii="Courier New" w:cs="Courier New" w:eastAsia="Courier New" w:hAnsi="Courier New"/>
                <w:sz w:val="16"/>
                <w:szCs w:val="16"/>
                <w:color w:val="auto"/>
              </w:rPr>
              <w:t>Net cash provided (used) by investing</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83"/>
        </w:trPr>
        <w:tc>
          <w:tcPr>
            <w:tcW w:w="44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activities...........................</w:t>
            </w:r>
          </w:p>
        </w:tc>
        <w:tc>
          <w:tcPr>
            <w:tcW w:w="24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(1,694,899)</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307,081</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4,854,030</w:t>
            </w:r>
          </w:p>
        </w:tc>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3,658,519</w:t>
            </w:r>
          </w:p>
        </w:tc>
      </w:tr>
      <w:tr>
        <w:trPr>
          <w:trHeight w:val="183"/>
        </w:trPr>
        <w:tc>
          <w:tcPr>
            <w:tcW w:w="4440" w:type="dxa"/>
            <w:vAlign w:val="bottom"/>
          </w:tcPr>
          <w:p>
            <w:pPr>
              <w:spacing w:after="0"/>
              <w:rPr>
                <w:sz w:val="15"/>
                <w:szCs w:val="15"/>
                <w:color w:val="auto"/>
              </w:rPr>
            </w:pPr>
          </w:p>
        </w:tc>
        <w:tc>
          <w:tcPr>
            <w:tcW w:w="15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440" w:type="dxa"/>
            <w:vAlign w:val="bottom"/>
          </w:tcPr>
          <w:p>
            <w:pPr>
              <w:spacing w:after="0"/>
              <w:rPr>
                <w:sz w:val="20"/>
                <w:szCs w:val="20"/>
                <w:color w:val="auto"/>
              </w:rPr>
            </w:pPr>
            <w:r>
              <w:rPr>
                <w:rFonts w:ascii="Courier New" w:cs="Courier New" w:eastAsia="Courier New" w:hAnsi="Courier New"/>
                <w:sz w:val="16"/>
                <w:szCs w:val="16"/>
                <w:color w:val="auto"/>
              </w:rPr>
              <w:t>CASH FLOWS FROM CAPITAL AND RELATED</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83"/>
        </w:trPr>
        <w:tc>
          <w:tcPr>
            <w:tcW w:w="4440" w:type="dxa"/>
            <w:vAlign w:val="bottom"/>
          </w:tcPr>
          <w:p>
            <w:pPr>
              <w:ind w:left="100"/>
              <w:spacing w:after="0"/>
              <w:rPr>
                <w:sz w:val="20"/>
                <w:szCs w:val="20"/>
                <w:color w:val="auto"/>
              </w:rPr>
            </w:pPr>
            <w:r>
              <w:rPr>
                <w:rFonts w:ascii="Courier New" w:cs="Courier New" w:eastAsia="Courier New" w:hAnsi="Courier New"/>
                <w:sz w:val="16"/>
                <w:szCs w:val="16"/>
                <w:color w:val="auto"/>
              </w:rPr>
              <w:t>FINANCING ACTIVITIES</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83"/>
        </w:trPr>
        <w:tc>
          <w:tcPr>
            <w:tcW w:w="44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Purchases of property and equipment.........</w:t>
            </w:r>
          </w:p>
        </w:tc>
        <w:tc>
          <w:tcPr>
            <w:tcW w:w="24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(22,951,830)</w:t>
            </w:r>
          </w:p>
        </w:tc>
        <w:tc>
          <w:tcPr>
            <w:tcW w:w="15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(7,878,850)</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(5,785,862)</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(1,962,189)</w:t>
            </w:r>
          </w:p>
        </w:tc>
      </w:tr>
      <w:tr>
        <w:trPr>
          <w:trHeight w:val="183"/>
        </w:trPr>
        <w:tc>
          <w:tcPr>
            <w:tcW w:w="44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Proceeds from sale of equipment.............</w:t>
            </w:r>
          </w:p>
        </w:tc>
        <w:tc>
          <w:tcPr>
            <w:tcW w:w="240" w:type="dxa"/>
            <w:vAlign w:val="bottom"/>
          </w:tcPr>
          <w:p>
            <w:pPr>
              <w:spacing w:after="0"/>
              <w:rPr>
                <w:sz w:val="15"/>
                <w:szCs w:val="15"/>
                <w:color w:val="auto"/>
              </w:rPr>
            </w:pPr>
          </w:p>
        </w:tc>
        <w:tc>
          <w:tcPr>
            <w:tcW w:w="1280" w:type="dxa"/>
            <w:vAlign w:val="bottom"/>
          </w:tcPr>
          <w:p>
            <w:pPr>
              <w:jc w:val="center"/>
              <w:ind w:right="261"/>
              <w:spacing w:after="0"/>
              <w:rPr>
                <w:sz w:val="20"/>
                <w:szCs w:val="20"/>
                <w:color w:val="auto"/>
              </w:rPr>
            </w:pPr>
            <w:r>
              <w:rPr>
                <w:rFonts w:ascii="Courier New" w:cs="Courier New" w:eastAsia="Courier New" w:hAnsi="Courier New"/>
                <w:sz w:val="16"/>
                <w:szCs w:val="16"/>
                <w:color w:val="auto"/>
                <w:w w:val="93"/>
              </w:rPr>
              <w:t>--</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76,121</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7,000</w:t>
            </w:r>
          </w:p>
        </w:tc>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10,328</w:t>
            </w:r>
          </w:p>
        </w:tc>
      </w:tr>
      <w:tr>
        <w:trPr>
          <w:trHeight w:val="183"/>
        </w:trPr>
        <w:tc>
          <w:tcPr>
            <w:tcW w:w="44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Repayment of long-term debt.................</w:t>
            </w:r>
          </w:p>
        </w:tc>
        <w:tc>
          <w:tcPr>
            <w:tcW w:w="24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(1,128,513)</w:t>
            </w:r>
          </w:p>
        </w:tc>
        <w:tc>
          <w:tcPr>
            <w:tcW w:w="15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(1,200,000)</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(1,217,484)</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(1,250,000)</w:t>
            </w:r>
          </w:p>
        </w:tc>
      </w:tr>
      <w:tr>
        <w:trPr>
          <w:trHeight w:val="183"/>
        </w:trPr>
        <w:tc>
          <w:tcPr>
            <w:tcW w:w="44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Payments on capital lease obligations.......</w:t>
            </w:r>
          </w:p>
        </w:tc>
        <w:tc>
          <w:tcPr>
            <w:tcW w:w="24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(80,127)</w:t>
            </w:r>
          </w:p>
        </w:tc>
        <w:tc>
          <w:tcPr>
            <w:tcW w:w="15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(89,205)</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(51,257)</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(23,663)</w:t>
            </w:r>
          </w:p>
        </w:tc>
      </w:tr>
      <w:tr>
        <w:trPr>
          <w:trHeight w:val="183"/>
        </w:trPr>
        <w:tc>
          <w:tcPr>
            <w:tcW w:w="4440" w:type="dxa"/>
            <w:vAlign w:val="bottom"/>
          </w:tcPr>
          <w:p>
            <w:pPr>
              <w:ind w:left="100"/>
              <w:spacing w:after="0"/>
              <w:rPr>
                <w:sz w:val="20"/>
                <w:szCs w:val="20"/>
                <w:color w:val="auto"/>
              </w:rPr>
            </w:pPr>
            <w:r>
              <w:rPr>
                <w:rFonts w:ascii="Courier New" w:cs="Courier New" w:eastAsia="Courier New" w:hAnsi="Courier New"/>
                <w:sz w:val="16"/>
                <w:szCs w:val="16"/>
                <w:color w:val="auto"/>
              </w:rPr>
              <w:t>Interest paid on long-term debt and capital</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83"/>
        </w:trPr>
        <w:tc>
          <w:tcPr>
            <w:tcW w:w="44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lease obligations.........................</w:t>
            </w:r>
          </w:p>
        </w:tc>
        <w:tc>
          <w:tcPr>
            <w:tcW w:w="24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(641,877)</w:t>
            </w:r>
          </w:p>
        </w:tc>
        <w:tc>
          <w:tcPr>
            <w:tcW w:w="15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(506,227)</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(261,825)</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(229,025)</w:t>
            </w:r>
          </w:p>
        </w:tc>
      </w:tr>
      <w:tr>
        <w:trPr>
          <w:trHeight w:val="183"/>
        </w:trPr>
        <w:tc>
          <w:tcPr>
            <w:tcW w:w="4440" w:type="dxa"/>
            <w:vAlign w:val="bottom"/>
          </w:tcPr>
          <w:p>
            <w:pPr>
              <w:ind w:left="100"/>
              <w:spacing w:after="0"/>
              <w:rPr>
                <w:sz w:val="20"/>
                <w:szCs w:val="20"/>
                <w:color w:val="auto"/>
              </w:rPr>
            </w:pPr>
            <w:r>
              <w:rPr>
                <w:rFonts w:ascii="Courier New" w:cs="Courier New" w:eastAsia="Courier New" w:hAnsi="Courier New"/>
                <w:sz w:val="16"/>
                <w:szCs w:val="16"/>
                <w:color w:val="auto"/>
              </w:rPr>
              <w:t>Interest capitalized on construction</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83"/>
        </w:trPr>
        <w:tc>
          <w:tcPr>
            <w:tcW w:w="44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projects...................................</w:t>
            </w:r>
          </w:p>
        </w:tc>
        <w:tc>
          <w:tcPr>
            <w:tcW w:w="2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554,025</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17,171</w:t>
            </w:r>
          </w:p>
        </w:tc>
        <w:tc>
          <w:tcPr>
            <w:tcW w:w="130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center"/>
              <w:ind w:left="101"/>
              <w:spacing w:after="0"/>
              <w:rPr>
                <w:sz w:val="20"/>
                <w:szCs w:val="20"/>
                <w:color w:val="auto"/>
              </w:rPr>
            </w:pPr>
            <w:r>
              <w:rPr>
                <w:rFonts w:ascii="Courier New" w:cs="Courier New" w:eastAsia="Courier New" w:hAnsi="Courier New"/>
                <w:sz w:val="16"/>
                <w:szCs w:val="16"/>
                <w:color w:val="auto"/>
                <w:w w:val="93"/>
              </w:rPr>
              <w:t>--</w:t>
            </w:r>
          </w:p>
        </w:tc>
      </w:tr>
      <w:tr>
        <w:trPr>
          <w:trHeight w:val="183"/>
        </w:trPr>
        <w:tc>
          <w:tcPr>
            <w:tcW w:w="4440" w:type="dxa"/>
            <w:vAlign w:val="bottom"/>
          </w:tcPr>
          <w:p>
            <w:pPr>
              <w:ind w:left="100"/>
              <w:spacing w:after="0"/>
              <w:rPr>
                <w:sz w:val="20"/>
                <w:szCs w:val="20"/>
                <w:color w:val="auto"/>
              </w:rPr>
            </w:pPr>
            <w:r>
              <w:rPr>
                <w:rFonts w:ascii="Courier New" w:cs="Courier New" w:eastAsia="Courier New" w:hAnsi="Courier New"/>
                <w:sz w:val="16"/>
                <w:szCs w:val="16"/>
                <w:color w:val="auto"/>
              </w:rPr>
              <w:t>Interest expense on long-term debt and</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83"/>
        </w:trPr>
        <w:tc>
          <w:tcPr>
            <w:tcW w:w="44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capital lease obligations.................</w:t>
            </w:r>
          </w:p>
        </w:tc>
        <w:tc>
          <w:tcPr>
            <w:tcW w:w="2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87,852</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481,460</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253,803</w:t>
            </w:r>
          </w:p>
        </w:tc>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222,733</w:t>
            </w:r>
          </w:p>
        </w:tc>
      </w:tr>
      <w:tr>
        <w:trPr>
          <w:trHeight w:val="183"/>
        </w:trPr>
        <w:tc>
          <w:tcPr>
            <w:tcW w:w="4440" w:type="dxa"/>
            <w:vAlign w:val="bottom"/>
          </w:tcPr>
          <w:p>
            <w:pPr>
              <w:spacing w:after="0"/>
              <w:rPr>
                <w:sz w:val="15"/>
                <w:szCs w:val="15"/>
                <w:color w:val="auto"/>
              </w:rPr>
            </w:pPr>
          </w:p>
        </w:tc>
        <w:tc>
          <w:tcPr>
            <w:tcW w:w="15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440" w:type="dxa"/>
            <w:vAlign w:val="bottom"/>
          </w:tcPr>
          <w:p>
            <w:pPr>
              <w:ind w:left="580"/>
              <w:spacing w:after="0"/>
              <w:rPr>
                <w:sz w:val="20"/>
                <w:szCs w:val="20"/>
                <w:color w:val="auto"/>
              </w:rPr>
            </w:pPr>
            <w:r>
              <w:rPr>
                <w:rFonts w:ascii="Courier New" w:cs="Courier New" w:eastAsia="Courier New" w:hAnsi="Courier New"/>
                <w:sz w:val="16"/>
                <w:szCs w:val="16"/>
                <w:color w:val="auto"/>
              </w:rPr>
              <w:t>Net cash used in capital and related</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83"/>
        </w:trPr>
        <w:tc>
          <w:tcPr>
            <w:tcW w:w="44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financing activities.................</w:t>
            </w:r>
          </w:p>
        </w:tc>
        <w:tc>
          <w:tcPr>
            <w:tcW w:w="24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(24,160,470)</w:t>
            </w:r>
          </w:p>
        </w:tc>
        <w:tc>
          <w:tcPr>
            <w:tcW w:w="15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(9,099,530)</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(7,055,625)</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(3,231,816)</w:t>
            </w:r>
          </w:p>
        </w:tc>
      </w:tr>
      <w:tr>
        <w:trPr>
          <w:trHeight w:val="183"/>
        </w:trPr>
        <w:tc>
          <w:tcPr>
            <w:tcW w:w="4440" w:type="dxa"/>
            <w:vAlign w:val="bottom"/>
          </w:tcPr>
          <w:p>
            <w:pPr>
              <w:spacing w:after="0"/>
              <w:rPr>
                <w:sz w:val="15"/>
                <w:szCs w:val="15"/>
                <w:color w:val="auto"/>
              </w:rPr>
            </w:pPr>
          </w:p>
        </w:tc>
        <w:tc>
          <w:tcPr>
            <w:tcW w:w="15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440" w:type="dxa"/>
            <w:vAlign w:val="bottom"/>
          </w:tcPr>
          <w:p>
            <w:pPr>
              <w:spacing w:after="0"/>
              <w:rPr>
                <w:sz w:val="20"/>
                <w:szCs w:val="20"/>
                <w:color w:val="auto"/>
              </w:rPr>
            </w:pPr>
            <w:r>
              <w:rPr>
                <w:rFonts w:ascii="Courier New" w:cs="Courier New" w:eastAsia="Courier New" w:hAnsi="Courier New"/>
                <w:sz w:val="16"/>
                <w:szCs w:val="16"/>
                <w:color w:val="auto"/>
              </w:rPr>
              <w:t>NET INCREASE (DECREASE) IN CASH AND</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83"/>
        </w:trPr>
        <w:tc>
          <w:tcPr>
            <w:tcW w:w="44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CASH EQUIVALENTS............................</w:t>
            </w:r>
          </w:p>
        </w:tc>
        <w:tc>
          <w:tcPr>
            <w:tcW w:w="24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(5,111,848)</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7,855,344</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5,605,141</w:t>
            </w:r>
          </w:p>
        </w:tc>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17,227,708</w:t>
            </w:r>
          </w:p>
        </w:tc>
      </w:tr>
      <w:tr>
        <w:trPr>
          <w:trHeight w:val="183"/>
        </w:trPr>
        <w:tc>
          <w:tcPr>
            <w:tcW w:w="4440" w:type="dxa"/>
            <w:vAlign w:val="bottom"/>
          </w:tcPr>
          <w:p>
            <w:pPr>
              <w:spacing w:after="0"/>
              <w:rPr>
                <w:sz w:val="20"/>
                <w:szCs w:val="20"/>
                <w:color w:val="auto"/>
              </w:rPr>
            </w:pPr>
            <w:r>
              <w:rPr>
                <w:rFonts w:ascii="Courier New" w:cs="Courier New" w:eastAsia="Courier New" w:hAnsi="Courier New"/>
                <w:sz w:val="16"/>
                <w:szCs w:val="16"/>
                <w:color w:val="auto"/>
              </w:rPr>
              <w:t>CASH AND CASH EQUIVALENTS,</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83"/>
        </w:trPr>
        <w:tc>
          <w:tcPr>
            <w:tcW w:w="44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BEGINNING OF PERIOD.........................</w:t>
            </w:r>
          </w:p>
        </w:tc>
        <w:tc>
          <w:tcPr>
            <w:tcW w:w="2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13,228,325</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8,116,477</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8,116,477</w:t>
            </w:r>
          </w:p>
        </w:tc>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15,971,821</w:t>
            </w:r>
          </w:p>
        </w:tc>
      </w:tr>
      <w:tr>
        <w:trPr>
          <w:trHeight w:val="183"/>
        </w:trPr>
        <w:tc>
          <w:tcPr>
            <w:tcW w:w="4440" w:type="dxa"/>
            <w:vAlign w:val="bottom"/>
          </w:tcPr>
          <w:p>
            <w:pPr>
              <w:spacing w:after="0"/>
              <w:rPr>
                <w:sz w:val="15"/>
                <w:szCs w:val="15"/>
                <w:color w:val="auto"/>
              </w:rPr>
            </w:pPr>
          </w:p>
        </w:tc>
        <w:tc>
          <w:tcPr>
            <w:tcW w:w="15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440" w:type="dxa"/>
            <w:vAlign w:val="bottom"/>
          </w:tcPr>
          <w:p>
            <w:pPr>
              <w:spacing w:after="0"/>
              <w:rPr>
                <w:sz w:val="20"/>
                <w:szCs w:val="20"/>
                <w:color w:val="auto"/>
              </w:rPr>
            </w:pPr>
            <w:r>
              <w:rPr>
                <w:rFonts w:ascii="Courier New" w:cs="Courier New" w:eastAsia="Courier New" w:hAnsi="Courier New"/>
                <w:sz w:val="16"/>
                <w:szCs w:val="16"/>
                <w:color w:val="auto"/>
              </w:rPr>
              <w:t>CASH AND CASH EQUIVALENTS,</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83"/>
        </w:trPr>
        <w:tc>
          <w:tcPr>
            <w:tcW w:w="44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END OF PERIOD...............................</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8,116,477</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$ 15,971,821</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$13,721,618</w:t>
            </w:r>
          </w:p>
        </w:tc>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$ 33,199,529</w:t>
            </w:r>
          </w:p>
        </w:tc>
      </w:tr>
      <w:tr>
        <w:trPr>
          <w:trHeight w:val="183"/>
        </w:trPr>
        <w:tc>
          <w:tcPr>
            <w:tcW w:w="4440" w:type="dxa"/>
            <w:vAlign w:val="bottom"/>
          </w:tcPr>
          <w:p>
            <w:pPr>
              <w:spacing w:after="0"/>
              <w:rPr>
                <w:sz w:val="15"/>
                <w:szCs w:val="15"/>
                <w:color w:val="auto"/>
              </w:rPr>
            </w:pPr>
          </w:p>
        </w:tc>
        <w:tc>
          <w:tcPr>
            <w:tcW w:w="15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440" w:type="dxa"/>
            <w:vAlign w:val="bottom"/>
          </w:tcPr>
          <w:p>
            <w:pPr>
              <w:spacing w:after="0"/>
              <w:rPr>
                <w:sz w:val="15"/>
                <w:szCs w:val="15"/>
                <w:color w:val="auto"/>
              </w:rPr>
            </w:pPr>
          </w:p>
        </w:tc>
        <w:tc>
          <w:tcPr>
            <w:tcW w:w="15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372" w:lineRule="exact"/>
        <w:rPr>
          <w:sz w:val="20"/>
          <w:szCs w:val="20"/>
          <w:color w:val="auto"/>
        </w:rPr>
      </w:pPr>
    </w:p>
    <w:p>
      <w:pPr>
        <w:jc w:val="center"/>
        <w:ind w:right="2760"/>
        <w:spacing w:after="0"/>
        <w:rPr>
          <w:sz w:val="20"/>
          <w:szCs w:val="20"/>
          <w:color w:val="auto"/>
        </w:rPr>
      </w:pPr>
      <w:r>
        <w:rPr>
          <w:rFonts w:ascii="Courier New" w:cs="Courier New" w:eastAsia="Courier New" w:hAnsi="Courier New"/>
          <w:sz w:val="16"/>
          <w:szCs w:val="16"/>
          <w:color w:val="auto"/>
        </w:rPr>
        <w:t>These financial statements should be read only in connection with the accompanying summary of significant accounting policies and notes to financial statements.</w:t>
      </w:r>
    </w:p>
    <w:p>
      <w:pPr>
        <w:spacing w:after="0" w:line="18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F-32</w:t>
      </w:r>
    </w:p>
    <w:p>
      <w:pPr>
        <w:sectPr>
          <w:pgSz w:w="11900" w:h="16838" w:orient="portrait"/>
          <w:cols w:equalWidth="0" w:num="1">
            <w:col w:w="10300"/>
          </w:cols>
          <w:pgMar w:left="240" w:top="481" w:right="1359" w:bottom="21" w:gutter="0" w:footer="0" w:header="0"/>
        </w:sectPr>
      </w:pPr>
    </w:p>
    <w:bookmarkStart w:id="82" w:name="page83"/>
    <w:bookmarkEnd w:id="82"/>
    <w:p>
      <w:pPr>
        <w:ind w:left="2200"/>
        <w:spacing w:after="0"/>
        <w:rPr>
          <w:sz w:val="20"/>
          <w:szCs w:val="20"/>
          <w:color w:val="auto"/>
        </w:rPr>
      </w:pPr>
      <w:r>
        <w:rPr>
          <w:rFonts w:ascii="Courier New" w:cs="Courier New" w:eastAsia="Courier New" w:hAnsi="Courier New"/>
          <w:sz w:val="16"/>
          <w:szCs w:val="16"/>
          <w:color w:val="auto"/>
        </w:rPr>
        <w:t>NORTHWEST TEXAS HEALTHCARE SYSTEM</w:t>
      </w:r>
    </w:p>
    <w:p>
      <w:pPr>
        <w:spacing w:after="0" w:line="2"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SUMMARY OF SIGNIFICANT ACCOUNTING POLICIES</w:t>
      </w:r>
    </w:p>
    <w:p>
      <w:pPr>
        <w:spacing w:after="0" w:line="2"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YEARS ENDED SEPTEMBER 30, 1994 AND 1995</w:t>
      </w:r>
    </w:p>
    <w:p>
      <w:pPr>
        <w:spacing w:after="0" w:line="2"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AND SIX MONTHS ENDED MARCH 31, 1995 AND 1996 (UNAUDITED)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FINANCIAL REPORTING ENTITY</w:t>
      </w:r>
    </w:p>
    <w:p>
      <w:pPr>
        <w:spacing w:after="0" w:line="188"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Northwest Texas Healthcare System (the Hospital) is operated by the Amarillo Hospital District (the District) a political subdivision of the State of Texas. The District is a component unit of the City of Amarillo and the City Commission of the City of Amarillo appoints the District's Board of Managers and approves the ad valorem tax rate and annual operating budget. The accompanying financial statements of the Hospital are intended to present the financial position and results of operations and cash flows of only that portion of the financial reporting entity of the District that are attributable to the transactions of the Hospital.</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HOSPITAL OPERATIONS</w:t>
      </w:r>
    </w:p>
    <w:p>
      <w:pPr>
        <w:spacing w:after="0" w:line="188" w:lineRule="exact"/>
        <w:rPr>
          <w:sz w:val="20"/>
          <w:szCs w:val="20"/>
          <w:color w:val="auto"/>
        </w:rPr>
      </w:pPr>
    </w:p>
    <w:p>
      <w:pPr>
        <w:ind w:right="2679" w:firstLine="382"/>
        <w:spacing w:after="0" w:line="241" w:lineRule="auto"/>
        <w:rPr>
          <w:sz w:val="20"/>
          <w:szCs w:val="20"/>
          <w:color w:val="auto"/>
        </w:rPr>
      </w:pPr>
      <w:r>
        <w:rPr>
          <w:rFonts w:ascii="Courier New" w:cs="Courier New" w:eastAsia="Courier New" w:hAnsi="Courier New"/>
          <w:sz w:val="16"/>
          <w:szCs w:val="16"/>
          <w:color w:val="auto"/>
        </w:rPr>
        <w:t>The Hospital operates general and emergency health care facilities, an outpatient indigent clinic, outpatient community service clinics, a psychiatric and behavioral hospital, and ambulance services in Amarillo, Texas. It also serves as a teaching hospital for the Texas Tech University Health Sciences Center.</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BASIS OF PRESENTATION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ANNUAL FINANCIAL STATEMENTS</w:t>
      </w:r>
    </w:p>
    <w:p>
      <w:pPr>
        <w:spacing w:after="0" w:line="188" w:lineRule="exact"/>
        <w:rPr>
          <w:sz w:val="20"/>
          <w:szCs w:val="20"/>
          <w:color w:val="auto"/>
        </w:rPr>
      </w:pPr>
    </w:p>
    <w:p>
      <w:pPr>
        <w:ind w:right="2599" w:firstLine="382"/>
        <w:spacing w:after="0" w:line="263" w:lineRule="auto"/>
        <w:rPr>
          <w:sz w:val="20"/>
          <w:szCs w:val="20"/>
          <w:color w:val="auto"/>
        </w:rPr>
      </w:pPr>
      <w:r>
        <w:rPr>
          <w:rFonts w:ascii="Courier New" w:cs="Courier New" w:eastAsia="Courier New" w:hAnsi="Courier New"/>
          <w:sz w:val="15"/>
          <w:szCs w:val="15"/>
          <w:color w:val="auto"/>
        </w:rPr>
        <w:t>The annual financial statements are prepared in accordance with the American Institute of Certified Public Accountant's Audit and Accounting Guide, Audits of Providers of Health Care Services, and all applicable Governmental Accounting Standards Board and Financial Accounting Standards Board pronouncements.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CONDENSED INTERIM FINANCIAL STATEMENTS</w:t>
      </w:r>
    </w:p>
    <w:p>
      <w:pPr>
        <w:spacing w:after="0" w:line="188"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The unaudited condensed interim financial statements included herein were prepared from the books of the Hospital in accordance with generally accepted accounting principles and reflect all adjustments (consisting of normal recurring accruals) which are, in the opinion of management, necessary to a fair statement of the results of operations and financial position for the interim periods. The current interim period reported herein is not necessarily an indication of the expected results for the fiscal year.</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 BASIS OF ACCOUNTING</w:t>
      </w:r>
    </w:p>
    <w:p>
      <w:pPr>
        <w:spacing w:after="0" w:line="188" w:lineRule="exact"/>
        <w:rPr>
          <w:sz w:val="20"/>
          <w:szCs w:val="20"/>
          <w:color w:val="auto"/>
        </w:rPr>
      </w:pPr>
    </w:p>
    <w:p>
      <w:pPr>
        <w:ind w:right="2679" w:firstLine="382"/>
        <w:spacing w:after="0" w:line="265" w:lineRule="auto"/>
        <w:rPr>
          <w:sz w:val="20"/>
          <w:szCs w:val="20"/>
          <w:color w:val="auto"/>
        </w:rPr>
      </w:pPr>
      <w:r>
        <w:rPr>
          <w:rFonts w:ascii="Courier New" w:cs="Courier New" w:eastAsia="Courier New" w:hAnsi="Courier New"/>
          <w:sz w:val="15"/>
          <w:szCs w:val="15"/>
          <w:color w:val="auto"/>
        </w:rPr>
        <w:t>Transactions deemed by management to be ongoing, major or central to providing health care services are reported as revenue and expenses. Peripheral or incidental transactions are reported as nonoperating gains and losses.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PATIENT SERVICE REVENUE</w:t>
      </w:r>
    </w:p>
    <w:p>
      <w:pPr>
        <w:spacing w:after="0" w:line="188" w:lineRule="exact"/>
        <w:rPr>
          <w:sz w:val="20"/>
          <w:szCs w:val="20"/>
          <w:color w:val="auto"/>
        </w:rPr>
      </w:pPr>
    </w:p>
    <w:p>
      <w:pPr>
        <w:jc w:val="both"/>
        <w:ind w:right="3059" w:firstLine="382"/>
        <w:spacing w:after="0"/>
        <w:rPr>
          <w:sz w:val="20"/>
          <w:szCs w:val="20"/>
          <w:color w:val="auto"/>
        </w:rPr>
      </w:pPr>
      <w:r>
        <w:rPr>
          <w:rFonts w:ascii="Courier New" w:cs="Courier New" w:eastAsia="Courier New" w:hAnsi="Courier New"/>
          <w:sz w:val="16"/>
          <w:szCs w:val="16"/>
          <w:color w:val="auto"/>
        </w:rPr>
        <w:t>Net patient service revenue is reported at the estimated net realizable amounts from patients, third-party payors and others for services rendered, including estimated retroactive adjustments under</w:t>
      </w:r>
    </w:p>
    <w:p>
      <w:pPr>
        <w:spacing w:after="0" w:line="18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F-33</w:t>
      </w:r>
    </w:p>
    <w:p>
      <w:pPr>
        <w:sectPr>
          <w:pgSz w:w="11900" w:h="16838" w:orient="portrait"/>
          <w:cols w:equalWidth="0" w:num="1">
            <w:col w:w="10219"/>
          </w:cols>
          <w:pgMar w:left="240" w:top="481" w:right="1440" w:bottom="1440" w:gutter="0" w:footer="0" w:header="0"/>
        </w:sectPr>
      </w:pPr>
    </w:p>
    <w:bookmarkStart w:id="83" w:name="page84"/>
    <w:bookmarkEnd w:id="83"/>
    <w:p>
      <w:pPr>
        <w:ind w:left="2200"/>
        <w:spacing w:after="0"/>
        <w:rPr>
          <w:sz w:val="20"/>
          <w:szCs w:val="20"/>
          <w:color w:val="auto"/>
        </w:rPr>
      </w:pPr>
      <w:r>
        <w:rPr>
          <w:rFonts w:ascii="Courier New" w:cs="Courier New" w:eastAsia="Courier New" w:hAnsi="Courier New"/>
          <w:sz w:val="16"/>
          <w:szCs w:val="16"/>
          <w:color w:val="auto"/>
        </w:rPr>
        <w:t>NORTHWEST TEXAS HEALTHCARE SYSTEM</w:t>
      </w:r>
    </w:p>
    <w:p>
      <w:pPr>
        <w:spacing w:after="0" w:line="2"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SUMMARY OF SIGNIFICANT ACCOUNTING POLICIES--(CONTINUED)</w:t>
      </w:r>
    </w:p>
    <w:p>
      <w:pPr>
        <w:spacing w:after="0" w:line="2"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YEARS ENDED SEPTEMBER 30, 1994 AND 1995</w:t>
      </w:r>
    </w:p>
    <w:p>
      <w:pPr>
        <w:spacing w:after="0" w:line="2"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AND SIX MONTHS ENDED MARCH 31, 1995 AND 1996 (UNAUDITED)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 BASIS OF ACCOUNTING--(CONTINUED)</w:t>
      </w:r>
    </w:p>
    <w:p>
      <w:pPr>
        <w:spacing w:after="0" w:line="5" w:lineRule="exact"/>
        <w:rPr>
          <w:sz w:val="20"/>
          <w:szCs w:val="20"/>
          <w:color w:val="auto"/>
        </w:rPr>
      </w:pPr>
    </w:p>
    <w:p>
      <w:pPr>
        <w:jc w:val="both"/>
        <w:ind w:right="2879"/>
        <w:spacing w:after="0"/>
        <w:rPr>
          <w:sz w:val="20"/>
          <w:szCs w:val="20"/>
          <w:color w:val="auto"/>
        </w:rPr>
      </w:pPr>
      <w:r>
        <w:rPr>
          <w:rFonts w:ascii="Courier New" w:cs="Courier New" w:eastAsia="Courier New" w:hAnsi="Courier New"/>
          <w:sz w:val="16"/>
          <w:szCs w:val="16"/>
          <w:color w:val="auto"/>
        </w:rPr>
        <w:t>reimbursement agreements with third-party payors. Retroactive adjustments are accrued on an estimated basis in the period the related services are rendered and adjusted in future periods as final settlements are determined.</w:t>
      </w:r>
    </w:p>
    <w:p>
      <w:pPr>
        <w:spacing w:after="0" w:line="190"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The majority of the Hospital's activities are with patients who reside within Amarillo and the Texas Panhandle area. As of September 30, 1995 and 1994, the Hospital's net patient receivable for services rendered was approximately $17,000,000 and $16,000,000, respectively. The Hospital routinely requests payment at the time the services are rendered, but does not refuse services to anyone based upon inability to pay. The Hospital generally does not require collateral or other security in extending credit to patients; however, it routinely obtains assignments of patients' benefits payable from commercial health insurance carriers and other third-party payors. Possible credit losses arising from the Hospital's operations are provided for in the allowance for estimated uncollectibles.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CHARITY CARE</w:t>
      </w:r>
    </w:p>
    <w:p>
      <w:pPr>
        <w:spacing w:after="0" w:line="188"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The primary purpose for the establishment of the District is to own and operate a hospital or hospital system for indigent and needy persons within the District. In this regard, the Hospital provides care to patients who meet certain criteria under its charity care policies without charge or at amounts significantly less than its established rates. The Hospital does not pursue collection of amounts determined to qualify as charity care; accordingly, such amounts are not reported as revenue.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 VALOREM TAXES</w:t>
      </w:r>
    </w:p>
    <w:p>
      <w:pPr>
        <w:spacing w:after="0" w:line="188"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The Hospital received approximately 6.4% and 5.9% of its total revenue from ad valorem taxes in 1994 and 1995, respectively, of which approximately 79% was used to support operations and the remaining 21% was used for debt service. The District's ad valorem tax rate was 19.04 and 18.34 cents per $100 valuation in 1994 and 1995, respectively. Ad valorem taxes are levied on October 1 of each year and are delinquent if not paid by January 31 of the following year; accordingly, ad valorem taxes are recorded at October 1 as deferred revenue and revenue is recognized for interim financial statement purposes ratably throughout the fiscal year.</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ESTIMATED SELF-INSURANCE COSTS</w:t>
      </w:r>
    </w:p>
    <w:p>
      <w:pPr>
        <w:spacing w:after="0" w:line="188"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The Hospital self-insures for claims arising from professional malpractice, health benefits for employees and eligible dependents and workers' compensation benefits. The provisions for estimated self-insurance costs include estimates of the ultimate costs for both reported claims and claims incurred but not reported. The provisions for professional malpractice are reported in professional malpractice costs and the provisions for health benefits and workers' compensation are reported in wages, salaries and benefits expense in the accompanying statements of revenue and expenses.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CASH AND CASH EQUIVALENTS</w:t>
      </w:r>
    </w:p>
    <w:p>
      <w:pPr>
        <w:spacing w:after="0" w:line="188" w:lineRule="exact"/>
        <w:rPr>
          <w:sz w:val="20"/>
          <w:szCs w:val="20"/>
          <w:color w:val="auto"/>
        </w:rPr>
      </w:pPr>
    </w:p>
    <w:p>
      <w:pPr>
        <w:ind w:right="2779" w:firstLine="382"/>
        <w:spacing w:after="0"/>
        <w:rPr>
          <w:sz w:val="20"/>
          <w:szCs w:val="20"/>
          <w:color w:val="auto"/>
        </w:rPr>
      </w:pPr>
      <w:r>
        <w:rPr>
          <w:rFonts w:ascii="Courier New" w:cs="Courier New" w:eastAsia="Courier New" w:hAnsi="Courier New"/>
          <w:sz w:val="16"/>
          <w:szCs w:val="16"/>
          <w:color w:val="auto"/>
        </w:rPr>
        <w:t>Cash and cash equivalents include investments in highly liquid debt and equity instruments purchased with an initial maturity of three months or less. For purposes of the statements of cash flows,</w:t>
      </w:r>
    </w:p>
    <w:p>
      <w:pPr>
        <w:spacing w:after="0" w:line="18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F-34</w:t>
      </w:r>
    </w:p>
    <w:p>
      <w:pPr>
        <w:sectPr>
          <w:pgSz w:w="11900" w:h="16838" w:orient="portrait"/>
          <w:cols w:equalWidth="0" w:num="1">
            <w:col w:w="10219"/>
          </w:cols>
          <w:pgMar w:left="240" w:top="481" w:right="1440" w:bottom="1440" w:gutter="0" w:footer="0" w:header="0"/>
        </w:sectPr>
      </w:pPr>
    </w:p>
    <w:bookmarkStart w:id="84" w:name="page85"/>
    <w:bookmarkEnd w:id="84"/>
    <w:p>
      <w:pPr>
        <w:ind w:left="2200"/>
        <w:spacing w:after="0"/>
        <w:rPr>
          <w:sz w:val="20"/>
          <w:szCs w:val="20"/>
          <w:color w:val="auto"/>
        </w:rPr>
      </w:pPr>
      <w:r>
        <w:rPr>
          <w:rFonts w:ascii="Courier New" w:cs="Courier New" w:eastAsia="Courier New" w:hAnsi="Courier New"/>
          <w:sz w:val="16"/>
          <w:szCs w:val="16"/>
          <w:color w:val="auto"/>
        </w:rPr>
        <w:t>NORTHWEST TEXAS HEALTHCARE SYSTEM</w:t>
      </w:r>
    </w:p>
    <w:p>
      <w:pPr>
        <w:spacing w:after="0" w:line="2"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SUMMARY OF SIGNIFICANT ACCOUNTING POLICIES--(CONTINUED)</w:t>
      </w:r>
    </w:p>
    <w:p>
      <w:pPr>
        <w:spacing w:after="0" w:line="2"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YEARS ENDED SEPTEMBER 30, 1994 AND 1995</w:t>
      </w:r>
    </w:p>
    <w:p>
      <w:pPr>
        <w:spacing w:after="0" w:line="2"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AND SIX MONTHS ENDED MARCH 31, 1995 AND 1996 (UNAUDITED)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 BASIS OF ACCOUNTING--(CONTINUED)</w:t>
      </w:r>
    </w:p>
    <w:p>
      <w:pPr>
        <w:spacing w:after="0" w:line="5" w:lineRule="exact"/>
        <w:rPr>
          <w:sz w:val="20"/>
          <w:szCs w:val="20"/>
          <w:color w:val="auto"/>
        </w:rPr>
      </w:pPr>
    </w:p>
    <w:p>
      <w:pPr>
        <w:ind w:right="3459"/>
        <w:spacing w:after="0" w:line="239" w:lineRule="auto"/>
        <w:rPr>
          <w:sz w:val="20"/>
          <w:szCs w:val="20"/>
          <w:color w:val="auto"/>
        </w:rPr>
      </w:pPr>
      <w:r>
        <w:rPr>
          <w:rFonts w:ascii="Courier New" w:cs="Courier New" w:eastAsia="Courier New" w:hAnsi="Courier New"/>
          <w:sz w:val="16"/>
          <w:szCs w:val="16"/>
          <w:color w:val="auto"/>
        </w:rPr>
        <w:t>cash and cash equivalents exclude amounts whose use is limited by board designation or other arrangements under trust agreements.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ASSETS WHOSE USE IS LIMITED</w:t>
      </w:r>
    </w:p>
    <w:p>
      <w:pPr>
        <w:spacing w:after="0" w:line="188" w:lineRule="exact"/>
        <w:rPr>
          <w:sz w:val="20"/>
          <w:szCs w:val="20"/>
          <w:color w:val="auto"/>
        </w:rPr>
      </w:pPr>
    </w:p>
    <w:p>
      <w:pPr>
        <w:ind w:right="2779" w:firstLine="382"/>
        <w:spacing w:after="0" w:line="242" w:lineRule="auto"/>
        <w:rPr>
          <w:sz w:val="20"/>
          <w:szCs w:val="20"/>
          <w:color w:val="auto"/>
        </w:rPr>
      </w:pPr>
      <w:r>
        <w:rPr>
          <w:rFonts w:ascii="Courier New" w:cs="Courier New" w:eastAsia="Courier New" w:hAnsi="Courier New"/>
          <w:sz w:val="16"/>
          <w:szCs w:val="16"/>
          <w:color w:val="auto"/>
        </w:rPr>
        <w:t>Assets whose use is limited include (1) assets designated by the Board for employee benefits, workers' compensation benefits, malpractice funding arrangements, commitments to fund health care related projects and future capital improvements over which the Board retains control and may, at its discretion, use for other purposes and (2) assets held by trustees under indenture agreements. Assets whose use is limited that are required for obligations classified as current liabilities are reported in current assets.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INVESTMENTS AND INVESTMENT INCOME</w:t>
      </w:r>
    </w:p>
    <w:p>
      <w:pPr>
        <w:spacing w:after="0" w:line="188" w:lineRule="exact"/>
        <w:rPr>
          <w:sz w:val="20"/>
          <w:szCs w:val="20"/>
          <w:color w:val="auto"/>
        </w:rPr>
      </w:pPr>
    </w:p>
    <w:p>
      <w:pPr>
        <w:ind w:right="2599" w:firstLine="382"/>
        <w:spacing w:after="0" w:line="261" w:lineRule="auto"/>
        <w:rPr>
          <w:sz w:val="20"/>
          <w:szCs w:val="20"/>
          <w:color w:val="auto"/>
        </w:rPr>
      </w:pPr>
      <w:r>
        <w:rPr>
          <w:rFonts w:ascii="Courier New" w:cs="Courier New" w:eastAsia="Courier New" w:hAnsi="Courier New"/>
          <w:sz w:val="15"/>
          <w:szCs w:val="15"/>
          <w:color w:val="auto"/>
        </w:rPr>
        <w:t>The Hospital adopted the provisions of Statement of Financial Accounting Standards No. 115, Accounting for Certain Investments in Debt and Equity Securities (FAS 115) as of September 30, 1994. The Hospital's investment strategy is oriented toward maximizing yield rather than to retain investments to maturity. As a result, the Hospital classified its investment portfolio as available-for-sale. Also, excluding assets whose use is limited, investments have been classified as current assets in the accompanying financial statements.</w:t>
      </w:r>
    </w:p>
    <w:p>
      <w:pPr>
        <w:spacing w:after="0" w:line="174" w:lineRule="exact"/>
        <w:rPr>
          <w:sz w:val="20"/>
          <w:szCs w:val="20"/>
          <w:color w:val="auto"/>
        </w:rPr>
      </w:pPr>
    </w:p>
    <w:p>
      <w:pPr>
        <w:ind w:right="2879" w:firstLine="382"/>
        <w:spacing w:after="0" w:line="241" w:lineRule="auto"/>
        <w:rPr>
          <w:sz w:val="20"/>
          <w:szCs w:val="20"/>
          <w:color w:val="auto"/>
        </w:rPr>
      </w:pPr>
      <w:r>
        <w:rPr>
          <w:rFonts w:ascii="Courier New" w:cs="Courier New" w:eastAsia="Courier New" w:hAnsi="Courier New"/>
          <w:sz w:val="16"/>
          <w:szCs w:val="16"/>
          <w:color w:val="auto"/>
        </w:rPr>
        <w:t>Donated investment securities are recorded at fair value at the date of receipt, which is then treated as cost. A decline in the market value of any investment below cost that is deemed to be other than temporary is charged to earnings resulting in the establishment of a new cost basis.</w:t>
      </w:r>
    </w:p>
    <w:p>
      <w:pPr>
        <w:spacing w:after="0" w:line="189"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Investment securities available-for-sale are reported at fair value. Unrealized holding gains and losses on available-for-sale securities (including those classified as current assets) are excluded from earnings and reported as a net amount in a separate component of fund balance until realized. Interest income, including amortization of the premium and discount arising at acquisition, is recognized when earned. Realized gains or losses are included in earnings. The specific identification method of determining cost is used to calculate realized gain or loss. Investment income, including gains and losses, is reported as nonoperating gains in the accompanying statements of revenue and expenses.</w:t>
      </w:r>
    </w:p>
    <w:p>
      <w:pPr>
        <w:spacing w:after="0" w:line="190"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The Hospital invests available funds in accordance with the Public Funds Investment Act of 1987, as amended. Investment securities are held by the trust departments of Boatmen's First National Bank of Amarillo, Amarillo National Bank and First Bank Southwest in the trustees' names. Accordingly, investment securities are classified in risk category 3 under criteria established by the GASB for both years.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PROPERTY AND EQUIPMENT</w:t>
      </w:r>
    </w:p>
    <w:p>
      <w:pPr>
        <w:spacing w:after="0" w:line="188" w:lineRule="exact"/>
        <w:rPr>
          <w:sz w:val="20"/>
          <w:szCs w:val="20"/>
          <w:color w:val="auto"/>
        </w:rPr>
      </w:pPr>
    </w:p>
    <w:p>
      <w:pPr>
        <w:ind w:right="2679" w:firstLine="382"/>
        <w:spacing w:after="0" w:line="239" w:lineRule="auto"/>
        <w:rPr>
          <w:sz w:val="20"/>
          <w:szCs w:val="20"/>
          <w:color w:val="auto"/>
        </w:rPr>
      </w:pPr>
      <w:r>
        <w:rPr>
          <w:rFonts w:ascii="Courier New" w:cs="Courier New" w:eastAsia="Courier New" w:hAnsi="Courier New"/>
          <w:sz w:val="16"/>
          <w:szCs w:val="16"/>
          <w:color w:val="auto"/>
        </w:rPr>
        <w:t>Property and equipment are recorded at cost. Property and equipment donated for Hospital operations are recorded at fair value at date of receipt.</w:t>
      </w:r>
    </w:p>
    <w:p>
      <w:pPr>
        <w:spacing w:after="0" w:line="189" w:lineRule="exact"/>
        <w:rPr>
          <w:sz w:val="20"/>
          <w:szCs w:val="20"/>
          <w:color w:val="auto"/>
        </w:rPr>
      </w:pPr>
    </w:p>
    <w:p>
      <w:pPr>
        <w:ind w:right="2779" w:firstLine="382"/>
        <w:spacing w:after="0"/>
        <w:rPr>
          <w:sz w:val="20"/>
          <w:szCs w:val="20"/>
          <w:color w:val="auto"/>
        </w:rPr>
      </w:pPr>
      <w:r>
        <w:rPr>
          <w:rFonts w:ascii="Courier New" w:cs="Courier New" w:eastAsia="Courier New" w:hAnsi="Courier New"/>
          <w:sz w:val="16"/>
          <w:szCs w:val="16"/>
          <w:color w:val="auto"/>
        </w:rPr>
        <w:t>Depreciation is provided on the straight-line method over the estimated useful lives of the properties. Equipment under capital leases is amortized on the straight-line method over the lesser of</w:t>
      </w:r>
    </w:p>
    <w:p>
      <w:pPr>
        <w:spacing w:after="0" w:line="18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F-35</w:t>
      </w:r>
    </w:p>
    <w:p>
      <w:pPr>
        <w:sectPr>
          <w:pgSz w:w="11900" w:h="16838" w:orient="portrait"/>
          <w:cols w:equalWidth="0" w:num="1">
            <w:col w:w="10219"/>
          </w:cols>
          <w:pgMar w:left="240" w:top="481" w:right="1440" w:bottom="1440" w:gutter="0" w:footer="0" w:header="0"/>
        </w:sectPr>
      </w:pPr>
    </w:p>
    <w:bookmarkStart w:id="85" w:name="page86"/>
    <w:bookmarkEnd w:id="85"/>
    <w:p>
      <w:pPr>
        <w:ind w:left="2200"/>
        <w:spacing w:after="0"/>
        <w:rPr>
          <w:sz w:val="20"/>
          <w:szCs w:val="20"/>
          <w:color w:val="auto"/>
        </w:rPr>
      </w:pPr>
      <w:r>
        <w:rPr>
          <w:rFonts w:ascii="Courier New" w:cs="Courier New" w:eastAsia="Courier New" w:hAnsi="Courier New"/>
          <w:sz w:val="16"/>
          <w:szCs w:val="16"/>
          <w:color w:val="auto"/>
        </w:rPr>
        <w:t>NORTHWEST TEXAS HEALTHCARE SYSTEM</w:t>
      </w:r>
    </w:p>
    <w:p>
      <w:pPr>
        <w:spacing w:after="0" w:line="2"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SUMMARY OF SIGNIFICANT ACCOUNTING POLICIES--(CONTINUED)</w:t>
      </w:r>
    </w:p>
    <w:p>
      <w:pPr>
        <w:spacing w:after="0" w:line="2"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YEARS ENDED SEPTEMBER 30, 1994 AND 1995</w:t>
      </w:r>
    </w:p>
    <w:p>
      <w:pPr>
        <w:spacing w:after="0" w:line="2"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AND SIX MONTHS ENDED MARCH 31, 1995 AND 1996 (UNAUDITED)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 BASIS OF ACCOUNTING--(CONTINUED)</w:t>
      </w:r>
    </w:p>
    <w:p>
      <w:pPr>
        <w:spacing w:after="0" w:line="5" w:lineRule="exact"/>
        <w:rPr>
          <w:sz w:val="20"/>
          <w:szCs w:val="20"/>
          <w:color w:val="auto"/>
        </w:rPr>
      </w:pPr>
    </w:p>
    <w:p>
      <w:pPr>
        <w:ind w:right="2879"/>
        <w:spacing w:after="0"/>
        <w:rPr>
          <w:sz w:val="20"/>
          <w:szCs w:val="20"/>
          <w:color w:val="auto"/>
        </w:rPr>
      </w:pPr>
      <w:r>
        <w:rPr>
          <w:rFonts w:ascii="Courier New" w:cs="Courier New" w:eastAsia="Courier New" w:hAnsi="Courier New"/>
          <w:sz w:val="16"/>
          <w:szCs w:val="16"/>
          <w:color w:val="auto"/>
        </w:rPr>
        <w:t>the lease term or the estimated useful life of the equipment. Amortization is included in depreciation and amortization in the accompanying financial statements.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CAPITALIZATION</w:t>
      </w:r>
    </w:p>
    <w:p>
      <w:pPr>
        <w:spacing w:after="0" w:line="188" w:lineRule="exact"/>
        <w:rPr>
          <w:sz w:val="20"/>
          <w:szCs w:val="20"/>
          <w:color w:val="auto"/>
        </w:rPr>
      </w:pPr>
    </w:p>
    <w:p>
      <w:pPr>
        <w:jc w:val="both"/>
        <w:ind w:right="2779" w:firstLine="382"/>
        <w:spacing w:after="0"/>
        <w:rPr>
          <w:sz w:val="20"/>
          <w:szCs w:val="20"/>
          <w:color w:val="auto"/>
        </w:rPr>
      </w:pPr>
      <w:r>
        <w:rPr>
          <w:rFonts w:ascii="Courier New" w:cs="Courier New" w:eastAsia="Courier New" w:hAnsi="Courier New"/>
          <w:sz w:val="16"/>
          <w:szCs w:val="16"/>
          <w:color w:val="auto"/>
        </w:rPr>
        <w:t>Interest cost incurred on borrowed funds during the period of construction of capital assets is capitalized as a component of the cost of acquiring those assets.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INCOME TAXES</w:t>
      </w:r>
    </w:p>
    <w:p>
      <w:pPr>
        <w:spacing w:after="0" w:line="188" w:lineRule="exact"/>
        <w:rPr>
          <w:sz w:val="20"/>
          <w:szCs w:val="20"/>
          <w:color w:val="auto"/>
        </w:rPr>
      </w:pPr>
    </w:p>
    <w:p>
      <w:pPr>
        <w:ind w:right="2599" w:firstLine="382"/>
        <w:spacing w:after="0" w:line="241" w:lineRule="auto"/>
        <w:rPr>
          <w:sz w:val="20"/>
          <w:szCs w:val="20"/>
          <w:color w:val="auto"/>
        </w:rPr>
      </w:pPr>
      <w:r>
        <w:rPr>
          <w:rFonts w:ascii="Courier New" w:cs="Courier New" w:eastAsia="Courier New" w:hAnsi="Courier New"/>
          <w:sz w:val="16"/>
          <w:szCs w:val="16"/>
          <w:color w:val="auto"/>
        </w:rPr>
        <w:t>The District, as a political subdivision of the State of Texas, is exempt from federal taxation. Additionally, the Internal Revenue Service has noted that the Hospital is a not-for-profit corporation as described in Section 501(c)(3) of the Internal Revenue Code (the Code) and is exempt from federal income taxes on related income pursuant to Section 501(a) of the Code.</w:t>
      </w:r>
    </w:p>
    <w:p>
      <w:pPr>
        <w:spacing w:after="0" w:line="18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F-36</w:t>
      </w:r>
    </w:p>
    <w:p>
      <w:pPr>
        <w:sectPr>
          <w:pgSz w:w="11900" w:h="16838" w:orient="portrait"/>
          <w:cols w:equalWidth="0" w:num="1">
            <w:col w:w="10219"/>
          </w:cols>
          <w:pgMar w:left="240" w:top="481" w:right="1440" w:bottom="1440" w:gutter="0" w:footer="0" w:header="0"/>
        </w:sectPr>
      </w:pPr>
    </w:p>
    <w:bookmarkStart w:id="86" w:name="page87"/>
    <w:bookmarkEnd w:id="86"/>
    <w:p>
      <w:pPr>
        <w:ind w:left="2200"/>
        <w:spacing w:after="0"/>
        <w:rPr>
          <w:sz w:val="20"/>
          <w:szCs w:val="20"/>
          <w:color w:val="auto"/>
        </w:rPr>
      </w:pPr>
      <w:r>
        <w:rPr>
          <w:rFonts w:ascii="Courier New" w:cs="Courier New" w:eastAsia="Courier New" w:hAnsi="Courier New"/>
          <w:sz w:val="16"/>
          <w:szCs w:val="16"/>
          <w:color w:val="auto"/>
        </w:rPr>
        <w:t>NORTHWEST TEXAS HEALTHCARE SYSTEM</w:t>
      </w:r>
    </w:p>
    <w:p>
      <w:pPr>
        <w:spacing w:after="0" w:line="2" w:lineRule="exact"/>
        <w:rPr>
          <w:sz w:val="20"/>
          <w:szCs w:val="20"/>
          <w:color w:val="auto"/>
        </w:rPr>
      </w:pPr>
    </w:p>
    <w:p>
      <w:pPr>
        <w:ind w:left="2380"/>
        <w:spacing w:after="0"/>
        <w:rPr>
          <w:sz w:val="20"/>
          <w:szCs w:val="20"/>
          <w:color w:val="auto"/>
        </w:rPr>
      </w:pPr>
      <w:r>
        <w:rPr>
          <w:rFonts w:ascii="Courier New" w:cs="Courier New" w:eastAsia="Courier New" w:hAnsi="Courier New"/>
          <w:sz w:val="16"/>
          <w:szCs w:val="16"/>
          <w:color w:val="auto"/>
        </w:rPr>
        <w:t>NOTES TO FINANCIAL STATEMENTS</w:t>
      </w:r>
    </w:p>
    <w:p>
      <w:pPr>
        <w:spacing w:after="0" w:line="2"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YEARS ENDED SEPTEMBER 30, 1994 AND 1995</w:t>
      </w:r>
    </w:p>
    <w:p>
      <w:pPr>
        <w:spacing w:after="0" w:line="2"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AND SIX MONTHS ENDED MARCH 31, 1995 AND 1996 (UNAUDITED)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1--NET PATIENT SERVICE REVENUE</w:t>
      </w:r>
    </w:p>
    <w:p>
      <w:pPr>
        <w:spacing w:after="0" w:line="188" w:lineRule="exact"/>
        <w:rPr>
          <w:sz w:val="20"/>
          <w:szCs w:val="20"/>
          <w:color w:val="auto"/>
        </w:rPr>
      </w:pPr>
    </w:p>
    <w:p>
      <w:pPr>
        <w:ind w:right="2779" w:firstLine="382"/>
        <w:spacing w:after="0" w:line="242" w:lineRule="auto"/>
        <w:rPr>
          <w:sz w:val="20"/>
          <w:szCs w:val="20"/>
          <w:color w:val="auto"/>
        </w:rPr>
      </w:pPr>
      <w:r>
        <w:rPr>
          <w:rFonts w:ascii="Courier New" w:cs="Courier New" w:eastAsia="Courier New" w:hAnsi="Courier New"/>
          <w:sz w:val="16"/>
          <w:szCs w:val="16"/>
          <w:color w:val="auto"/>
        </w:rPr>
        <w:t>The Hospital has agreements with third-party payors that provide for payments to the Hospital at amounts different from its established rates. Contractual adjustments under third-party reimbursement programs represent the difference between the Hospital's established rates for services and amounts reimbursed by third-party payors. A summary of the basis of reimbursement with major third-party payors follows:</w:t>
      </w:r>
    </w:p>
    <w:p>
      <w:pPr>
        <w:spacing w:after="0" w:line="187" w:lineRule="exact"/>
        <w:rPr>
          <w:sz w:val="20"/>
          <w:szCs w:val="20"/>
          <w:color w:val="auto"/>
        </w:rPr>
      </w:pPr>
    </w:p>
    <w:p>
      <w:pPr>
        <w:ind w:right="2599" w:firstLine="379"/>
        <w:spacing w:after="0" w:line="242" w:lineRule="auto"/>
        <w:tabs>
          <w:tab w:leader="none" w:pos="572"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Medicare. Inpatient acute medical and surgical care services rendered to Medicare program beneficiaries are paid at prospectively determined rates per discharge. These rates vary according to a patient classification system that is based on clinical, diagnostic, and other factors. Inpatient psychiatric and behavioral health care services, certain outpatient services, and medical education costs related to Medicare beneficiaries are paid based on a cost reimbursement methodology. Certain other services are paid on fee screen and ambulatory service center rates. Defined capital costs, previously paid based on a cost reimbursement methodology, are now paid prospectively. The Hospital is reimbursed for cost reimbursable items at a tentative rate with final settlement determined after submission of annual cost reports by the Hospital and audits thereof by the Medicare fiscal intermediary. The Hospital's classification of patients under the Medicare program and the appropriateness of their admission are subject to an independent review by a peer review organization under contract with the Hospital. The Hospital's Medicare cost reports have been audited by the Medicare fiscal intermediary through September 30, 1993. However, the 1990 cost report has been reopened during fiscal 1995 to include additional Medicaid days in the disproportionate share computation.</w:t>
      </w:r>
    </w:p>
    <w:p>
      <w:pPr>
        <w:spacing w:after="0" w:line="192" w:lineRule="exact"/>
        <w:rPr>
          <w:sz w:val="20"/>
          <w:szCs w:val="20"/>
          <w:color w:val="auto"/>
        </w:rPr>
      </w:pPr>
    </w:p>
    <w:p>
      <w:pPr>
        <w:ind w:left="580" w:hanging="201"/>
        <w:spacing w:after="0"/>
        <w:tabs>
          <w:tab w:leader="none" w:pos="58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Medicaid. Inpatient acute care services rendered to Medicaid program</w:t>
      </w:r>
    </w:p>
    <w:p>
      <w:pPr>
        <w:spacing w:after="0" w:line="4" w:lineRule="exact"/>
        <w:rPr>
          <w:rFonts w:ascii="Courier New" w:cs="Courier New" w:eastAsia="Courier New" w:hAnsi="Courier New"/>
          <w:sz w:val="16"/>
          <w:szCs w:val="16"/>
          <w:color w:val="auto"/>
        </w:rPr>
      </w:pPr>
    </w:p>
    <w:p>
      <w:pPr>
        <w:ind w:right="259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beneficiaries are paid at prospectively determined rates per discharge according to a patient classification system that is based on clinical, diagnostic and other factors. Outpatient services are reimbursed based upon a cost reimbursement methodology. The Hospital is reimbursed at a tentative rate with final settlement determined after submission of annual cost reports by the Hospital and audits by the Medicaid fiscal intermediary. The Hospital has received notice of program reimbursement based on desk reviews of cost reports filed through September 30, 1990.</w:t>
      </w:r>
    </w:p>
    <w:p>
      <w:pPr>
        <w:spacing w:after="0" w:line="189" w:lineRule="exact"/>
        <w:rPr>
          <w:sz w:val="20"/>
          <w:szCs w:val="20"/>
          <w:color w:val="auto"/>
        </w:rPr>
      </w:pPr>
    </w:p>
    <w:p>
      <w:pPr>
        <w:ind w:right="2599" w:firstLine="379"/>
        <w:spacing w:after="0" w:line="262" w:lineRule="auto"/>
        <w:tabs>
          <w:tab w:leader="none" w:pos="572"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The Hospital has also entered into reimbursement agreements with certain insurance carriers, including Blue Cross, health maintenance organizations, and preferred provider organizations. The basis for reimbursement under these agreements includes prospectively determined rates per discharge, discounts from established charges, and prospectively determined daily rates.</w:t>
      </w:r>
    </w:p>
    <w:p>
      <w:pPr>
        <w:spacing w:after="0" w:line="170"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A summary of gross and net patient service revenue for the years ended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30, 1994 and 1995 follows:</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140" w:type="dxa"/>
            <w:vAlign w:val="bottom"/>
          </w:tcPr>
          <w:p>
            <w:pPr>
              <w:spacing w:after="0"/>
              <w:rPr>
                <w:sz w:val="15"/>
                <w:szCs w:val="15"/>
                <w:color w:val="auto"/>
              </w:rPr>
            </w:pPr>
          </w:p>
        </w:tc>
        <w:tc>
          <w:tcPr>
            <w:tcW w:w="15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1994</w:t>
            </w:r>
          </w:p>
        </w:tc>
        <w:tc>
          <w:tcPr>
            <w:tcW w:w="13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1995</w:t>
            </w:r>
          </w:p>
        </w:tc>
      </w:tr>
      <w:tr>
        <w:trPr>
          <w:trHeight w:val="183"/>
        </w:trPr>
        <w:tc>
          <w:tcPr>
            <w:tcW w:w="6140" w:type="dxa"/>
            <w:vAlign w:val="bottom"/>
          </w:tcPr>
          <w:p>
            <w:pPr>
              <w:spacing w:after="0"/>
              <w:rPr>
                <w:sz w:val="15"/>
                <w:szCs w:val="15"/>
                <w:color w:val="auto"/>
              </w:rPr>
            </w:pPr>
          </w:p>
        </w:tc>
        <w:tc>
          <w:tcPr>
            <w:tcW w:w="1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6140" w:type="dxa"/>
            <w:vAlign w:val="bottom"/>
          </w:tcPr>
          <w:p>
            <w:pPr>
              <w:spacing w:after="0"/>
              <w:rPr>
                <w:sz w:val="20"/>
                <w:szCs w:val="20"/>
                <w:color w:val="auto"/>
              </w:rPr>
            </w:pPr>
            <w:r>
              <w:rPr>
                <w:rFonts w:ascii="Courier New" w:cs="Courier New" w:eastAsia="Courier New" w:hAnsi="Courier New"/>
                <w:sz w:val="16"/>
                <w:szCs w:val="16"/>
                <w:color w:val="auto"/>
              </w:rPr>
              <w:t>Gross patient service revenue..................................</w:t>
            </w:r>
          </w:p>
        </w:tc>
        <w:tc>
          <w:tcPr>
            <w:tcW w:w="1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$166,877,358</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$185,499,440</w:t>
            </w:r>
          </w:p>
        </w:tc>
      </w:tr>
      <w:tr>
        <w:trPr>
          <w:trHeight w:val="183"/>
        </w:trPr>
        <w:tc>
          <w:tcPr>
            <w:tcW w:w="6140" w:type="dxa"/>
            <w:vAlign w:val="bottom"/>
          </w:tcPr>
          <w:p>
            <w:pPr>
              <w:spacing w:after="0"/>
              <w:rPr>
                <w:sz w:val="20"/>
                <w:szCs w:val="20"/>
                <w:color w:val="auto"/>
              </w:rPr>
            </w:pPr>
            <w:r>
              <w:rPr>
                <w:rFonts w:ascii="Courier New" w:cs="Courier New" w:eastAsia="Courier New" w:hAnsi="Courier New"/>
                <w:sz w:val="16"/>
                <w:szCs w:val="16"/>
                <w:color w:val="auto"/>
              </w:rPr>
              <w:t>Contractual adjustments under third-party reimbursement</w:t>
            </w:r>
          </w:p>
        </w:tc>
        <w:tc>
          <w:tcPr>
            <w:tcW w:w="15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3"/>
        </w:trPr>
        <w:tc>
          <w:tcPr>
            <w:tcW w:w="6140" w:type="dxa"/>
            <w:vAlign w:val="bottom"/>
          </w:tcPr>
          <w:p>
            <w:pPr>
              <w:ind w:left="180"/>
              <w:spacing w:after="0"/>
              <w:rPr>
                <w:sz w:val="20"/>
                <w:szCs w:val="20"/>
                <w:color w:val="auto"/>
              </w:rPr>
            </w:pPr>
            <w:r>
              <w:rPr>
                <w:rFonts w:ascii="Courier New" w:cs="Courier New" w:eastAsia="Courier New" w:hAnsi="Courier New"/>
                <w:sz w:val="16"/>
                <w:szCs w:val="16"/>
                <w:color w:val="auto"/>
              </w:rPr>
              <w:t>programs and policy discounts................................</w:t>
            </w:r>
          </w:p>
        </w:tc>
        <w:tc>
          <w:tcPr>
            <w:tcW w:w="15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(50,607,009)</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(64,973,294)</w:t>
            </w:r>
          </w:p>
        </w:tc>
      </w:tr>
      <w:tr>
        <w:trPr>
          <w:trHeight w:val="183"/>
        </w:trPr>
        <w:tc>
          <w:tcPr>
            <w:tcW w:w="6140" w:type="dxa"/>
            <w:vAlign w:val="bottom"/>
          </w:tcPr>
          <w:p>
            <w:pPr>
              <w:spacing w:after="0"/>
              <w:rPr>
                <w:sz w:val="15"/>
                <w:szCs w:val="15"/>
                <w:color w:val="auto"/>
              </w:rPr>
            </w:pPr>
          </w:p>
        </w:tc>
        <w:tc>
          <w:tcPr>
            <w:tcW w:w="1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140" w:type="dxa"/>
            <w:vAlign w:val="bottom"/>
          </w:tcPr>
          <w:p>
            <w:pPr>
              <w:spacing w:after="0"/>
              <w:rPr>
                <w:sz w:val="20"/>
                <w:szCs w:val="20"/>
                <w:color w:val="auto"/>
              </w:rPr>
            </w:pPr>
            <w:r>
              <w:rPr>
                <w:rFonts w:ascii="Courier New" w:cs="Courier New" w:eastAsia="Courier New" w:hAnsi="Courier New"/>
                <w:sz w:val="16"/>
                <w:szCs w:val="16"/>
                <w:color w:val="auto"/>
              </w:rPr>
              <w:t>NET PATIENT SERVICE REVENUE....................................</w:t>
            </w:r>
          </w:p>
        </w:tc>
        <w:tc>
          <w:tcPr>
            <w:tcW w:w="1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$116,270,349</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$120,526,146</w:t>
            </w:r>
          </w:p>
        </w:tc>
      </w:tr>
      <w:tr>
        <w:trPr>
          <w:trHeight w:val="183"/>
        </w:trPr>
        <w:tc>
          <w:tcPr>
            <w:tcW w:w="6140" w:type="dxa"/>
            <w:vAlign w:val="bottom"/>
          </w:tcPr>
          <w:p>
            <w:pPr>
              <w:spacing w:after="0"/>
              <w:rPr>
                <w:sz w:val="15"/>
                <w:szCs w:val="15"/>
                <w:color w:val="auto"/>
              </w:rPr>
            </w:pPr>
          </w:p>
        </w:tc>
        <w:tc>
          <w:tcPr>
            <w:tcW w:w="1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140" w:type="dxa"/>
            <w:vAlign w:val="bottom"/>
          </w:tcPr>
          <w:p>
            <w:pPr>
              <w:spacing w:after="0"/>
              <w:rPr>
                <w:sz w:val="15"/>
                <w:szCs w:val="15"/>
                <w:color w:val="auto"/>
              </w:rPr>
            </w:pPr>
          </w:p>
        </w:tc>
        <w:tc>
          <w:tcPr>
            <w:tcW w:w="1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550"/>
        </w:trPr>
        <w:tc>
          <w:tcPr>
            <w:tcW w:w="6140" w:type="dxa"/>
            <w:vAlign w:val="bottom"/>
          </w:tcPr>
          <w:p>
            <w:pPr>
              <w:ind w:left="3620"/>
              <w:spacing w:after="0"/>
              <w:rPr>
                <w:sz w:val="20"/>
                <w:szCs w:val="20"/>
                <w:color w:val="auto"/>
              </w:rPr>
            </w:pPr>
            <w:r>
              <w:rPr>
                <w:rFonts w:ascii="Courier New" w:cs="Courier New" w:eastAsia="Courier New" w:hAnsi="Courier New"/>
                <w:sz w:val="16"/>
                <w:szCs w:val="16"/>
                <w:color w:val="auto"/>
              </w:rPr>
              <w:t>F-37</w:t>
            </w:r>
          </w:p>
        </w:tc>
        <w:tc>
          <w:tcPr>
            <w:tcW w:w="154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0219"/>
          </w:cols>
          <w:pgMar w:left="240" w:top="481" w:right="1440" w:bottom="1440" w:gutter="0" w:footer="0" w:header="0"/>
        </w:sectPr>
      </w:pPr>
    </w:p>
    <w:bookmarkStart w:id="87" w:name="page88"/>
    <w:bookmarkEnd w:id="87"/>
    <w:p>
      <w:pPr>
        <w:ind w:left="2200"/>
        <w:spacing w:after="0"/>
        <w:rPr>
          <w:sz w:val="20"/>
          <w:szCs w:val="20"/>
          <w:color w:val="auto"/>
        </w:rPr>
      </w:pPr>
      <w:r>
        <w:rPr>
          <w:rFonts w:ascii="Courier New" w:cs="Courier New" w:eastAsia="Courier New" w:hAnsi="Courier New"/>
          <w:sz w:val="16"/>
          <w:szCs w:val="16"/>
          <w:color w:val="auto"/>
        </w:rPr>
        <w:t>NORTHWEST TEXAS HEALTHCARE SYSTEM</w:t>
      </w:r>
    </w:p>
    <w:p>
      <w:pPr>
        <w:spacing w:after="0" w:line="2"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NOTES TO FINANCIAL STATEMENTS--(CONTINUED)</w:t>
      </w:r>
    </w:p>
    <w:p>
      <w:pPr>
        <w:spacing w:after="0" w:line="2"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YEARS ENDED SEPTEMBER 30, 1994 AND 1995</w:t>
      </w:r>
    </w:p>
    <w:p>
      <w:pPr>
        <w:spacing w:after="0" w:line="2"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AND SIX MONTHS ENDED MARCH 31, 1995 AND 1996 (UNAUDITED)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2--CHARITY CARE AND MEDICAID DISPROPORTIONATE SHARE FUNDING</w:t>
      </w:r>
    </w:p>
    <w:p>
      <w:pPr>
        <w:spacing w:after="0" w:line="188"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The primary purpose for the establishment of the District is to own and operate a hospital or hospital system for indigent and needy persons within the District. In striving to achieve its primary purpose, the Hospital provides a significant level of charity care services, educational programs and other activities designed to further promote the health status of the community. Due to escalating costs, the Hospital continually explores more cost-effective methods of service delivery.</w:t>
      </w:r>
    </w:p>
    <w:p>
      <w:pPr>
        <w:spacing w:after="0" w:line="188" w:lineRule="exact"/>
        <w:rPr>
          <w:sz w:val="20"/>
          <w:szCs w:val="20"/>
          <w:color w:val="auto"/>
        </w:rPr>
      </w:pPr>
    </w:p>
    <w:p>
      <w:pPr>
        <w:ind w:right="2779" w:firstLine="382"/>
        <w:spacing w:after="0" w:line="241" w:lineRule="auto"/>
        <w:rPr>
          <w:sz w:val="20"/>
          <w:szCs w:val="20"/>
          <w:color w:val="auto"/>
        </w:rPr>
      </w:pPr>
      <w:r>
        <w:rPr>
          <w:rFonts w:ascii="Courier New" w:cs="Courier New" w:eastAsia="Courier New" w:hAnsi="Courier New"/>
          <w:sz w:val="16"/>
          <w:szCs w:val="16"/>
          <w:color w:val="auto"/>
        </w:rPr>
        <w:t>The Hospital has developed a community-oriented primary care system of comprehensive health care services for the community. The Hospital focuses particular attention on a definable group of people in need of improved access to the delivery system, regardless of ability to pay.</w:t>
      </w:r>
    </w:p>
    <w:p>
      <w:pPr>
        <w:spacing w:after="0" w:line="189"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The Hospital provides care for all patients seeking services, regardless of their ability to pay. Many of these patients are qualified as financially or medically indigent according to guidelines established by the Hospital. Hospital personnel conduct eligibility screening on persons presenting for services who are unable to pay for such services. The following information illustrates the total estimated cost of these services for the years ended September 30, 1994 and 1995:</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340" w:type="dxa"/>
            <w:vAlign w:val="bottom"/>
          </w:tcPr>
          <w:p>
            <w:pPr>
              <w:spacing w:after="0"/>
              <w:rPr>
                <w:sz w:val="15"/>
                <w:szCs w:val="15"/>
                <w:color w:val="auto"/>
              </w:rPr>
            </w:pPr>
          </w:p>
        </w:tc>
        <w:tc>
          <w:tcPr>
            <w:tcW w:w="138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1994</w:t>
            </w: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1995</w:t>
            </w:r>
          </w:p>
        </w:tc>
      </w:tr>
      <w:tr>
        <w:trPr>
          <w:trHeight w:val="183"/>
        </w:trPr>
        <w:tc>
          <w:tcPr>
            <w:tcW w:w="6340" w:type="dxa"/>
            <w:vAlign w:val="bottom"/>
          </w:tcPr>
          <w:p>
            <w:pPr>
              <w:spacing w:after="0"/>
              <w:rPr>
                <w:sz w:val="15"/>
                <w:szCs w:val="15"/>
                <w:color w:val="auto"/>
              </w:rPr>
            </w:pPr>
          </w:p>
        </w:tc>
        <w:tc>
          <w:tcPr>
            <w:tcW w:w="13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6340" w:type="dxa"/>
            <w:vAlign w:val="bottom"/>
          </w:tcPr>
          <w:p>
            <w:pPr>
              <w:spacing w:after="0"/>
              <w:rPr>
                <w:sz w:val="20"/>
                <w:szCs w:val="20"/>
                <w:color w:val="auto"/>
              </w:rPr>
            </w:pPr>
            <w:r>
              <w:rPr>
                <w:rFonts w:ascii="Courier New" w:cs="Courier New" w:eastAsia="Courier New" w:hAnsi="Courier New"/>
                <w:sz w:val="16"/>
                <w:szCs w:val="16"/>
                <w:color w:val="auto"/>
              </w:rPr>
              <w:t>Estimated in-house cost incurred to provide charity care</w:t>
            </w:r>
          </w:p>
        </w:tc>
        <w:tc>
          <w:tcPr>
            <w:tcW w:w="13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83"/>
        </w:trPr>
        <w:tc>
          <w:tcPr>
            <w:tcW w:w="63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services.......................................................</w:t>
            </w:r>
          </w:p>
        </w:tc>
        <w:tc>
          <w:tcPr>
            <w:tcW w:w="13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$17,233,800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$17,148,800</w:t>
            </w:r>
          </w:p>
        </w:tc>
      </w:tr>
      <w:tr>
        <w:trPr>
          <w:trHeight w:val="183"/>
        </w:trPr>
        <w:tc>
          <w:tcPr>
            <w:tcW w:w="6340" w:type="dxa"/>
            <w:vAlign w:val="bottom"/>
          </w:tcPr>
          <w:p>
            <w:pPr>
              <w:spacing w:after="0"/>
              <w:rPr>
                <w:sz w:val="20"/>
                <w:szCs w:val="20"/>
                <w:color w:val="auto"/>
              </w:rPr>
            </w:pPr>
            <w:r>
              <w:rPr>
                <w:rFonts w:ascii="Courier New" w:cs="Courier New" w:eastAsia="Courier New" w:hAnsi="Courier New"/>
                <w:sz w:val="16"/>
                <w:szCs w:val="16"/>
                <w:color w:val="auto"/>
              </w:rPr>
              <w:t>Plus: professional fees for Qualified Indigent Care paid by the</w:t>
            </w:r>
          </w:p>
        </w:tc>
        <w:tc>
          <w:tcPr>
            <w:tcW w:w="13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63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Hospital.......................................................</w:t>
            </w:r>
          </w:p>
        </w:tc>
        <w:tc>
          <w:tcPr>
            <w:tcW w:w="13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2,963,400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3,548,500</w:t>
            </w:r>
          </w:p>
        </w:tc>
      </w:tr>
      <w:tr>
        <w:trPr>
          <w:trHeight w:val="183"/>
        </w:trPr>
        <w:tc>
          <w:tcPr>
            <w:tcW w:w="6340" w:type="dxa"/>
            <w:vAlign w:val="bottom"/>
          </w:tcPr>
          <w:p>
            <w:pPr>
              <w:spacing w:after="0"/>
              <w:rPr>
                <w:sz w:val="15"/>
                <w:szCs w:val="15"/>
                <w:color w:val="auto"/>
              </w:rPr>
            </w:pPr>
          </w:p>
        </w:tc>
        <w:tc>
          <w:tcPr>
            <w:tcW w:w="13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34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9"/>
              </w:rPr>
              <w:t>TOTAL ESTIMATED COST TO PROVIDE CHARITY CARE SERVICES............</w:t>
            </w:r>
          </w:p>
        </w:tc>
        <w:tc>
          <w:tcPr>
            <w:tcW w:w="13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$20,197,200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$20,697,300</w:t>
            </w:r>
          </w:p>
        </w:tc>
      </w:tr>
      <w:tr>
        <w:trPr>
          <w:trHeight w:val="183"/>
        </w:trPr>
        <w:tc>
          <w:tcPr>
            <w:tcW w:w="6340" w:type="dxa"/>
            <w:vAlign w:val="bottom"/>
          </w:tcPr>
          <w:p>
            <w:pPr>
              <w:spacing w:after="0"/>
              <w:rPr>
                <w:sz w:val="15"/>
                <w:szCs w:val="15"/>
                <w:color w:val="auto"/>
              </w:rPr>
            </w:pPr>
          </w:p>
        </w:tc>
        <w:tc>
          <w:tcPr>
            <w:tcW w:w="13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340" w:type="dxa"/>
            <w:vAlign w:val="bottom"/>
          </w:tcPr>
          <w:p>
            <w:pPr>
              <w:spacing w:after="0"/>
              <w:rPr>
                <w:sz w:val="15"/>
                <w:szCs w:val="15"/>
                <w:color w:val="auto"/>
              </w:rPr>
            </w:pPr>
          </w:p>
        </w:tc>
        <w:tc>
          <w:tcPr>
            <w:tcW w:w="13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2" w:lineRule="exact"/>
        <w:rPr>
          <w:sz w:val="20"/>
          <w:szCs w:val="20"/>
          <w:color w:val="auto"/>
        </w:rPr>
      </w:pPr>
    </w:p>
    <w:p>
      <w:pPr>
        <w:ind w:right="2879" w:firstLine="382"/>
        <w:spacing w:after="0"/>
        <w:rPr>
          <w:sz w:val="20"/>
          <w:szCs w:val="20"/>
          <w:color w:val="auto"/>
        </w:rPr>
      </w:pPr>
      <w:r>
        <w:rPr>
          <w:rFonts w:ascii="Courier New" w:cs="Courier New" w:eastAsia="Courier New" w:hAnsi="Courier New"/>
          <w:sz w:val="16"/>
          <w:szCs w:val="16"/>
          <w:color w:val="auto"/>
        </w:rPr>
        <w:t>The costs of these services are offset by Medicare and Medicaid Disproportionate Share Programs, ad valorem taxes and state and federal grant funds.</w:t>
      </w:r>
    </w:p>
    <w:p>
      <w:pPr>
        <w:spacing w:after="0" w:line="187"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The Indigent Health Care and Treatment Act, passed by the 69th Texas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Legislature in 1985, first apportioned funds to the Texas Department of Human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Services to provide assistance to hospitals providing a disproportionate share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inpatient indigent health care. In 1991, the State of Texas created 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mechanism whereby a tax on a selected hospital provider group would be used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generate additional federal matching funds. Hospitals participating in the Texas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Medical Assistance (Medicaid) program that meet the conditions of participation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that serve a disproportionate share of low-income patients are eligible for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additional reimbursement from the disproportionate share hospital fund. State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law is the basis for identifying eligible hospitals and for distribution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disproportionate share funds. State and federal law offer considerable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flexibility to recipient hospitals regarding specific use of the funds. However,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there are direct and implied expectations regarding the use of these funds.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intended focus is to benefit the health care needs of the medically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financially indigent. The Hospital received approximately $12,194,000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$12,772,000 in the years ended September 30, 1994 and 1995, respectively, under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State's Disproportionate Share program that became effective September 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1993.</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3--DEPOSITS WITH FINANCIAL INSTITUTIONS</w:t>
      </w:r>
    </w:p>
    <w:p>
      <w:pPr>
        <w:spacing w:after="0" w:line="188" w:lineRule="exact"/>
        <w:rPr>
          <w:sz w:val="20"/>
          <w:szCs w:val="20"/>
          <w:color w:val="auto"/>
        </w:rPr>
      </w:pPr>
    </w:p>
    <w:p>
      <w:pPr>
        <w:ind w:right="2679" w:firstLine="382"/>
        <w:spacing w:after="0"/>
        <w:rPr>
          <w:sz w:val="20"/>
          <w:szCs w:val="20"/>
          <w:color w:val="auto"/>
        </w:rPr>
      </w:pPr>
      <w:r>
        <w:rPr>
          <w:rFonts w:ascii="Courier New" w:cs="Courier New" w:eastAsia="Courier New" w:hAnsi="Courier New"/>
          <w:sz w:val="16"/>
          <w:szCs w:val="16"/>
          <w:color w:val="auto"/>
        </w:rPr>
        <w:t>The Hospital's cash deposits are insured up to $100,000 by the FDIC and the excess is secured by pledged securities held by the applicable financial institution. Cash deposits in excess of $100,000,</w:t>
      </w:r>
    </w:p>
    <w:p>
      <w:pPr>
        <w:spacing w:after="0" w:line="18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F-38</w:t>
      </w:r>
    </w:p>
    <w:p>
      <w:pPr>
        <w:sectPr>
          <w:pgSz w:w="11900" w:h="16838" w:orient="portrait"/>
          <w:cols w:equalWidth="0" w:num="1">
            <w:col w:w="10219"/>
          </w:cols>
          <w:pgMar w:left="240" w:top="481" w:right="1440"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181"/>
        </w:trPr>
        <w:tc>
          <w:tcPr>
            <w:tcW w:w="4680" w:type="dxa"/>
            <w:vAlign w:val="bottom"/>
            <w:gridSpan w:val="3"/>
          </w:tcPr>
          <w:p>
            <w:pPr>
              <w:ind w:left="2200"/>
              <w:spacing w:after="0"/>
              <w:rPr>
                <w:sz w:val="20"/>
                <w:szCs w:val="20"/>
                <w:color w:val="auto"/>
              </w:rPr>
            </w:pPr>
            <w:r>
              <w:rPr>
                <w:rFonts w:ascii="Courier New" w:cs="Courier New" w:eastAsia="Courier New" w:hAnsi="Courier New"/>
                <w:sz w:val="16"/>
                <w:szCs w:val="16"/>
                <w:color w:val="auto"/>
                <w:w w:val="98"/>
              </w:rPr>
              <w:t>NORTHWEST TEXAS HEALTHCARE</w:t>
            </w:r>
          </w:p>
        </w:tc>
        <w:tc>
          <w:tcPr>
            <w:tcW w:w="1140" w:type="dxa"/>
            <w:vAlign w:val="bottom"/>
          </w:tcPr>
          <w:p>
            <w:pPr>
              <w:ind w:left="80"/>
              <w:spacing w:after="0"/>
              <w:rPr>
                <w:sz w:val="20"/>
                <w:szCs w:val="20"/>
                <w:color w:val="auto"/>
              </w:rPr>
            </w:pPr>
            <w:r>
              <w:rPr>
                <w:rFonts w:ascii="Courier New" w:cs="Courier New" w:eastAsia="Courier New" w:hAnsi="Courier New"/>
                <w:sz w:val="16"/>
                <w:szCs w:val="16"/>
                <w:color w:val="auto"/>
              </w:rPr>
              <w:t>SYSTEM</w:t>
            </w:r>
          </w:p>
        </w:tc>
        <w:tc>
          <w:tcPr>
            <w:tcW w:w="6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4680" w:type="dxa"/>
            <w:vAlign w:val="bottom"/>
            <w:gridSpan w:val="3"/>
          </w:tcPr>
          <w:p>
            <w:pPr>
              <w:ind w:left="1800"/>
              <w:spacing w:after="0"/>
              <w:rPr>
                <w:sz w:val="20"/>
                <w:szCs w:val="20"/>
                <w:color w:val="auto"/>
              </w:rPr>
            </w:pPr>
            <w:r>
              <w:rPr>
                <w:rFonts w:ascii="Courier New" w:cs="Courier New" w:eastAsia="Courier New" w:hAnsi="Courier New"/>
                <w:sz w:val="16"/>
                <w:szCs w:val="16"/>
                <w:color w:val="auto"/>
                <w:w w:val="96"/>
              </w:rPr>
              <w:t>NOTES TO FINANCIAL STATEMENTS--</w:t>
            </w:r>
          </w:p>
        </w:tc>
        <w:tc>
          <w:tcPr>
            <w:tcW w:w="1140" w:type="dxa"/>
            <w:vAlign w:val="bottom"/>
          </w:tcPr>
          <w:p>
            <w:pPr>
              <w:ind w:left="80"/>
              <w:spacing w:after="0"/>
              <w:rPr>
                <w:sz w:val="20"/>
                <w:szCs w:val="20"/>
                <w:color w:val="auto"/>
              </w:rPr>
            </w:pPr>
            <w:r>
              <w:rPr>
                <w:rFonts w:ascii="Courier New" w:cs="Courier New" w:eastAsia="Courier New" w:hAnsi="Courier New"/>
                <w:sz w:val="16"/>
                <w:szCs w:val="16"/>
                <w:color w:val="auto"/>
                <w:w w:val="98"/>
              </w:rPr>
              <w:t>(CONTINUED)</w:t>
            </w:r>
          </w:p>
        </w:tc>
        <w:tc>
          <w:tcPr>
            <w:tcW w:w="6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5820" w:type="dxa"/>
            <w:vAlign w:val="bottom"/>
            <w:gridSpan w:val="4"/>
          </w:tcPr>
          <w:p>
            <w:pPr>
              <w:ind w:left="1900"/>
              <w:spacing w:after="0"/>
              <w:rPr>
                <w:sz w:val="20"/>
                <w:szCs w:val="20"/>
                <w:color w:val="auto"/>
              </w:rPr>
            </w:pPr>
            <w:r>
              <w:rPr>
                <w:rFonts w:ascii="Courier New" w:cs="Courier New" w:eastAsia="Courier New" w:hAnsi="Courier New"/>
                <w:sz w:val="16"/>
                <w:szCs w:val="16"/>
                <w:color w:val="auto"/>
              </w:rPr>
              <w:t>YEARS ENDED SEPTEMBER 30, 1994 AND 1995</w:t>
            </w:r>
          </w:p>
        </w:tc>
        <w:tc>
          <w:tcPr>
            <w:tcW w:w="6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6480" w:type="dxa"/>
            <w:vAlign w:val="bottom"/>
            <w:gridSpan w:val="5"/>
          </w:tcPr>
          <w:p>
            <w:pPr>
              <w:ind w:left="1140"/>
              <w:spacing w:after="0"/>
              <w:rPr>
                <w:sz w:val="20"/>
                <w:szCs w:val="20"/>
                <w:color w:val="auto"/>
              </w:rPr>
            </w:pPr>
            <w:r>
              <w:rPr>
                <w:rFonts w:ascii="Courier New" w:cs="Courier New" w:eastAsia="Courier New" w:hAnsi="Courier New"/>
                <w:sz w:val="16"/>
                <w:szCs w:val="16"/>
                <w:color w:val="auto"/>
                <w:w w:val="98"/>
              </w:rPr>
              <w:t>AND SIX MONTHS ENDED MARCH 31, 1995 AND 1996 (UNAUDITED)</w:t>
            </w:r>
          </w:p>
        </w:tc>
        <w:tc>
          <w:tcPr>
            <w:tcW w:w="1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367"/>
        </w:trPr>
        <w:tc>
          <w:tcPr>
            <w:tcW w:w="4200" w:type="dxa"/>
            <w:vAlign w:val="bottom"/>
          </w:tcPr>
          <w:p>
            <w:pPr>
              <w:spacing w:after="0"/>
              <w:rPr>
                <w:sz w:val="20"/>
                <w:szCs w:val="20"/>
                <w:color w:val="auto"/>
              </w:rPr>
            </w:pPr>
            <w:r>
              <w:rPr>
                <w:rFonts w:ascii="Courier New" w:cs="Courier New" w:eastAsia="Courier New" w:hAnsi="Courier New"/>
                <w:sz w:val="16"/>
                <w:szCs w:val="16"/>
                <w:color w:val="auto"/>
                <w:w w:val="98"/>
              </w:rPr>
              <w:t>NOTE 3--DEPOSITS WITH FINANCIAL INSTITUTIONS</w:t>
            </w:r>
          </w:p>
        </w:tc>
        <w:tc>
          <w:tcPr>
            <w:tcW w:w="180" w:type="dxa"/>
            <w:vAlign w:val="bottom"/>
          </w:tcPr>
          <w:p>
            <w:pPr>
              <w:spacing w:after="0"/>
              <w:rPr>
                <w:sz w:val="20"/>
                <w:szCs w:val="20"/>
                <w:color w:val="auto"/>
              </w:rPr>
            </w:pPr>
            <w:r>
              <w:rPr>
                <w:rFonts w:ascii="Courier New" w:cs="Courier New" w:eastAsia="Courier New" w:hAnsi="Courier New"/>
                <w:sz w:val="16"/>
                <w:szCs w:val="16"/>
                <w:color w:val="auto"/>
                <w:w w:val="83"/>
              </w:rPr>
              <w:t>--</w:t>
            </w:r>
          </w:p>
        </w:tc>
        <w:tc>
          <w:tcPr>
            <w:tcW w:w="1440" w:type="dxa"/>
            <w:vAlign w:val="bottom"/>
            <w:gridSpan w:val="2"/>
          </w:tcPr>
          <w:p>
            <w:pPr>
              <w:spacing w:after="0"/>
              <w:rPr>
                <w:sz w:val="20"/>
                <w:szCs w:val="20"/>
                <w:color w:val="auto"/>
              </w:rPr>
            </w:pPr>
            <w:r>
              <w:rPr>
                <w:rFonts w:ascii="Courier New" w:cs="Courier New" w:eastAsia="Courier New" w:hAnsi="Courier New"/>
                <w:sz w:val="16"/>
                <w:szCs w:val="16"/>
                <w:color w:val="auto"/>
              </w:rPr>
              <w:t>(CONTINUED)</w:t>
            </w:r>
          </w:p>
        </w:tc>
        <w:tc>
          <w:tcPr>
            <w:tcW w:w="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83"/>
        </w:trPr>
        <w:tc>
          <w:tcPr>
            <w:tcW w:w="7960" w:type="dxa"/>
            <w:vAlign w:val="bottom"/>
            <w:gridSpan w:val="6"/>
          </w:tcPr>
          <w:p>
            <w:pPr>
              <w:spacing w:after="0"/>
              <w:rPr>
                <w:sz w:val="20"/>
                <w:szCs w:val="20"/>
                <w:color w:val="auto"/>
              </w:rPr>
            </w:pPr>
            <w:r>
              <w:rPr>
                <w:rFonts w:ascii="Courier New" w:cs="Courier New" w:eastAsia="Courier New" w:hAnsi="Courier New"/>
                <w:sz w:val="16"/>
                <w:szCs w:val="16"/>
                <w:color w:val="auto"/>
              </w:rPr>
              <w:t>although secured by pledged securities, are classified as risk category 3 under</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7960" w:type="dxa"/>
            <w:vAlign w:val="bottom"/>
            <w:gridSpan w:val="6"/>
          </w:tcPr>
          <w:p>
            <w:pPr>
              <w:spacing w:after="0"/>
              <w:rPr>
                <w:sz w:val="20"/>
                <w:szCs w:val="20"/>
                <w:color w:val="auto"/>
              </w:rPr>
            </w:pPr>
            <w:r>
              <w:rPr>
                <w:rFonts w:ascii="Courier New" w:cs="Courier New" w:eastAsia="Courier New" w:hAnsi="Courier New"/>
                <w:sz w:val="16"/>
                <w:szCs w:val="16"/>
                <w:color w:val="auto"/>
              </w:rPr>
              <w:t>criteria established by the GASB (the pledged securities are held by the</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7960" w:type="dxa"/>
            <w:vAlign w:val="bottom"/>
            <w:gridSpan w:val="6"/>
          </w:tcPr>
          <w:p>
            <w:pPr>
              <w:spacing w:after="0"/>
              <w:rPr>
                <w:sz w:val="20"/>
                <w:szCs w:val="20"/>
                <w:color w:val="auto"/>
              </w:rPr>
            </w:pPr>
            <w:r>
              <w:rPr>
                <w:rFonts w:ascii="Courier New" w:cs="Courier New" w:eastAsia="Courier New" w:hAnsi="Courier New"/>
                <w:sz w:val="16"/>
                <w:szCs w:val="16"/>
                <w:color w:val="auto"/>
              </w:rPr>
              <w:t>financial institution and are not in the Hospital's name). Cash equivalents at</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7960" w:type="dxa"/>
            <w:vAlign w:val="bottom"/>
            <w:gridSpan w:val="6"/>
          </w:tcPr>
          <w:p>
            <w:pPr>
              <w:spacing w:after="0"/>
              <w:rPr>
                <w:sz w:val="20"/>
                <w:szCs w:val="20"/>
                <w:color w:val="auto"/>
              </w:rPr>
            </w:pPr>
            <w:r>
              <w:rPr>
                <w:rFonts w:ascii="Courier New" w:cs="Courier New" w:eastAsia="Courier New" w:hAnsi="Courier New"/>
                <w:sz w:val="16"/>
                <w:szCs w:val="16"/>
                <w:color w:val="auto"/>
              </w:rPr>
              <w:t>September 30, 1994 and 1995 consist primarily of investments in short-term money</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7960" w:type="dxa"/>
            <w:vAlign w:val="bottom"/>
            <w:gridSpan w:val="6"/>
          </w:tcPr>
          <w:p>
            <w:pPr>
              <w:spacing w:after="0"/>
              <w:rPr>
                <w:sz w:val="20"/>
                <w:szCs w:val="20"/>
                <w:color w:val="auto"/>
              </w:rPr>
            </w:pPr>
            <w:r>
              <w:rPr>
                <w:rFonts w:ascii="Courier New" w:cs="Courier New" w:eastAsia="Courier New" w:hAnsi="Courier New"/>
                <w:sz w:val="16"/>
                <w:szCs w:val="16"/>
                <w:color w:val="auto"/>
              </w:rPr>
              <w:t>market funds classified as risk category 2. The carrying amount of cash deposits</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7960" w:type="dxa"/>
            <w:vAlign w:val="bottom"/>
            <w:gridSpan w:val="6"/>
          </w:tcPr>
          <w:p>
            <w:pPr>
              <w:spacing w:after="0"/>
              <w:rPr>
                <w:sz w:val="20"/>
                <w:szCs w:val="20"/>
                <w:color w:val="auto"/>
              </w:rPr>
            </w:pPr>
            <w:r>
              <w:rPr>
                <w:rFonts w:ascii="Courier New" w:cs="Courier New" w:eastAsia="Courier New" w:hAnsi="Courier New"/>
                <w:sz w:val="16"/>
                <w:szCs w:val="16"/>
                <w:color w:val="auto"/>
              </w:rPr>
              <w:t>and bank balances for the years ended September 30, 1994 and 1995 follow:</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734"/>
        </w:trPr>
        <w:tc>
          <w:tcPr>
            <w:tcW w:w="4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1994</w:t>
            </w:r>
          </w:p>
        </w:tc>
        <w:tc>
          <w:tcPr>
            <w:tcW w:w="340" w:type="dxa"/>
            <w:vAlign w:val="bottom"/>
          </w:tcPr>
          <w:p>
            <w:pPr>
              <w:spacing w:after="0"/>
              <w:rPr>
                <w:sz w:val="24"/>
                <w:szCs w:val="24"/>
                <w:color w:val="auto"/>
              </w:rPr>
            </w:pPr>
          </w:p>
        </w:tc>
        <w:tc>
          <w:tcPr>
            <w:tcW w:w="1140" w:type="dxa"/>
            <w:vAlign w:val="bottom"/>
          </w:tcPr>
          <w:p>
            <w:pPr>
              <w:jc w:val="right"/>
              <w:ind w:right="681"/>
              <w:spacing w:after="0"/>
              <w:rPr>
                <w:sz w:val="20"/>
                <w:szCs w:val="20"/>
                <w:color w:val="auto"/>
              </w:rPr>
            </w:pPr>
            <w:r>
              <w:rPr>
                <w:rFonts w:ascii="Courier New" w:cs="Courier New" w:eastAsia="Courier New" w:hAnsi="Courier New"/>
                <w:sz w:val="16"/>
                <w:szCs w:val="16"/>
                <w:color w:val="auto"/>
                <w:w w:val="93"/>
              </w:rPr>
              <w:t>1995</w:t>
            </w:r>
          </w:p>
        </w:tc>
      </w:tr>
      <w:tr>
        <w:trPr>
          <w:trHeight w:val="183"/>
        </w:trPr>
        <w:tc>
          <w:tcPr>
            <w:tcW w:w="4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w:t>
            </w:r>
          </w:p>
        </w:tc>
      </w:tr>
      <w:tr>
        <w:trPr>
          <w:trHeight w:val="367"/>
        </w:trPr>
        <w:tc>
          <w:tcPr>
            <w:tcW w:w="4380" w:type="dxa"/>
            <w:vAlign w:val="bottom"/>
            <w:gridSpan w:val="2"/>
          </w:tcPr>
          <w:p>
            <w:pPr>
              <w:spacing w:after="0"/>
              <w:rPr>
                <w:sz w:val="20"/>
                <w:szCs w:val="20"/>
                <w:color w:val="auto"/>
              </w:rPr>
            </w:pPr>
            <w:r>
              <w:rPr>
                <w:rFonts w:ascii="Courier New" w:cs="Courier New" w:eastAsia="Courier New" w:hAnsi="Courier New"/>
                <w:sz w:val="15"/>
                <w:szCs w:val="15"/>
                <w:color w:val="auto"/>
                <w:w w:val="70"/>
              </w:rPr>
              <w:t>Carrying amount of cash deposits.....................................</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$ 95,145</w:t>
            </w:r>
          </w:p>
        </w:tc>
        <w:tc>
          <w:tcPr>
            <w:tcW w:w="3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5"/>
              </w:rPr>
              <w:t>151,873</w:t>
            </w:r>
          </w:p>
        </w:tc>
      </w:tr>
      <w:tr>
        <w:trPr>
          <w:trHeight w:val="183"/>
        </w:trPr>
        <w:tc>
          <w:tcPr>
            <w:tcW w:w="4380" w:type="dxa"/>
            <w:vAlign w:val="bottom"/>
            <w:gridSpan w:val="2"/>
          </w:tcPr>
          <w:p>
            <w:pPr>
              <w:spacing w:after="0"/>
              <w:rPr>
                <w:sz w:val="20"/>
                <w:szCs w:val="20"/>
                <w:color w:val="auto"/>
              </w:rPr>
            </w:pPr>
            <w:r>
              <w:rPr>
                <w:rFonts w:ascii="Courier New" w:cs="Courier New" w:eastAsia="Courier New" w:hAnsi="Courier New"/>
                <w:sz w:val="15"/>
                <w:szCs w:val="15"/>
                <w:color w:val="auto"/>
                <w:w w:val="70"/>
              </w:rPr>
              <w:t>Bank Balances........................................................</w:t>
            </w: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302,127</w:t>
            </w:r>
          </w:p>
        </w:tc>
        <w:tc>
          <w:tcPr>
            <w:tcW w:w="148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1,560,205</w:t>
            </w:r>
          </w:p>
        </w:tc>
      </w:tr>
      <w:tr>
        <w:trPr>
          <w:trHeight w:val="550"/>
        </w:trPr>
        <w:tc>
          <w:tcPr>
            <w:tcW w:w="4200" w:type="dxa"/>
            <w:vAlign w:val="bottom"/>
          </w:tcPr>
          <w:p>
            <w:pPr>
              <w:spacing w:after="0"/>
              <w:rPr>
                <w:sz w:val="20"/>
                <w:szCs w:val="20"/>
                <w:color w:val="auto"/>
              </w:rPr>
            </w:pPr>
            <w:r>
              <w:rPr>
                <w:rFonts w:ascii="Courier New" w:cs="Courier New" w:eastAsia="Courier New" w:hAnsi="Courier New"/>
                <w:sz w:val="16"/>
                <w:szCs w:val="16"/>
                <w:color w:val="auto"/>
              </w:rPr>
              <w:t>NOTE 4--INVESTMENTS</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67"/>
        </w:trPr>
        <w:tc>
          <w:tcPr>
            <w:tcW w:w="7960" w:type="dxa"/>
            <w:vAlign w:val="bottom"/>
            <w:gridSpan w:val="6"/>
          </w:tcPr>
          <w:p>
            <w:pPr>
              <w:jc w:val="right"/>
              <w:ind w:right="541"/>
              <w:spacing w:after="0"/>
              <w:rPr>
                <w:sz w:val="20"/>
                <w:szCs w:val="20"/>
                <w:color w:val="auto"/>
              </w:rPr>
            </w:pPr>
            <w:r>
              <w:rPr>
                <w:rFonts w:ascii="Courier New" w:cs="Courier New" w:eastAsia="Courier New" w:hAnsi="Courier New"/>
                <w:sz w:val="16"/>
                <w:szCs w:val="16"/>
                <w:color w:val="auto"/>
              </w:rPr>
              <w:t>Amortized cost, gross unrealized holding gains and losses, and fair value</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83"/>
        </w:trPr>
        <w:tc>
          <w:tcPr>
            <w:tcW w:w="7960" w:type="dxa"/>
            <w:vAlign w:val="bottom"/>
            <w:gridSpan w:val="6"/>
          </w:tcPr>
          <w:p>
            <w:pPr>
              <w:spacing w:after="0"/>
              <w:rPr>
                <w:sz w:val="20"/>
                <w:szCs w:val="20"/>
                <w:color w:val="auto"/>
              </w:rPr>
            </w:pPr>
            <w:r>
              <w:rPr>
                <w:rFonts w:ascii="Courier New" w:cs="Courier New" w:eastAsia="Courier New" w:hAnsi="Courier New"/>
                <w:sz w:val="16"/>
                <w:szCs w:val="16"/>
                <w:color w:val="auto"/>
              </w:rPr>
              <w:t>(which is carrying value) of investments at September 30, 1994 are as follow:</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734"/>
        </w:trPr>
        <w:tc>
          <w:tcPr>
            <w:tcW w:w="4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14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GROSS UNREALIZED</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83"/>
        </w:trPr>
        <w:tc>
          <w:tcPr>
            <w:tcW w:w="4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80" w:type="dxa"/>
            <w:vAlign w:val="bottom"/>
          </w:tcPr>
          <w:p>
            <w:pPr>
              <w:jc w:val="right"/>
              <w:ind w:right="721"/>
              <w:spacing w:after="0"/>
              <w:rPr>
                <w:sz w:val="20"/>
                <w:szCs w:val="20"/>
                <w:color w:val="auto"/>
              </w:rPr>
            </w:pPr>
            <w:r>
              <w:rPr>
                <w:rFonts w:ascii="Courier New" w:cs="Courier New" w:eastAsia="Courier New" w:hAnsi="Courier New"/>
                <w:sz w:val="16"/>
                <w:szCs w:val="16"/>
                <w:color w:val="auto"/>
                <w:w w:val="98"/>
              </w:rPr>
              <w:t>HOLDING</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4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gridSpan w:val="2"/>
          </w:tcPr>
          <w:p>
            <w:pPr>
              <w:spacing w:after="0"/>
              <w:rPr>
                <w:sz w:val="20"/>
                <w:szCs w:val="20"/>
                <w:color w:val="auto"/>
              </w:rPr>
            </w:pPr>
            <w:r>
              <w:rPr>
                <w:rFonts w:ascii="Courier New" w:cs="Courier New" w:eastAsia="Courier New" w:hAnsi="Courier New"/>
                <w:sz w:val="16"/>
                <w:szCs w:val="16"/>
                <w:color w:val="auto"/>
              </w:rPr>
              <w:t>AMORTIZED</w:t>
            </w:r>
          </w:p>
        </w:tc>
        <w:tc>
          <w:tcPr>
            <w:tcW w:w="21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w w:val="98"/>
              </w:rPr>
              <w:t>---------------------</w:t>
            </w:r>
          </w:p>
        </w:tc>
        <w:tc>
          <w:tcPr>
            <w:tcW w:w="340" w:type="dxa"/>
            <w:vAlign w:val="bottom"/>
          </w:tcPr>
          <w:p>
            <w:pPr>
              <w:spacing w:after="0"/>
              <w:rPr>
                <w:sz w:val="15"/>
                <w:szCs w:val="15"/>
                <w:color w:val="auto"/>
              </w:rPr>
            </w:pP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FAIR</w:t>
            </w:r>
          </w:p>
        </w:tc>
      </w:tr>
      <w:tr>
        <w:trPr>
          <w:trHeight w:val="183"/>
        </w:trPr>
        <w:tc>
          <w:tcPr>
            <w:tcW w:w="4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ind w:right="681"/>
              <w:spacing w:after="0"/>
              <w:rPr>
                <w:sz w:val="20"/>
                <w:szCs w:val="20"/>
                <w:color w:val="auto"/>
              </w:rPr>
            </w:pPr>
            <w:r>
              <w:rPr>
                <w:rFonts w:ascii="Courier New" w:cs="Courier New" w:eastAsia="Courier New" w:hAnsi="Courier New"/>
                <w:sz w:val="16"/>
                <w:szCs w:val="16"/>
                <w:color w:val="auto"/>
                <w:w w:val="93"/>
              </w:rPr>
              <w:t>COST</w:t>
            </w: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GAINS</w:t>
            </w:r>
          </w:p>
        </w:tc>
        <w:tc>
          <w:tcPr>
            <w:tcW w:w="14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LOSSES</w:t>
            </w:r>
          </w:p>
        </w:tc>
        <w:tc>
          <w:tcPr>
            <w:tcW w:w="340" w:type="dxa"/>
            <w:vAlign w:val="bottom"/>
          </w:tcPr>
          <w:p>
            <w:pPr>
              <w:spacing w:after="0"/>
              <w:rPr>
                <w:sz w:val="15"/>
                <w:szCs w:val="15"/>
                <w:color w:val="auto"/>
              </w:rPr>
            </w:pP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VALUE</w:t>
            </w:r>
          </w:p>
        </w:tc>
      </w:tr>
      <w:tr>
        <w:trPr>
          <w:trHeight w:val="183"/>
        </w:trPr>
        <w:tc>
          <w:tcPr>
            <w:tcW w:w="4200" w:type="dxa"/>
            <w:vAlign w:val="bottom"/>
          </w:tcPr>
          <w:p>
            <w:pPr>
              <w:spacing w:after="0"/>
              <w:rPr>
                <w:sz w:val="15"/>
                <w:szCs w:val="15"/>
                <w:color w:val="auto"/>
              </w:rPr>
            </w:pPr>
          </w:p>
        </w:tc>
        <w:tc>
          <w:tcPr>
            <w:tcW w:w="480" w:type="dxa"/>
            <w:vAlign w:val="bottom"/>
            <w:gridSpan w:val="2"/>
          </w:tcPr>
          <w:p>
            <w:pPr>
              <w:ind w:left="80"/>
              <w:spacing w:after="0"/>
              <w:rPr>
                <w:sz w:val="20"/>
                <w:szCs w:val="20"/>
                <w:color w:val="auto"/>
              </w:rPr>
            </w:pPr>
            <w:r>
              <w:rPr>
                <w:rFonts w:ascii="Courier New" w:cs="Courier New" w:eastAsia="Courier New" w:hAnsi="Courier New"/>
                <w:sz w:val="7"/>
                <w:szCs w:val="7"/>
                <w:color w:val="auto"/>
                <w:w w:val="75"/>
              </w:rPr>
              <w:t>------------</w:t>
            </w:r>
          </w:p>
        </w:tc>
        <w:tc>
          <w:tcPr>
            <w:tcW w:w="1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w:t>
            </w:r>
          </w:p>
        </w:tc>
        <w:tc>
          <w:tcPr>
            <w:tcW w:w="14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4200" w:type="dxa"/>
            <w:vAlign w:val="bottom"/>
          </w:tcPr>
          <w:p>
            <w:pPr>
              <w:spacing w:after="0"/>
              <w:rPr>
                <w:sz w:val="20"/>
                <w:szCs w:val="20"/>
                <w:color w:val="auto"/>
              </w:rPr>
            </w:pPr>
            <w:r>
              <w:rPr>
                <w:rFonts w:ascii="Courier New" w:cs="Courier New" w:eastAsia="Courier New" w:hAnsi="Courier New"/>
                <w:sz w:val="16"/>
                <w:szCs w:val="16"/>
                <w:color w:val="auto"/>
              </w:rPr>
              <w:t>Short-term investments....................</w:t>
            </w:r>
          </w:p>
        </w:tc>
        <w:tc>
          <w:tcPr>
            <w:tcW w:w="180" w:type="dxa"/>
            <w:vAlign w:val="bottom"/>
          </w:tcPr>
          <w:p>
            <w:pPr>
              <w:ind w:left="80"/>
              <w:spacing w:after="0"/>
              <w:rPr>
                <w:sz w:val="20"/>
                <w:szCs w:val="20"/>
                <w:color w:val="auto"/>
              </w:rPr>
            </w:pPr>
            <w:r>
              <w:rPr>
                <w:rFonts w:ascii="Courier New" w:cs="Courier New" w:eastAsia="Courier New" w:hAnsi="Courier New"/>
                <w:sz w:val="16"/>
                <w:szCs w:val="16"/>
                <w:color w:val="auto"/>
                <w:w w:val="82"/>
              </w:rPr>
              <w:t>$</w:t>
            </w:r>
          </w:p>
        </w:tc>
        <w:tc>
          <w:tcPr>
            <w:tcW w:w="144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1,580,148</w:t>
            </w:r>
          </w:p>
        </w:tc>
        <w:tc>
          <w:tcPr>
            <w:tcW w:w="66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3"/>
              </w:rPr>
              <w:t>$ --</w:t>
            </w:r>
          </w:p>
        </w:tc>
        <w:tc>
          <w:tcPr>
            <w:tcW w:w="14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   --</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1,580,148</w:t>
            </w:r>
          </w:p>
        </w:tc>
      </w:tr>
      <w:tr>
        <w:trPr>
          <w:trHeight w:val="183"/>
        </w:trPr>
        <w:tc>
          <w:tcPr>
            <w:tcW w:w="4200" w:type="dxa"/>
            <w:vAlign w:val="bottom"/>
          </w:tcPr>
          <w:p>
            <w:pPr>
              <w:spacing w:after="0"/>
              <w:rPr>
                <w:sz w:val="20"/>
                <w:szCs w:val="20"/>
                <w:color w:val="auto"/>
              </w:rPr>
            </w:pPr>
            <w:r>
              <w:rPr>
                <w:rFonts w:ascii="Courier New" w:cs="Courier New" w:eastAsia="Courier New" w:hAnsi="Courier New"/>
                <w:sz w:val="16"/>
                <w:szCs w:val="16"/>
                <w:color w:val="auto"/>
              </w:rPr>
              <w:t>US Government mortgage-backed.............</w:t>
            </w:r>
          </w:p>
        </w:tc>
        <w:tc>
          <w:tcPr>
            <w:tcW w:w="180" w:type="dxa"/>
            <w:vAlign w:val="bottom"/>
          </w:tcPr>
          <w:p>
            <w:pPr>
              <w:spacing w:after="0"/>
              <w:rPr>
                <w:sz w:val="15"/>
                <w:szCs w:val="15"/>
                <w:color w:val="auto"/>
              </w:rPr>
            </w:pPr>
          </w:p>
        </w:tc>
        <w:tc>
          <w:tcPr>
            <w:tcW w:w="144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6,132,236</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29,462</w:t>
            </w:r>
          </w:p>
        </w:tc>
        <w:tc>
          <w:tcPr>
            <w:tcW w:w="14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395,286</w:t>
            </w:r>
          </w:p>
        </w:tc>
        <w:tc>
          <w:tcPr>
            <w:tcW w:w="34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5,766,412</w:t>
            </w:r>
          </w:p>
        </w:tc>
      </w:tr>
      <w:tr>
        <w:trPr>
          <w:trHeight w:val="183"/>
        </w:trPr>
        <w:tc>
          <w:tcPr>
            <w:tcW w:w="4200" w:type="dxa"/>
            <w:vAlign w:val="bottom"/>
          </w:tcPr>
          <w:p>
            <w:pPr>
              <w:spacing w:after="0"/>
              <w:rPr>
                <w:sz w:val="20"/>
                <w:szCs w:val="20"/>
                <w:color w:val="auto"/>
              </w:rPr>
            </w:pPr>
            <w:r>
              <w:rPr>
                <w:rFonts w:ascii="Courier New" w:cs="Courier New" w:eastAsia="Courier New" w:hAnsi="Courier New"/>
                <w:sz w:val="16"/>
                <w:szCs w:val="16"/>
                <w:color w:val="auto"/>
              </w:rPr>
              <w:t>Other US Government.......................</w:t>
            </w:r>
          </w:p>
        </w:tc>
        <w:tc>
          <w:tcPr>
            <w:tcW w:w="180" w:type="dxa"/>
            <w:vAlign w:val="bottom"/>
          </w:tcPr>
          <w:p>
            <w:pPr>
              <w:spacing w:after="0"/>
              <w:rPr>
                <w:sz w:val="15"/>
                <w:szCs w:val="15"/>
                <w:color w:val="auto"/>
              </w:rPr>
            </w:pPr>
          </w:p>
        </w:tc>
        <w:tc>
          <w:tcPr>
            <w:tcW w:w="144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40,791,366</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41,754</w:t>
            </w:r>
          </w:p>
        </w:tc>
        <w:tc>
          <w:tcPr>
            <w:tcW w:w="14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732,910</w:t>
            </w:r>
          </w:p>
        </w:tc>
        <w:tc>
          <w:tcPr>
            <w:tcW w:w="34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40,100,210</w:t>
            </w:r>
          </w:p>
        </w:tc>
      </w:tr>
      <w:tr>
        <w:trPr>
          <w:trHeight w:val="183"/>
        </w:trPr>
        <w:tc>
          <w:tcPr>
            <w:tcW w:w="4200" w:type="dxa"/>
            <w:vAlign w:val="bottom"/>
          </w:tcPr>
          <w:p>
            <w:pPr>
              <w:spacing w:after="0"/>
              <w:rPr>
                <w:sz w:val="20"/>
                <w:szCs w:val="20"/>
                <w:color w:val="auto"/>
              </w:rPr>
            </w:pPr>
            <w:r>
              <w:rPr>
                <w:rFonts w:ascii="Courier New" w:cs="Courier New" w:eastAsia="Courier New" w:hAnsi="Courier New"/>
                <w:sz w:val="16"/>
                <w:szCs w:val="16"/>
                <w:color w:val="auto"/>
              </w:rPr>
              <w:t>Corporate debt............................</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500,524</w:t>
            </w:r>
          </w:p>
        </w:tc>
        <w:tc>
          <w:tcPr>
            <w:tcW w:w="6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15,214</w:t>
            </w:r>
          </w:p>
        </w:tc>
        <w:tc>
          <w:tcPr>
            <w:tcW w:w="34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485,310</w:t>
            </w:r>
          </w:p>
        </w:tc>
      </w:tr>
      <w:tr>
        <w:trPr>
          <w:trHeight w:val="183"/>
        </w:trPr>
        <w:tc>
          <w:tcPr>
            <w:tcW w:w="4200" w:type="dxa"/>
            <w:vAlign w:val="bottom"/>
          </w:tcPr>
          <w:p>
            <w:pPr>
              <w:spacing w:after="0"/>
              <w:rPr>
                <w:sz w:val="20"/>
                <w:szCs w:val="20"/>
                <w:color w:val="auto"/>
              </w:rPr>
            </w:pPr>
            <w:r>
              <w:rPr>
                <w:rFonts w:ascii="Courier New" w:cs="Courier New" w:eastAsia="Courier New" w:hAnsi="Courier New"/>
                <w:sz w:val="16"/>
                <w:szCs w:val="16"/>
                <w:color w:val="auto"/>
              </w:rPr>
              <w:t>Accrued interest..........................</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577,045</w:t>
            </w:r>
          </w:p>
        </w:tc>
        <w:tc>
          <w:tcPr>
            <w:tcW w:w="6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577,045</w:t>
            </w:r>
          </w:p>
        </w:tc>
      </w:tr>
      <w:tr>
        <w:trPr>
          <w:trHeight w:val="183"/>
        </w:trPr>
        <w:tc>
          <w:tcPr>
            <w:tcW w:w="4200" w:type="dxa"/>
            <w:vAlign w:val="bottom"/>
          </w:tcPr>
          <w:p>
            <w:pPr>
              <w:spacing w:after="0"/>
              <w:rPr>
                <w:sz w:val="15"/>
                <w:szCs w:val="15"/>
                <w:color w:val="auto"/>
              </w:rPr>
            </w:pPr>
          </w:p>
        </w:tc>
        <w:tc>
          <w:tcPr>
            <w:tcW w:w="480" w:type="dxa"/>
            <w:vAlign w:val="bottom"/>
            <w:gridSpan w:val="2"/>
          </w:tcPr>
          <w:p>
            <w:pPr>
              <w:ind w:left="80"/>
              <w:spacing w:after="0"/>
              <w:rPr>
                <w:sz w:val="20"/>
                <w:szCs w:val="20"/>
                <w:color w:val="auto"/>
              </w:rPr>
            </w:pPr>
            <w:r>
              <w:rPr>
                <w:rFonts w:ascii="Courier New" w:cs="Courier New" w:eastAsia="Courier New" w:hAnsi="Courier New"/>
                <w:sz w:val="7"/>
                <w:szCs w:val="7"/>
                <w:color w:val="auto"/>
                <w:w w:val="75"/>
              </w:rPr>
              <w:t>------------</w:t>
            </w:r>
          </w:p>
        </w:tc>
        <w:tc>
          <w:tcPr>
            <w:tcW w:w="1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w:t>
            </w:r>
          </w:p>
        </w:tc>
        <w:tc>
          <w:tcPr>
            <w:tcW w:w="14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49,581,319</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71,216</w:t>
            </w:r>
          </w:p>
        </w:tc>
        <w:tc>
          <w:tcPr>
            <w:tcW w:w="14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1,143,410</w:t>
            </w:r>
          </w:p>
        </w:tc>
        <w:tc>
          <w:tcPr>
            <w:tcW w:w="34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48,509,125</w:t>
            </w:r>
          </w:p>
        </w:tc>
      </w:tr>
      <w:tr>
        <w:trPr>
          <w:trHeight w:val="183"/>
        </w:trPr>
        <w:tc>
          <w:tcPr>
            <w:tcW w:w="4200" w:type="dxa"/>
            <w:vAlign w:val="bottom"/>
          </w:tcPr>
          <w:p>
            <w:pPr>
              <w:spacing w:after="0"/>
              <w:rPr>
                <w:sz w:val="20"/>
                <w:szCs w:val="20"/>
                <w:color w:val="auto"/>
              </w:rPr>
            </w:pPr>
            <w:r>
              <w:rPr>
                <w:rFonts w:ascii="Courier New" w:cs="Courier New" w:eastAsia="Courier New" w:hAnsi="Courier New"/>
                <w:sz w:val="16"/>
                <w:szCs w:val="16"/>
                <w:color w:val="auto"/>
              </w:rPr>
              <w:t>Less limited use assets</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4200" w:type="dxa"/>
            <w:vAlign w:val="bottom"/>
          </w:tcPr>
          <w:p>
            <w:pPr>
              <w:ind w:left="180"/>
              <w:spacing w:after="0"/>
              <w:rPr>
                <w:sz w:val="20"/>
                <w:szCs w:val="20"/>
                <w:color w:val="auto"/>
              </w:rPr>
            </w:pPr>
            <w:r>
              <w:rPr>
                <w:rFonts w:ascii="Courier New" w:cs="Courier New" w:eastAsia="Courier New" w:hAnsi="Courier New"/>
                <w:sz w:val="16"/>
                <w:szCs w:val="16"/>
                <w:color w:val="auto"/>
              </w:rPr>
              <w:t>Board designated........................</w:t>
            </w:r>
          </w:p>
        </w:tc>
        <w:tc>
          <w:tcPr>
            <w:tcW w:w="180" w:type="dxa"/>
            <w:vAlign w:val="bottom"/>
          </w:tcPr>
          <w:p>
            <w:pPr>
              <w:spacing w:after="0"/>
              <w:rPr>
                <w:sz w:val="15"/>
                <w:szCs w:val="15"/>
                <w:color w:val="auto"/>
              </w:rPr>
            </w:pPr>
          </w:p>
        </w:tc>
        <w:tc>
          <w:tcPr>
            <w:tcW w:w="144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w w:val="97"/>
              </w:rPr>
              <w:t>(16,742,303)</w:t>
            </w:r>
          </w:p>
        </w:tc>
        <w:tc>
          <w:tcPr>
            <w:tcW w:w="6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w w:val="97"/>
              </w:rPr>
              <w:t>(16,742,303)</w:t>
            </w:r>
          </w:p>
        </w:tc>
      </w:tr>
      <w:tr>
        <w:trPr>
          <w:trHeight w:val="183"/>
        </w:trPr>
        <w:tc>
          <w:tcPr>
            <w:tcW w:w="4200" w:type="dxa"/>
            <w:vAlign w:val="bottom"/>
          </w:tcPr>
          <w:p>
            <w:pPr>
              <w:ind w:left="180"/>
              <w:spacing w:after="0"/>
              <w:rPr>
                <w:sz w:val="20"/>
                <w:szCs w:val="20"/>
                <w:color w:val="auto"/>
              </w:rPr>
            </w:pPr>
            <w:r>
              <w:rPr>
                <w:rFonts w:ascii="Courier New" w:cs="Courier New" w:eastAsia="Courier New" w:hAnsi="Courier New"/>
                <w:sz w:val="16"/>
                <w:szCs w:val="16"/>
                <w:color w:val="auto"/>
              </w:rPr>
              <w:t>Indenture agreement.....................</w:t>
            </w:r>
          </w:p>
        </w:tc>
        <w:tc>
          <w:tcPr>
            <w:tcW w:w="180" w:type="dxa"/>
            <w:vAlign w:val="bottom"/>
          </w:tcPr>
          <w:p>
            <w:pPr>
              <w:spacing w:after="0"/>
              <w:rPr>
                <w:sz w:val="15"/>
                <w:szCs w:val="15"/>
                <w:color w:val="auto"/>
              </w:rPr>
            </w:pPr>
          </w:p>
        </w:tc>
        <w:tc>
          <w:tcPr>
            <w:tcW w:w="144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(4,765,038)</w:t>
            </w:r>
          </w:p>
        </w:tc>
        <w:tc>
          <w:tcPr>
            <w:tcW w:w="6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(101,923)</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(4,663,115)</w:t>
            </w:r>
          </w:p>
        </w:tc>
      </w:tr>
      <w:tr>
        <w:trPr>
          <w:trHeight w:val="183"/>
        </w:trPr>
        <w:tc>
          <w:tcPr>
            <w:tcW w:w="4200" w:type="dxa"/>
            <w:vAlign w:val="bottom"/>
          </w:tcPr>
          <w:p>
            <w:pPr>
              <w:spacing w:after="0"/>
              <w:rPr>
                <w:sz w:val="15"/>
                <w:szCs w:val="15"/>
                <w:color w:val="auto"/>
              </w:rPr>
            </w:pPr>
          </w:p>
        </w:tc>
        <w:tc>
          <w:tcPr>
            <w:tcW w:w="480" w:type="dxa"/>
            <w:vAlign w:val="bottom"/>
            <w:gridSpan w:val="2"/>
          </w:tcPr>
          <w:p>
            <w:pPr>
              <w:ind w:left="80"/>
              <w:spacing w:after="0"/>
              <w:rPr>
                <w:sz w:val="20"/>
                <w:szCs w:val="20"/>
                <w:color w:val="auto"/>
              </w:rPr>
            </w:pPr>
            <w:r>
              <w:rPr>
                <w:rFonts w:ascii="Courier New" w:cs="Courier New" w:eastAsia="Courier New" w:hAnsi="Courier New"/>
                <w:sz w:val="7"/>
                <w:szCs w:val="7"/>
                <w:color w:val="auto"/>
                <w:w w:val="75"/>
              </w:rPr>
              <w:t>------------</w:t>
            </w:r>
          </w:p>
        </w:tc>
        <w:tc>
          <w:tcPr>
            <w:tcW w:w="1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w:t>
            </w:r>
          </w:p>
        </w:tc>
        <w:tc>
          <w:tcPr>
            <w:tcW w:w="14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200" w:type="dxa"/>
            <w:vAlign w:val="bottom"/>
          </w:tcPr>
          <w:p>
            <w:pPr>
              <w:spacing w:after="0"/>
              <w:rPr>
                <w:sz w:val="15"/>
                <w:szCs w:val="15"/>
                <w:color w:val="auto"/>
              </w:rPr>
            </w:pPr>
          </w:p>
        </w:tc>
        <w:tc>
          <w:tcPr>
            <w:tcW w:w="180" w:type="dxa"/>
            <w:vAlign w:val="bottom"/>
          </w:tcPr>
          <w:p>
            <w:pPr>
              <w:ind w:left="80"/>
              <w:spacing w:after="0"/>
              <w:rPr>
                <w:sz w:val="20"/>
                <w:szCs w:val="20"/>
                <w:color w:val="auto"/>
              </w:rPr>
            </w:pPr>
            <w:r>
              <w:rPr>
                <w:rFonts w:ascii="Courier New" w:cs="Courier New" w:eastAsia="Courier New" w:hAnsi="Courier New"/>
                <w:sz w:val="16"/>
                <w:szCs w:val="16"/>
                <w:color w:val="auto"/>
                <w:w w:val="82"/>
              </w:rPr>
              <w:t>$</w:t>
            </w:r>
          </w:p>
        </w:tc>
        <w:tc>
          <w:tcPr>
            <w:tcW w:w="144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28,073,978</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$71,216</w:t>
            </w:r>
          </w:p>
        </w:tc>
        <w:tc>
          <w:tcPr>
            <w:tcW w:w="14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$1,041,487</w:t>
            </w:r>
          </w:p>
        </w:tc>
        <w:tc>
          <w:tcPr>
            <w:tcW w:w="14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$ 27,103,707</w:t>
            </w:r>
          </w:p>
        </w:tc>
      </w:tr>
      <w:tr>
        <w:trPr>
          <w:trHeight w:val="183"/>
        </w:trPr>
        <w:tc>
          <w:tcPr>
            <w:tcW w:w="4200" w:type="dxa"/>
            <w:vAlign w:val="bottom"/>
          </w:tcPr>
          <w:p>
            <w:pPr>
              <w:spacing w:after="0"/>
              <w:rPr>
                <w:sz w:val="15"/>
                <w:szCs w:val="15"/>
                <w:color w:val="auto"/>
              </w:rPr>
            </w:pPr>
          </w:p>
        </w:tc>
        <w:tc>
          <w:tcPr>
            <w:tcW w:w="480" w:type="dxa"/>
            <w:vAlign w:val="bottom"/>
            <w:gridSpan w:val="2"/>
          </w:tcPr>
          <w:p>
            <w:pPr>
              <w:ind w:left="80"/>
              <w:spacing w:after="0"/>
              <w:rPr>
                <w:sz w:val="20"/>
                <w:szCs w:val="20"/>
                <w:color w:val="auto"/>
              </w:rPr>
            </w:pPr>
            <w:r>
              <w:rPr>
                <w:rFonts w:ascii="Courier New" w:cs="Courier New" w:eastAsia="Courier New" w:hAnsi="Courier New"/>
                <w:sz w:val="7"/>
                <w:szCs w:val="7"/>
                <w:color w:val="auto"/>
                <w:w w:val="75"/>
              </w:rPr>
              <w:t>------------</w:t>
            </w:r>
          </w:p>
        </w:tc>
        <w:tc>
          <w:tcPr>
            <w:tcW w:w="1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w:t>
            </w:r>
          </w:p>
        </w:tc>
        <w:tc>
          <w:tcPr>
            <w:tcW w:w="14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200" w:type="dxa"/>
            <w:vAlign w:val="bottom"/>
          </w:tcPr>
          <w:p>
            <w:pPr>
              <w:spacing w:after="0"/>
              <w:rPr>
                <w:sz w:val="15"/>
                <w:szCs w:val="15"/>
                <w:color w:val="auto"/>
              </w:rPr>
            </w:pPr>
          </w:p>
        </w:tc>
        <w:tc>
          <w:tcPr>
            <w:tcW w:w="480" w:type="dxa"/>
            <w:vAlign w:val="bottom"/>
            <w:gridSpan w:val="2"/>
          </w:tcPr>
          <w:p>
            <w:pPr>
              <w:ind w:left="80"/>
              <w:spacing w:after="0"/>
              <w:rPr>
                <w:sz w:val="20"/>
                <w:szCs w:val="20"/>
                <w:color w:val="auto"/>
              </w:rPr>
            </w:pPr>
            <w:r>
              <w:rPr>
                <w:rFonts w:ascii="Courier New" w:cs="Courier New" w:eastAsia="Courier New" w:hAnsi="Courier New"/>
                <w:sz w:val="7"/>
                <w:szCs w:val="7"/>
                <w:color w:val="auto"/>
                <w:w w:val="75"/>
              </w:rPr>
              <w:t>------------</w:t>
            </w:r>
          </w:p>
        </w:tc>
        <w:tc>
          <w:tcPr>
            <w:tcW w:w="1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w:t>
            </w:r>
          </w:p>
        </w:tc>
        <w:tc>
          <w:tcPr>
            <w:tcW w:w="14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369"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Investment maturities at September 30, 1994 follow:</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620" w:type="dxa"/>
            <w:vAlign w:val="bottom"/>
          </w:tcPr>
          <w:p>
            <w:pPr>
              <w:spacing w:after="0"/>
              <w:rPr>
                <w:sz w:val="15"/>
                <w:szCs w:val="15"/>
                <w:color w:val="auto"/>
              </w:rPr>
            </w:pPr>
          </w:p>
        </w:tc>
        <w:tc>
          <w:tcPr>
            <w:tcW w:w="42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AMORTIZED COST</w:t>
            </w:r>
          </w:p>
        </w:tc>
        <w:tc>
          <w:tcPr>
            <w:tcW w:w="440" w:type="dxa"/>
            <w:vAlign w:val="bottom"/>
          </w:tcPr>
          <w:p>
            <w:pPr>
              <w:spacing w:after="0"/>
              <w:rPr>
                <w:sz w:val="15"/>
                <w:szCs w:val="15"/>
                <w:color w:val="auto"/>
              </w:rPr>
            </w:pPr>
          </w:p>
        </w:tc>
        <w:tc>
          <w:tcPr>
            <w:tcW w:w="1340" w:type="dxa"/>
            <w:vAlign w:val="bottom"/>
          </w:tcPr>
          <w:p>
            <w:pPr>
              <w:jc w:val="right"/>
              <w:ind w:right="321"/>
              <w:spacing w:after="0"/>
              <w:rPr>
                <w:sz w:val="20"/>
                <w:szCs w:val="20"/>
                <w:color w:val="auto"/>
              </w:rPr>
            </w:pPr>
            <w:r>
              <w:rPr>
                <w:rFonts w:ascii="Courier New" w:cs="Courier New" w:eastAsia="Courier New" w:hAnsi="Courier New"/>
                <w:sz w:val="16"/>
                <w:szCs w:val="16"/>
                <w:color w:val="auto"/>
                <w:w w:val="95"/>
              </w:rPr>
              <w:t>FAIR VALUE</w:t>
            </w:r>
          </w:p>
        </w:tc>
      </w:tr>
      <w:tr>
        <w:trPr>
          <w:trHeight w:val="183"/>
        </w:trPr>
        <w:tc>
          <w:tcPr>
            <w:tcW w:w="3620" w:type="dxa"/>
            <w:vAlign w:val="bottom"/>
          </w:tcPr>
          <w:p>
            <w:pPr>
              <w:spacing w:after="0"/>
              <w:rPr>
                <w:sz w:val="15"/>
                <w:szCs w:val="15"/>
                <w:color w:val="auto"/>
              </w:rPr>
            </w:pPr>
          </w:p>
        </w:tc>
        <w:tc>
          <w:tcPr>
            <w:tcW w:w="42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36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7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(CARRYING VALUE)</w:t>
            </w:r>
          </w:p>
        </w:tc>
      </w:tr>
      <w:tr>
        <w:trPr>
          <w:trHeight w:val="367"/>
        </w:trPr>
        <w:tc>
          <w:tcPr>
            <w:tcW w:w="3620" w:type="dxa"/>
            <w:vAlign w:val="bottom"/>
          </w:tcPr>
          <w:p>
            <w:pPr>
              <w:spacing w:after="0"/>
              <w:rPr>
                <w:sz w:val="20"/>
                <w:szCs w:val="20"/>
                <w:color w:val="auto"/>
              </w:rPr>
            </w:pPr>
            <w:r>
              <w:rPr>
                <w:rFonts w:ascii="Courier New" w:cs="Courier New" w:eastAsia="Courier New" w:hAnsi="Courier New"/>
                <w:sz w:val="12"/>
                <w:szCs w:val="12"/>
                <w:color w:val="auto"/>
                <w:w w:val="79"/>
              </w:rPr>
              <w:t>Due in 1 year..................................................</w:t>
            </w:r>
          </w:p>
        </w:tc>
        <w:tc>
          <w:tcPr>
            <w:tcW w:w="2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10,435,812</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10,401,989</w:t>
            </w:r>
          </w:p>
        </w:tc>
      </w:tr>
      <w:tr>
        <w:trPr>
          <w:trHeight w:val="183"/>
        </w:trPr>
        <w:tc>
          <w:tcPr>
            <w:tcW w:w="6580" w:type="dxa"/>
            <w:vAlign w:val="bottom"/>
            <w:gridSpan w:val="2"/>
          </w:tcPr>
          <w:p>
            <w:pPr>
              <w:spacing w:after="0"/>
              <w:rPr>
                <w:sz w:val="20"/>
                <w:szCs w:val="20"/>
                <w:color w:val="auto"/>
              </w:rPr>
            </w:pPr>
            <w:r>
              <w:rPr>
                <w:rFonts w:ascii="Courier New" w:cs="Courier New" w:eastAsia="Courier New" w:hAnsi="Courier New"/>
                <w:sz w:val="16"/>
                <w:szCs w:val="16"/>
                <w:color w:val="auto"/>
              </w:rPr>
              <w:t>Due in 1 to 5 years............................................</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31,694,687</w:t>
            </w:r>
          </w:p>
        </w:tc>
        <w:tc>
          <w:tcPr>
            <w:tcW w:w="440" w:type="dxa"/>
            <w:vAlign w:val="bottom"/>
          </w:tcPr>
          <w:p>
            <w:pPr>
              <w:spacing w:after="0"/>
              <w:rPr>
                <w:sz w:val="15"/>
                <w:szCs w:val="15"/>
                <w:color w:val="auto"/>
              </w:rPr>
            </w:pP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31,098,054</w:t>
            </w:r>
          </w:p>
        </w:tc>
      </w:tr>
      <w:tr>
        <w:trPr>
          <w:trHeight w:val="183"/>
        </w:trPr>
        <w:tc>
          <w:tcPr>
            <w:tcW w:w="6580" w:type="dxa"/>
            <w:vAlign w:val="bottom"/>
            <w:gridSpan w:val="2"/>
          </w:tcPr>
          <w:p>
            <w:pPr>
              <w:spacing w:after="0"/>
              <w:rPr>
                <w:sz w:val="20"/>
                <w:szCs w:val="20"/>
                <w:color w:val="auto"/>
              </w:rPr>
            </w:pPr>
            <w:r>
              <w:rPr>
                <w:rFonts w:ascii="Courier New" w:cs="Courier New" w:eastAsia="Courier New" w:hAnsi="Courier New"/>
                <w:sz w:val="16"/>
                <w:szCs w:val="16"/>
                <w:color w:val="auto"/>
              </w:rPr>
              <w:t>Due in 5 to 10 years...........................................</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741,539</w:t>
            </w:r>
          </w:p>
        </w:tc>
        <w:tc>
          <w:tcPr>
            <w:tcW w:w="440" w:type="dxa"/>
            <w:vAlign w:val="bottom"/>
          </w:tcPr>
          <w:p>
            <w:pPr>
              <w:spacing w:after="0"/>
              <w:rPr>
                <w:sz w:val="15"/>
                <w:szCs w:val="15"/>
                <w:color w:val="auto"/>
              </w:rPr>
            </w:pP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665,625</w:t>
            </w:r>
          </w:p>
        </w:tc>
      </w:tr>
      <w:tr>
        <w:trPr>
          <w:trHeight w:val="183"/>
        </w:trPr>
        <w:tc>
          <w:tcPr>
            <w:tcW w:w="6580" w:type="dxa"/>
            <w:vAlign w:val="bottom"/>
            <w:gridSpan w:val="2"/>
          </w:tcPr>
          <w:p>
            <w:pPr>
              <w:spacing w:after="0"/>
              <w:rPr>
                <w:sz w:val="20"/>
                <w:szCs w:val="20"/>
                <w:color w:val="auto"/>
              </w:rPr>
            </w:pPr>
            <w:r>
              <w:rPr>
                <w:rFonts w:ascii="Courier New" w:cs="Courier New" w:eastAsia="Courier New" w:hAnsi="Courier New"/>
                <w:sz w:val="16"/>
                <w:szCs w:val="16"/>
                <w:color w:val="auto"/>
              </w:rPr>
              <w:t>US Government mortgage-backed..................................</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6,132,236</w:t>
            </w:r>
          </w:p>
        </w:tc>
        <w:tc>
          <w:tcPr>
            <w:tcW w:w="440" w:type="dxa"/>
            <w:vAlign w:val="bottom"/>
          </w:tcPr>
          <w:p>
            <w:pPr>
              <w:spacing w:after="0"/>
              <w:rPr>
                <w:sz w:val="15"/>
                <w:szCs w:val="15"/>
                <w:color w:val="auto"/>
              </w:rPr>
            </w:pP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5,766,412</w:t>
            </w:r>
          </w:p>
        </w:tc>
      </w:tr>
      <w:tr>
        <w:trPr>
          <w:trHeight w:val="183"/>
        </w:trPr>
        <w:tc>
          <w:tcPr>
            <w:tcW w:w="6580" w:type="dxa"/>
            <w:vAlign w:val="bottom"/>
            <w:gridSpan w:val="2"/>
          </w:tcPr>
          <w:p>
            <w:pPr>
              <w:spacing w:after="0"/>
              <w:rPr>
                <w:sz w:val="20"/>
                <w:szCs w:val="20"/>
                <w:color w:val="auto"/>
              </w:rPr>
            </w:pPr>
            <w:r>
              <w:rPr>
                <w:rFonts w:ascii="Courier New" w:cs="Courier New" w:eastAsia="Courier New" w:hAnsi="Courier New"/>
                <w:sz w:val="16"/>
                <w:szCs w:val="16"/>
                <w:color w:val="auto"/>
              </w:rPr>
              <w:t>Accrued interest...............................................</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577,045</w:t>
            </w:r>
          </w:p>
        </w:tc>
        <w:tc>
          <w:tcPr>
            <w:tcW w:w="440" w:type="dxa"/>
            <w:vAlign w:val="bottom"/>
          </w:tcPr>
          <w:p>
            <w:pPr>
              <w:spacing w:after="0"/>
              <w:rPr>
                <w:sz w:val="15"/>
                <w:szCs w:val="15"/>
                <w:color w:val="auto"/>
              </w:rPr>
            </w:pP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577,045</w:t>
            </w:r>
          </w:p>
        </w:tc>
      </w:tr>
      <w:tr>
        <w:trPr>
          <w:trHeight w:val="183"/>
        </w:trPr>
        <w:tc>
          <w:tcPr>
            <w:tcW w:w="3620" w:type="dxa"/>
            <w:vAlign w:val="bottom"/>
          </w:tcPr>
          <w:p>
            <w:pPr>
              <w:spacing w:after="0"/>
              <w:rPr>
                <w:sz w:val="15"/>
                <w:szCs w:val="15"/>
                <w:color w:val="auto"/>
              </w:rPr>
            </w:pPr>
          </w:p>
        </w:tc>
        <w:tc>
          <w:tcPr>
            <w:tcW w:w="42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36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49,581,319</w:t>
            </w:r>
          </w:p>
        </w:tc>
        <w:tc>
          <w:tcPr>
            <w:tcW w:w="440" w:type="dxa"/>
            <w:vAlign w:val="bottom"/>
          </w:tcPr>
          <w:p>
            <w:pPr>
              <w:spacing w:after="0"/>
              <w:rPr>
                <w:sz w:val="15"/>
                <w:szCs w:val="15"/>
                <w:color w:val="auto"/>
              </w:rPr>
            </w:pP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48,509,125</w:t>
            </w:r>
          </w:p>
        </w:tc>
      </w:tr>
      <w:tr>
        <w:trPr>
          <w:trHeight w:val="183"/>
        </w:trPr>
        <w:tc>
          <w:tcPr>
            <w:tcW w:w="6580" w:type="dxa"/>
            <w:vAlign w:val="bottom"/>
            <w:gridSpan w:val="2"/>
          </w:tcPr>
          <w:p>
            <w:pPr>
              <w:spacing w:after="0"/>
              <w:rPr>
                <w:sz w:val="20"/>
                <w:szCs w:val="20"/>
                <w:color w:val="auto"/>
              </w:rPr>
            </w:pPr>
            <w:r>
              <w:rPr>
                <w:rFonts w:ascii="Courier New" w:cs="Courier New" w:eastAsia="Courier New" w:hAnsi="Courier New"/>
                <w:sz w:val="16"/>
                <w:szCs w:val="16"/>
                <w:color w:val="auto"/>
              </w:rPr>
              <w:t>Less limited use assets........................................</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(21,507,341)</w:t>
            </w:r>
          </w:p>
        </w:tc>
        <w:tc>
          <w:tcPr>
            <w:tcW w:w="4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(21,405,418)</w:t>
            </w:r>
          </w:p>
        </w:tc>
      </w:tr>
      <w:tr>
        <w:trPr>
          <w:trHeight w:val="183"/>
        </w:trPr>
        <w:tc>
          <w:tcPr>
            <w:tcW w:w="3620" w:type="dxa"/>
            <w:vAlign w:val="bottom"/>
          </w:tcPr>
          <w:p>
            <w:pPr>
              <w:spacing w:after="0"/>
              <w:rPr>
                <w:sz w:val="15"/>
                <w:szCs w:val="15"/>
                <w:color w:val="auto"/>
              </w:rPr>
            </w:pPr>
          </w:p>
        </w:tc>
        <w:tc>
          <w:tcPr>
            <w:tcW w:w="42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3620" w:type="dxa"/>
            <w:vAlign w:val="bottom"/>
          </w:tcPr>
          <w:p>
            <w:pPr>
              <w:spacing w:after="0"/>
              <w:rPr>
                <w:sz w:val="15"/>
                <w:szCs w:val="15"/>
                <w:color w:val="auto"/>
              </w:rPr>
            </w:pPr>
          </w:p>
        </w:tc>
        <w:tc>
          <w:tcPr>
            <w:tcW w:w="2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28,073,978</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27,103,707</w:t>
            </w:r>
          </w:p>
        </w:tc>
      </w:tr>
      <w:tr>
        <w:trPr>
          <w:trHeight w:val="183"/>
        </w:trPr>
        <w:tc>
          <w:tcPr>
            <w:tcW w:w="3620" w:type="dxa"/>
            <w:vAlign w:val="bottom"/>
          </w:tcPr>
          <w:p>
            <w:pPr>
              <w:spacing w:after="0"/>
              <w:rPr>
                <w:sz w:val="15"/>
                <w:szCs w:val="15"/>
                <w:color w:val="auto"/>
              </w:rPr>
            </w:pPr>
          </w:p>
        </w:tc>
        <w:tc>
          <w:tcPr>
            <w:tcW w:w="42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3620" w:type="dxa"/>
            <w:vAlign w:val="bottom"/>
          </w:tcPr>
          <w:p>
            <w:pPr>
              <w:spacing w:after="0"/>
              <w:rPr>
                <w:sz w:val="15"/>
                <w:szCs w:val="15"/>
                <w:color w:val="auto"/>
              </w:rPr>
            </w:pPr>
          </w:p>
        </w:tc>
        <w:tc>
          <w:tcPr>
            <w:tcW w:w="42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550"/>
        </w:trPr>
        <w:tc>
          <w:tcPr>
            <w:tcW w:w="3620" w:type="dxa"/>
            <w:vAlign w:val="bottom"/>
          </w:tcPr>
          <w:p>
            <w:pPr>
              <w:spacing w:after="0"/>
              <w:rPr>
                <w:sz w:val="24"/>
                <w:szCs w:val="24"/>
                <w:color w:val="auto"/>
              </w:rPr>
            </w:pPr>
          </w:p>
        </w:tc>
        <w:tc>
          <w:tcPr>
            <w:tcW w:w="2960" w:type="dxa"/>
            <w:vAlign w:val="bottom"/>
          </w:tcPr>
          <w:p>
            <w:pPr>
              <w:jc w:val="right"/>
              <w:ind w:right="2501"/>
              <w:spacing w:after="0"/>
              <w:rPr>
                <w:sz w:val="20"/>
                <w:szCs w:val="20"/>
                <w:color w:val="auto"/>
              </w:rPr>
            </w:pPr>
            <w:r>
              <w:rPr>
                <w:rFonts w:ascii="Courier New" w:cs="Courier New" w:eastAsia="Courier New" w:hAnsi="Courier New"/>
                <w:sz w:val="16"/>
                <w:szCs w:val="16"/>
                <w:color w:val="auto"/>
                <w:w w:val="93"/>
              </w:rPr>
              <w:t>F-39</w:t>
            </w: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0219"/>
          </w:cols>
          <w:pgMar w:left="240" w:top="481" w:right="1440" w:bottom="1440" w:gutter="0" w:footer="0" w:header="0"/>
        </w:sectPr>
      </w:pPr>
    </w:p>
    <w:bookmarkStart w:id="89" w:name="page90"/>
    <w:bookmarkEnd w:id="8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860" w:type="dxa"/>
            <w:vAlign w:val="bottom"/>
            <w:gridSpan w:val="3"/>
          </w:tcPr>
          <w:p>
            <w:pPr>
              <w:jc w:val="right"/>
              <w:ind w:right="441"/>
              <w:spacing w:after="0"/>
              <w:rPr>
                <w:sz w:val="20"/>
                <w:szCs w:val="20"/>
                <w:color w:val="auto"/>
              </w:rPr>
            </w:pPr>
            <w:r>
              <w:rPr>
                <w:rFonts w:ascii="Courier New" w:cs="Courier New" w:eastAsia="Courier New" w:hAnsi="Courier New"/>
                <w:sz w:val="16"/>
                <w:szCs w:val="16"/>
                <w:color w:val="auto"/>
              </w:rPr>
              <w:t>NORTHWEST TEXAS HEALTHCARE SYSTEM</w:t>
            </w: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3"/>
        </w:trPr>
        <w:tc>
          <w:tcPr>
            <w:tcW w:w="45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NOTES TO FINANCIAL STATEMENTS</w:t>
            </w:r>
          </w:p>
        </w:tc>
        <w:tc>
          <w:tcPr>
            <w:tcW w:w="1280" w:type="dxa"/>
            <w:vAlign w:val="bottom"/>
          </w:tcPr>
          <w:p>
            <w:pPr>
              <w:spacing w:after="0"/>
              <w:rPr>
                <w:sz w:val="20"/>
                <w:szCs w:val="20"/>
                <w:color w:val="auto"/>
              </w:rPr>
            </w:pPr>
            <w:r>
              <w:rPr>
                <w:rFonts w:ascii="Courier New" w:cs="Courier New" w:eastAsia="Courier New" w:hAnsi="Courier New"/>
                <w:sz w:val="16"/>
                <w:szCs w:val="16"/>
                <w:color w:val="auto"/>
              </w:rPr>
              <w:t>--(CONTINUED)</w:t>
            </w: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3"/>
        </w:trPr>
        <w:tc>
          <w:tcPr>
            <w:tcW w:w="5860" w:type="dxa"/>
            <w:vAlign w:val="bottom"/>
            <w:gridSpan w:val="3"/>
          </w:tcPr>
          <w:p>
            <w:pPr>
              <w:jc w:val="right"/>
              <w:ind w:right="161"/>
              <w:spacing w:after="0"/>
              <w:rPr>
                <w:sz w:val="20"/>
                <w:szCs w:val="20"/>
                <w:color w:val="auto"/>
              </w:rPr>
            </w:pPr>
            <w:r>
              <w:rPr>
                <w:rFonts w:ascii="Courier New" w:cs="Courier New" w:eastAsia="Courier New" w:hAnsi="Courier New"/>
                <w:sz w:val="16"/>
                <w:szCs w:val="16"/>
                <w:color w:val="auto"/>
              </w:rPr>
              <w:t>YEARS ENDED SEPTEMBER 30, 1994 AND 1995</w:t>
            </w: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3"/>
        </w:trPr>
        <w:tc>
          <w:tcPr>
            <w:tcW w:w="7060" w:type="dxa"/>
            <w:vAlign w:val="bottom"/>
            <w:gridSpan w:val="4"/>
          </w:tcPr>
          <w:p>
            <w:pPr>
              <w:jc w:val="right"/>
              <w:ind w:right="501"/>
              <w:spacing w:after="0"/>
              <w:rPr>
                <w:sz w:val="20"/>
                <w:szCs w:val="20"/>
                <w:color w:val="auto"/>
              </w:rPr>
            </w:pPr>
            <w:r>
              <w:rPr>
                <w:rFonts w:ascii="Courier New" w:cs="Courier New" w:eastAsia="Courier New" w:hAnsi="Courier New"/>
                <w:sz w:val="16"/>
                <w:szCs w:val="16"/>
                <w:color w:val="auto"/>
              </w:rPr>
              <w:t>AND SIX MONTHS ENDED MARCH 31, 1995 AND 1996 (UNAUDITED)</w:t>
            </w:r>
          </w:p>
        </w:tc>
        <w:tc>
          <w:tcPr>
            <w:tcW w:w="10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367"/>
        </w:trPr>
        <w:tc>
          <w:tcPr>
            <w:tcW w:w="4340" w:type="dxa"/>
            <w:vAlign w:val="bottom"/>
          </w:tcPr>
          <w:p>
            <w:pPr>
              <w:spacing w:after="0"/>
              <w:rPr>
                <w:sz w:val="20"/>
                <w:szCs w:val="20"/>
                <w:color w:val="auto"/>
              </w:rPr>
            </w:pPr>
            <w:r>
              <w:rPr>
                <w:rFonts w:ascii="Courier New" w:cs="Courier New" w:eastAsia="Courier New" w:hAnsi="Courier New"/>
                <w:sz w:val="16"/>
                <w:szCs w:val="16"/>
                <w:color w:val="auto"/>
              </w:rPr>
              <w:t>NOTE 4--INVESTMENTS--(CONTINUED)</w:t>
            </w: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83"/>
        </w:trPr>
        <w:tc>
          <w:tcPr>
            <w:tcW w:w="8060" w:type="dxa"/>
            <w:vAlign w:val="bottom"/>
            <w:gridSpan w:val="5"/>
          </w:tcPr>
          <w:p>
            <w:pPr>
              <w:jc w:val="right"/>
              <w:ind w:right="741"/>
              <w:spacing w:after="0"/>
              <w:rPr>
                <w:sz w:val="20"/>
                <w:szCs w:val="20"/>
                <w:color w:val="auto"/>
              </w:rPr>
            </w:pPr>
            <w:r>
              <w:rPr>
                <w:rFonts w:ascii="Courier New" w:cs="Courier New" w:eastAsia="Courier New" w:hAnsi="Courier New"/>
                <w:sz w:val="16"/>
                <w:szCs w:val="16"/>
                <w:color w:val="auto"/>
              </w:rPr>
              <w:t>Amortized cost, gross unrealized holding gains and losses and fair value</w:t>
            </w:r>
          </w:p>
        </w:tc>
        <w:tc>
          <w:tcPr>
            <w:tcW w:w="1280" w:type="dxa"/>
            <w:vAlign w:val="bottom"/>
          </w:tcPr>
          <w:p>
            <w:pPr>
              <w:spacing w:after="0"/>
              <w:rPr>
                <w:sz w:val="15"/>
                <w:szCs w:val="15"/>
                <w:color w:val="auto"/>
              </w:rPr>
            </w:pPr>
          </w:p>
        </w:tc>
      </w:tr>
      <w:tr>
        <w:trPr>
          <w:trHeight w:val="183"/>
        </w:trPr>
        <w:tc>
          <w:tcPr>
            <w:tcW w:w="7060" w:type="dxa"/>
            <w:vAlign w:val="bottom"/>
            <w:gridSpan w:val="4"/>
          </w:tcPr>
          <w:p>
            <w:pPr>
              <w:spacing w:after="0"/>
              <w:rPr>
                <w:sz w:val="20"/>
                <w:szCs w:val="20"/>
                <w:color w:val="auto"/>
              </w:rPr>
            </w:pPr>
            <w:r>
              <w:rPr>
                <w:rFonts w:ascii="Courier New" w:cs="Courier New" w:eastAsia="Courier New" w:hAnsi="Courier New"/>
                <w:sz w:val="16"/>
                <w:szCs w:val="16"/>
                <w:color w:val="auto"/>
              </w:rPr>
              <w:t>(which is carrying value) of investments at September 30, 1995 follow:</w:t>
            </w:r>
          </w:p>
        </w:tc>
        <w:tc>
          <w:tcPr>
            <w:tcW w:w="10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734"/>
        </w:trPr>
        <w:tc>
          <w:tcPr>
            <w:tcW w:w="4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0" w:type="dxa"/>
            <w:vAlign w:val="bottom"/>
            <w:gridSpan w:val="2"/>
          </w:tcPr>
          <w:p>
            <w:pPr>
              <w:jc w:val="right"/>
              <w:ind w:right="361"/>
              <w:spacing w:after="0"/>
              <w:rPr>
                <w:sz w:val="20"/>
                <w:szCs w:val="20"/>
                <w:color w:val="auto"/>
              </w:rPr>
            </w:pPr>
            <w:r>
              <w:rPr>
                <w:rFonts w:ascii="Courier New" w:cs="Courier New" w:eastAsia="Courier New" w:hAnsi="Courier New"/>
                <w:sz w:val="16"/>
                <w:szCs w:val="16"/>
                <w:color w:val="auto"/>
              </w:rPr>
              <w:t>GROSS UNREALIZED</w:t>
            </w:r>
          </w:p>
        </w:tc>
        <w:tc>
          <w:tcPr>
            <w:tcW w:w="1280" w:type="dxa"/>
            <w:vAlign w:val="bottom"/>
          </w:tcPr>
          <w:p>
            <w:pPr>
              <w:spacing w:after="0"/>
              <w:rPr>
                <w:sz w:val="24"/>
                <w:szCs w:val="24"/>
                <w:color w:val="auto"/>
              </w:rPr>
            </w:pPr>
          </w:p>
        </w:tc>
      </w:tr>
      <w:tr>
        <w:trPr>
          <w:trHeight w:val="183"/>
        </w:trPr>
        <w:tc>
          <w:tcPr>
            <w:tcW w:w="4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00" w:type="dxa"/>
            <w:vAlign w:val="bottom"/>
            <w:gridSpan w:val="2"/>
          </w:tcPr>
          <w:p>
            <w:pPr>
              <w:jc w:val="right"/>
              <w:ind w:right="821"/>
              <w:spacing w:after="0"/>
              <w:rPr>
                <w:sz w:val="20"/>
                <w:szCs w:val="20"/>
                <w:color w:val="auto"/>
              </w:rPr>
            </w:pPr>
            <w:r>
              <w:rPr>
                <w:rFonts w:ascii="Courier New" w:cs="Courier New" w:eastAsia="Courier New" w:hAnsi="Courier New"/>
                <w:sz w:val="16"/>
                <w:szCs w:val="16"/>
                <w:color w:val="auto"/>
              </w:rPr>
              <w:t>HOLDING</w:t>
            </w:r>
          </w:p>
        </w:tc>
        <w:tc>
          <w:tcPr>
            <w:tcW w:w="1280" w:type="dxa"/>
            <w:vAlign w:val="bottom"/>
          </w:tcPr>
          <w:p>
            <w:pPr>
              <w:spacing w:after="0"/>
              <w:rPr>
                <w:sz w:val="15"/>
                <w:szCs w:val="15"/>
                <w:color w:val="auto"/>
              </w:rPr>
            </w:pPr>
          </w:p>
        </w:tc>
      </w:tr>
      <w:tr>
        <w:trPr>
          <w:trHeight w:val="183"/>
        </w:trPr>
        <w:tc>
          <w:tcPr>
            <w:tcW w:w="4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20"/>
                <w:szCs w:val="20"/>
                <w:color w:val="auto"/>
              </w:rPr>
            </w:pPr>
            <w:r>
              <w:rPr>
                <w:rFonts w:ascii="Courier New" w:cs="Courier New" w:eastAsia="Courier New" w:hAnsi="Courier New"/>
                <w:sz w:val="16"/>
                <w:szCs w:val="16"/>
                <w:color w:val="auto"/>
              </w:rPr>
              <w:t>AMORTIZED</w:t>
            </w:r>
          </w:p>
        </w:tc>
        <w:tc>
          <w:tcPr>
            <w:tcW w:w="22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spacing w:after="0"/>
              <w:rPr>
                <w:sz w:val="15"/>
                <w:szCs w:val="15"/>
                <w:color w:val="auto"/>
              </w:rPr>
            </w:pPr>
          </w:p>
        </w:tc>
      </w:tr>
      <w:tr>
        <w:trPr>
          <w:trHeight w:val="183"/>
        </w:trPr>
        <w:tc>
          <w:tcPr>
            <w:tcW w:w="4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COST</w:t>
            </w:r>
          </w:p>
        </w:tc>
        <w:tc>
          <w:tcPr>
            <w:tcW w:w="120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GAINS</w:t>
            </w: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LOSSES</w:t>
            </w:r>
          </w:p>
        </w:tc>
        <w:tc>
          <w:tcPr>
            <w:tcW w:w="12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FAIR VALUE</w:t>
            </w:r>
          </w:p>
        </w:tc>
      </w:tr>
      <w:tr>
        <w:trPr>
          <w:trHeight w:val="183"/>
        </w:trPr>
        <w:tc>
          <w:tcPr>
            <w:tcW w:w="4340" w:type="dxa"/>
            <w:vAlign w:val="bottom"/>
          </w:tcPr>
          <w:p>
            <w:pPr>
              <w:spacing w:after="0"/>
              <w:rPr>
                <w:sz w:val="15"/>
                <w:szCs w:val="15"/>
                <w:color w:val="auto"/>
              </w:rPr>
            </w:pPr>
          </w:p>
        </w:tc>
        <w:tc>
          <w:tcPr>
            <w:tcW w:w="15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6"/>
              </w:rPr>
              <w:t>--------</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4340" w:type="dxa"/>
            <w:vAlign w:val="bottom"/>
          </w:tcPr>
          <w:p>
            <w:pPr>
              <w:spacing w:after="0"/>
              <w:rPr>
                <w:sz w:val="20"/>
                <w:szCs w:val="20"/>
                <w:color w:val="auto"/>
              </w:rPr>
            </w:pPr>
            <w:r>
              <w:rPr>
                <w:rFonts w:ascii="Courier New" w:cs="Courier New" w:eastAsia="Courier New" w:hAnsi="Courier New"/>
                <w:sz w:val="16"/>
                <w:szCs w:val="16"/>
                <w:color w:val="auto"/>
              </w:rPr>
              <w:t>Short-term investments......................</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1,850,042</w:t>
            </w:r>
          </w:p>
        </w:tc>
        <w:tc>
          <w:tcPr>
            <w:tcW w:w="120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  --</w:t>
            </w:r>
          </w:p>
        </w:tc>
        <w:tc>
          <w:tcPr>
            <w:tcW w:w="1000" w:type="dxa"/>
            <w:vAlign w:val="bottom"/>
          </w:tcPr>
          <w:p>
            <w:pPr>
              <w:jc w:val="right"/>
              <w:ind w:right="441"/>
              <w:spacing w:after="0"/>
              <w:rPr>
                <w:sz w:val="20"/>
                <w:szCs w:val="20"/>
                <w:color w:val="auto"/>
              </w:rPr>
            </w:pPr>
            <w:r>
              <w:rPr>
                <w:rFonts w:ascii="Courier New" w:cs="Courier New" w:eastAsia="Courier New" w:hAnsi="Courier New"/>
                <w:sz w:val="16"/>
                <w:szCs w:val="16"/>
                <w:color w:val="auto"/>
                <w:w w:val="95"/>
              </w:rPr>
              <w:t>$  --</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$ 1,850,042</w:t>
            </w:r>
          </w:p>
        </w:tc>
      </w:tr>
      <w:tr>
        <w:trPr>
          <w:trHeight w:val="183"/>
        </w:trPr>
        <w:tc>
          <w:tcPr>
            <w:tcW w:w="4340" w:type="dxa"/>
            <w:vAlign w:val="bottom"/>
          </w:tcPr>
          <w:p>
            <w:pPr>
              <w:spacing w:after="0"/>
              <w:rPr>
                <w:sz w:val="20"/>
                <w:szCs w:val="20"/>
                <w:color w:val="auto"/>
              </w:rPr>
            </w:pPr>
            <w:r>
              <w:rPr>
                <w:rFonts w:ascii="Courier New" w:cs="Courier New" w:eastAsia="Courier New" w:hAnsi="Courier New"/>
                <w:sz w:val="16"/>
                <w:szCs w:val="16"/>
                <w:color w:val="auto"/>
              </w:rPr>
              <w:t>US Government mortgage-backed...............</w:t>
            </w:r>
          </w:p>
        </w:tc>
        <w:tc>
          <w:tcPr>
            <w:tcW w:w="240" w:type="dxa"/>
            <w:vAlign w:val="bottom"/>
          </w:tcPr>
          <w:p>
            <w:pPr>
              <w:spacing w:after="0"/>
              <w:rPr>
                <w:sz w:val="15"/>
                <w:szCs w:val="15"/>
                <w:color w:val="auto"/>
              </w:rPr>
            </w:pPr>
          </w:p>
        </w:tc>
        <w:tc>
          <w:tcPr>
            <w:tcW w:w="12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7,270,403</w:t>
            </w:r>
          </w:p>
        </w:tc>
        <w:tc>
          <w:tcPr>
            <w:tcW w:w="12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49,139</w:t>
            </w: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151,677</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7,167,865</w:t>
            </w:r>
          </w:p>
        </w:tc>
      </w:tr>
      <w:tr>
        <w:trPr>
          <w:trHeight w:val="183"/>
        </w:trPr>
        <w:tc>
          <w:tcPr>
            <w:tcW w:w="4340" w:type="dxa"/>
            <w:vAlign w:val="bottom"/>
          </w:tcPr>
          <w:p>
            <w:pPr>
              <w:spacing w:after="0"/>
              <w:rPr>
                <w:sz w:val="20"/>
                <w:szCs w:val="20"/>
                <w:color w:val="auto"/>
              </w:rPr>
            </w:pPr>
            <w:r>
              <w:rPr>
                <w:rFonts w:ascii="Courier New" w:cs="Courier New" w:eastAsia="Courier New" w:hAnsi="Courier New"/>
                <w:sz w:val="16"/>
                <w:szCs w:val="16"/>
                <w:color w:val="auto"/>
              </w:rPr>
              <w:t>Other US Government.........................</w:t>
            </w:r>
          </w:p>
        </w:tc>
        <w:tc>
          <w:tcPr>
            <w:tcW w:w="240" w:type="dxa"/>
            <w:vAlign w:val="bottom"/>
          </w:tcPr>
          <w:p>
            <w:pPr>
              <w:spacing w:after="0"/>
              <w:rPr>
                <w:sz w:val="15"/>
                <w:szCs w:val="15"/>
                <w:color w:val="auto"/>
              </w:rPr>
            </w:pPr>
          </w:p>
        </w:tc>
        <w:tc>
          <w:tcPr>
            <w:tcW w:w="128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5"/>
              </w:rPr>
              <w:t>38,874,267</w:t>
            </w:r>
          </w:p>
        </w:tc>
        <w:tc>
          <w:tcPr>
            <w:tcW w:w="12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201,567</w:t>
            </w: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432,902</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38,642,932</w:t>
            </w:r>
          </w:p>
        </w:tc>
      </w:tr>
      <w:tr>
        <w:trPr>
          <w:trHeight w:val="183"/>
        </w:trPr>
        <w:tc>
          <w:tcPr>
            <w:tcW w:w="4340" w:type="dxa"/>
            <w:vAlign w:val="bottom"/>
          </w:tcPr>
          <w:p>
            <w:pPr>
              <w:spacing w:after="0"/>
              <w:rPr>
                <w:sz w:val="20"/>
                <w:szCs w:val="20"/>
                <w:color w:val="auto"/>
              </w:rPr>
            </w:pPr>
            <w:r>
              <w:rPr>
                <w:rFonts w:ascii="Courier New" w:cs="Courier New" w:eastAsia="Courier New" w:hAnsi="Courier New"/>
                <w:sz w:val="16"/>
                <w:szCs w:val="16"/>
                <w:color w:val="auto"/>
              </w:rPr>
              <w:t>Corporate debt..............................</w:t>
            </w:r>
          </w:p>
        </w:tc>
        <w:tc>
          <w:tcPr>
            <w:tcW w:w="240" w:type="dxa"/>
            <w:vAlign w:val="bottom"/>
          </w:tcPr>
          <w:p>
            <w:pPr>
              <w:spacing w:after="0"/>
              <w:rPr>
                <w:sz w:val="15"/>
                <w:szCs w:val="15"/>
                <w:color w:val="auto"/>
              </w:rPr>
            </w:pPr>
          </w:p>
        </w:tc>
        <w:tc>
          <w:tcPr>
            <w:tcW w:w="12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500,336</w:t>
            </w:r>
          </w:p>
        </w:tc>
        <w:tc>
          <w:tcPr>
            <w:tcW w:w="120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1,276</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499,060</w:t>
            </w:r>
          </w:p>
        </w:tc>
      </w:tr>
      <w:tr>
        <w:trPr>
          <w:trHeight w:val="183"/>
        </w:trPr>
        <w:tc>
          <w:tcPr>
            <w:tcW w:w="4340" w:type="dxa"/>
            <w:vAlign w:val="bottom"/>
          </w:tcPr>
          <w:p>
            <w:pPr>
              <w:spacing w:after="0"/>
              <w:rPr>
                <w:sz w:val="20"/>
                <w:szCs w:val="20"/>
                <w:color w:val="auto"/>
              </w:rPr>
            </w:pPr>
            <w:r>
              <w:rPr>
                <w:rFonts w:ascii="Courier New" w:cs="Courier New" w:eastAsia="Courier New" w:hAnsi="Courier New"/>
                <w:sz w:val="16"/>
                <w:szCs w:val="16"/>
                <w:color w:val="auto"/>
              </w:rPr>
              <w:t>Accrued interest............................</w:t>
            </w:r>
          </w:p>
        </w:tc>
        <w:tc>
          <w:tcPr>
            <w:tcW w:w="240" w:type="dxa"/>
            <w:vAlign w:val="bottom"/>
          </w:tcPr>
          <w:p>
            <w:pPr>
              <w:spacing w:after="0"/>
              <w:rPr>
                <w:sz w:val="15"/>
                <w:szCs w:val="15"/>
                <w:color w:val="auto"/>
              </w:rPr>
            </w:pPr>
          </w:p>
        </w:tc>
        <w:tc>
          <w:tcPr>
            <w:tcW w:w="12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755,297</w:t>
            </w:r>
          </w:p>
        </w:tc>
        <w:tc>
          <w:tcPr>
            <w:tcW w:w="120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755,297</w:t>
            </w:r>
          </w:p>
        </w:tc>
      </w:tr>
      <w:tr>
        <w:trPr>
          <w:trHeight w:val="183"/>
        </w:trPr>
        <w:tc>
          <w:tcPr>
            <w:tcW w:w="4340" w:type="dxa"/>
            <w:vAlign w:val="bottom"/>
          </w:tcPr>
          <w:p>
            <w:pPr>
              <w:spacing w:after="0"/>
              <w:rPr>
                <w:sz w:val="15"/>
                <w:szCs w:val="15"/>
                <w:color w:val="auto"/>
              </w:rPr>
            </w:pPr>
          </w:p>
        </w:tc>
        <w:tc>
          <w:tcPr>
            <w:tcW w:w="15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6"/>
              </w:rPr>
              <w:t>--------</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5"/>
              </w:rPr>
              <w:t>49,250,345</w:t>
            </w:r>
          </w:p>
        </w:tc>
        <w:tc>
          <w:tcPr>
            <w:tcW w:w="12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250,706</w:t>
            </w: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585,855</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48,915,196</w:t>
            </w:r>
          </w:p>
        </w:tc>
      </w:tr>
      <w:tr>
        <w:trPr>
          <w:trHeight w:val="183"/>
        </w:trPr>
        <w:tc>
          <w:tcPr>
            <w:tcW w:w="4340" w:type="dxa"/>
            <w:vAlign w:val="bottom"/>
          </w:tcPr>
          <w:p>
            <w:pPr>
              <w:spacing w:after="0"/>
              <w:rPr>
                <w:sz w:val="20"/>
                <w:szCs w:val="20"/>
                <w:color w:val="auto"/>
              </w:rPr>
            </w:pPr>
            <w:r>
              <w:rPr>
                <w:rFonts w:ascii="Courier New" w:cs="Courier New" w:eastAsia="Courier New" w:hAnsi="Courier New"/>
                <w:sz w:val="16"/>
                <w:szCs w:val="16"/>
                <w:color w:val="auto"/>
              </w:rPr>
              <w:t>Less limited use assets:</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3"/>
        </w:trPr>
        <w:tc>
          <w:tcPr>
            <w:tcW w:w="4340" w:type="dxa"/>
            <w:vAlign w:val="bottom"/>
          </w:tcPr>
          <w:p>
            <w:pPr>
              <w:ind w:left="180"/>
              <w:spacing w:after="0"/>
              <w:rPr>
                <w:sz w:val="20"/>
                <w:szCs w:val="20"/>
                <w:color w:val="auto"/>
              </w:rPr>
            </w:pPr>
            <w:r>
              <w:rPr>
                <w:rFonts w:ascii="Courier New" w:cs="Courier New" w:eastAsia="Courier New" w:hAnsi="Courier New"/>
                <w:sz w:val="16"/>
                <w:szCs w:val="16"/>
                <w:color w:val="auto"/>
              </w:rPr>
              <w:t>Board designated..........................</w:t>
            </w:r>
          </w:p>
        </w:tc>
        <w:tc>
          <w:tcPr>
            <w:tcW w:w="2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6"/>
              </w:rPr>
              <w:t>(8,891,311)</w:t>
            </w:r>
          </w:p>
        </w:tc>
        <w:tc>
          <w:tcPr>
            <w:tcW w:w="120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(8,891,311)</w:t>
            </w:r>
          </w:p>
        </w:tc>
      </w:tr>
      <w:tr>
        <w:trPr>
          <w:trHeight w:val="183"/>
        </w:trPr>
        <w:tc>
          <w:tcPr>
            <w:tcW w:w="4340" w:type="dxa"/>
            <w:vAlign w:val="bottom"/>
          </w:tcPr>
          <w:p>
            <w:pPr>
              <w:ind w:left="180"/>
              <w:spacing w:after="0"/>
              <w:rPr>
                <w:sz w:val="20"/>
                <w:szCs w:val="20"/>
                <w:color w:val="auto"/>
              </w:rPr>
            </w:pPr>
            <w:r>
              <w:rPr>
                <w:rFonts w:ascii="Courier New" w:cs="Courier New" w:eastAsia="Courier New" w:hAnsi="Courier New"/>
                <w:sz w:val="16"/>
                <w:szCs w:val="16"/>
                <w:color w:val="auto"/>
              </w:rPr>
              <w:t>Indenture agreement.......................</w:t>
            </w:r>
          </w:p>
        </w:tc>
        <w:tc>
          <w:tcPr>
            <w:tcW w:w="2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6"/>
              </w:rPr>
              <w:t>(5,021,255)</w:t>
            </w:r>
          </w:p>
        </w:tc>
        <w:tc>
          <w:tcPr>
            <w:tcW w:w="12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(950)</w:t>
            </w: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(34,671)</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(4,987,534)</w:t>
            </w:r>
          </w:p>
        </w:tc>
      </w:tr>
      <w:tr>
        <w:trPr>
          <w:trHeight w:val="183"/>
        </w:trPr>
        <w:tc>
          <w:tcPr>
            <w:tcW w:w="4340" w:type="dxa"/>
            <w:vAlign w:val="bottom"/>
          </w:tcPr>
          <w:p>
            <w:pPr>
              <w:spacing w:after="0"/>
              <w:rPr>
                <w:sz w:val="15"/>
                <w:szCs w:val="15"/>
                <w:color w:val="auto"/>
              </w:rPr>
            </w:pPr>
          </w:p>
        </w:tc>
        <w:tc>
          <w:tcPr>
            <w:tcW w:w="15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6"/>
              </w:rPr>
              <w:t>--------</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34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5"/>
              </w:rPr>
              <w:t>35,337,779</w:t>
            </w:r>
          </w:p>
        </w:tc>
        <w:tc>
          <w:tcPr>
            <w:tcW w:w="12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$249,756</w:t>
            </w: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6"/>
              </w:rPr>
              <w:t>$551,184</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$35,036,351</w:t>
            </w:r>
          </w:p>
        </w:tc>
      </w:tr>
      <w:tr>
        <w:trPr>
          <w:trHeight w:val="183"/>
        </w:trPr>
        <w:tc>
          <w:tcPr>
            <w:tcW w:w="4340" w:type="dxa"/>
            <w:vAlign w:val="bottom"/>
          </w:tcPr>
          <w:p>
            <w:pPr>
              <w:spacing w:after="0"/>
              <w:rPr>
                <w:sz w:val="15"/>
                <w:szCs w:val="15"/>
                <w:color w:val="auto"/>
              </w:rPr>
            </w:pPr>
          </w:p>
        </w:tc>
        <w:tc>
          <w:tcPr>
            <w:tcW w:w="15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6"/>
              </w:rPr>
              <w:t>--------</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340" w:type="dxa"/>
            <w:vAlign w:val="bottom"/>
          </w:tcPr>
          <w:p>
            <w:pPr>
              <w:spacing w:after="0"/>
              <w:rPr>
                <w:sz w:val="15"/>
                <w:szCs w:val="15"/>
                <w:color w:val="auto"/>
              </w:rPr>
            </w:pPr>
          </w:p>
        </w:tc>
        <w:tc>
          <w:tcPr>
            <w:tcW w:w="15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6"/>
              </w:rPr>
              <w:t>--------</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369"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Investment maturities at September 30, 1995 follow:</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620" w:type="dxa"/>
            <w:vAlign w:val="bottom"/>
          </w:tcPr>
          <w:p>
            <w:pPr>
              <w:spacing w:after="0"/>
              <w:rPr>
                <w:sz w:val="15"/>
                <w:szCs w:val="15"/>
                <w:color w:val="auto"/>
              </w:rPr>
            </w:pPr>
          </w:p>
        </w:tc>
        <w:tc>
          <w:tcPr>
            <w:tcW w:w="42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AMORTIZED COST</w:t>
            </w:r>
          </w:p>
        </w:tc>
        <w:tc>
          <w:tcPr>
            <w:tcW w:w="440" w:type="dxa"/>
            <w:vAlign w:val="bottom"/>
          </w:tcPr>
          <w:p>
            <w:pPr>
              <w:spacing w:after="0"/>
              <w:rPr>
                <w:sz w:val="15"/>
                <w:szCs w:val="15"/>
                <w:color w:val="auto"/>
              </w:rPr>
            </w:pPr>
          </w:p>
        </w:tc>
        <w:tc>
          <w:tcPr>
            <w:tcW w:w="1340" w:type="dxa"/>
            <w:vAlign w:val="bottom"/>
          </w:tcPr>
          <w:p>
            <w:pPr>
              <w:jc w:val="right"/>
              <w:ind w:right="321"/>
              <w:spacing w:after="0"/>
              <w:rPr>
                <w:sz w:val="20"/>
                <w:szCs w:val="20"/>
                <w:color w:val="auto"/>
              </w:rPr>
            </w:pPr>
            <w:r>
              <w:rPr>
                <w:rFonts w:ascii="Courier New" w:cs="Courier New" w:eastAsia="Courier New" w:hAnsi="Courier New"/>
                <w:sz w:val="16"/>
                <w:szCs w:val="16"/>
                <w:color w:val="auto"/>
                <w:w w:val="95"/>
              </w:rPr>
              <w:t>FAIR VALUE</w:t>
            </w:r>
          </w:p>
        </w:tc>
      </w:tr>
      <w:tr>
        <w:trPr>
          <w:trHeight w:val="183"/>
        </w:trPr>
        <w:tc>
          <w:tcPr>
            <w:tcW w:w="3620" w:type="dxa"/>
            <w:vAlign w:val="bottom"/>
          </w:tcPr>
          <w:p>
            <w:pPr>
              <w:spacing w:after="0"/>
              <w:rPr>
                <w:sz w:val="15"/>
                <w:szCs w:val="15"/>
                <w:color w:val="auto"/>
              </w:rPr>
            </w:pPr>
          </w:p>
        </w:tc>
        <w:tc>
          <w:tcPr>
            <w:tcW w:w="42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36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7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(CARRYING VALUE)</w:t>
            </w:r>
          </w:p>
        </w:tc>
      </w:tr>
      <w:tr>
        <w:trPr>
          <w:trHeight w:val="367"/>
        </w:trPr>
        <w:tc>
          <w:tcPr>
            <w:tcW w:w="3620" w:type="dxa"/>
            <w:vAlign w:val="bottom"/>
          </w:tcPr>
          <w:p>
            <w:pPr>
              <w:spacing w:after="0"/>
              <w:rPr>
                <w:sz w:val="20"/>
                <w:szCs w:val="20"/>
                <w:color w:val="auto"/>
              </w:rPr>
            </w:pPr>
            <w:r>
              <w:rPr>
                <w:rFonts w:ascii="Courier New" w:cs="Courier New" w:eastAsia="Courier New" w:hAnsi="Courier New"/>
                <w:sz w:val="12"/>
                <w:szCs w:val="12"/>
                <w:color w:val="auto"/>
                <w:w w:val="79"/>
              </w:rPr>
              <w:t>Due in 1 year..................................................</w:t>
            </w:r>
          </w:p>
        </w:tc>
        <w:tc>
          <w:tcPr>
            <w:tcW w:w="2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17,316,428</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17,142,166</w:t>
            </w:r>
          </w:p>
        </w:tc>
      </w:tr>
      <w:tr>
        <w:trPr>
          <w:trHeight w:val="183"/>
        </w:trPr>
        <w:tc>
          <w:tcPr>
            <w:tcW w:w="6580" w:type="dxa"/>
            <w:vAlign w:val="bottom"/>
            <w:gridSpan w:val="2"/>
          </w:tcPr>
          <w:p>
            <w:pPr>
              <w:spacing w:after="0"/>
              <w:rPr>
                <w:sz w:val="20"/>
                <w:szCs w:val="20"/>
                <w:color w:val="auto"/>
              </w:rPr>
            </w:pPr>
            <w:r>
              <w:rPr>
                <w:rFonts w:ascii="Courier New" w:cs="Courier New" w:eastAsia="Courier New" w:hAnsi="Courier New"/>
                <w:sz w:val="16"/>
                <w:szCs w:val="16"/>
                <w:color w:val="auto"/>
              </w:rPr>
              <w:t>Due in 1 to 5 years............................................</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18,745,033</w:t>
            </w:r>
          </w:p>
        </w:tc>
        <w:tc>
          <w:tcPr>
            <w:tcW w:w="440" w:type="dxa"/>
            <w:vAlign w:val="bottom"/>
          </w:tcPr>
          <w:p>
            <w:pPr>
              <w:spacing w:after="0"/>
              <w:rPr>
                <w:sz w:val="15"/>
                <w:szCs w:val="15"/>
                <w:color w:val="auto"/>
              </w:rPr>
            </w:pP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18,859,110</w:t>
            </w:r>
          </w:p>
        </w:tc>
      </w:tr>
      <w:tr>
        <w:trPr>
          <w:trHeight w:val="183"/>
        </w:trPr>
        <w:tc>
          <w:tcPr>
            <w:tcW w:w="6580" w:type="dxa"/>
            <w:vAlign w:val="bottom"/>
            <w:gridSpan w:val="2"/>
          </w:tcPr>
          <w:p>
            <w:pPr>
              <w:spacing w:after="0"/>
              <w:rPr>
                <w:sz w:val="20"/>
                <w:szCs w:val="20"/>
                <w:color w:val="auto"/>
              </w:rPr>
            </w:pPr>
            <w:r>
              <w:rPr>
                <w:rFonts w:ascii="Courier New" w:cs="Courier New" w:eastAsia="Courier New" w:hAnsi="Courier New"/>
                <w:sz w:val="16"/>
                <w:szCs w:val="16"/>
                <w:color w:val="auto"/>
              </w:rPr>
              <w:t>Due in 5 to 10 years...........................................</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1,742,501</w:t>
            </w:r>
          </w:p>
        </w:tc>
        <w:tc>
          <w:tcPr>
            <w:tcW w:w="440" w:type="dxa"/>
            <w:vAlign w:val="bottom"/>
          </w:tcPr>
          <w:p>
            <w:pPr>
              <w:spacing w:after="0"/>
              <w:rPr>
                <w:sz w:val="15"/>
                <w:szCs w:val="15"/>
                <w:color w:val="auto"/>
              </w:rPr>
            </w:pP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1,563,398</w:t>
            </w:r>
          </w:p>
        </w:tc>
      </w:tr>
      <w:tr>
        <w:trPr>
          <w:trHeight w:val="183"/>
        </w:trPr>
        <w:tc>
          <w:tcPr>
            <w:tcW w:w="6580" w:type="dxa"/>
            <w:vAlign w:val="bottom"/>
            <w:gridSpan w:val="2"/>
          </w:tcPr>
          <w:p>
            <w:pPr>
              <w:spacing w:after="0"/>
              <w:rPr>
                <w:sz w:val="20"/>
                <w:szCs w:val="20"/>
                <w:color w:val="auto"/>
              </w:rPr>
            </w:pPr>
            <w:r>
              <w:rPr>
                <w:rFonts w:ascii="Courier New" w:cs="Courier New" w:eastAsia="Courier New" w:hAnsi="Courier New"/>
                <w:sz w:val="16"/>
                <w:szCs w:val="16"/>
                <w:color w:val="auto"/>
              </w:rPr>
              <w:t>US Government mortgage-backed..................................</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10,691,086</w:t>
            </w:r>
          </w:p>
        </w:tc>
        <w:tc>
          <w:tcPr>
            <w:tcW w:w="440" w:type="dxa"/>
            <w:vAlign w:val="bottom"/>
          </w:tcPr>
          <w:p>
            <w:pPr>
              <w:spacing w:after="0"/>
              <w:rPr>
                <w:sz w:val="15"/>
                <w:szCs w:val="15"/>
                <w:color w:val="auto"/>
              </w:rPr>
            </w:pP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10,595,225</w:t>
            </w:r>
          </w:p>
        </w:tc>
      </w:tr>
      <w:tr>
        <w:trPr>
          <w:trHeight w:val="183"/>
        </w:trPr>
        <w:tc>
          <w:tcPr>
            <w:tcW w:w="6580" w:type="dxa"/>
            <w:vAlign w:val="bottom"/>
            <w:gridSpan w:val="2"/>
          </w:tcPr>
          <w:p>
            <w:pPr>
              <w:spacing w:after="0"/>
              <w:rPr>
                <w:sz w:val="20"/>
                <w:szCs w:val="20"/>
                <w:color w:val="auto"/>
              </w:rPr>
            </w:pPr>
            <w:r>
              <w:rPr>
                <w:rFonts w:ascii="Courier New" w:cs="Courier New" w:eastAsia="Courier New" w:hAnsi="Courier New"/>
                <w:sz w:val="16"/>
                <w:szCs w:val="16"/>
                <w:color w:val="auto"/>
              </w:rPr>
              <w:t>Accrued interest...............................................</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755,297</w:t>
            </w:r>
          </w:p>
        </w:tc>
        <w:tc>
          <w:tcPr>
            <w:tcW w:w="440" w:type="dxa"/>
            <w:vAlign w:val="bottom"/>
          </w:tcPr>
          <w:p>
            <w:pPr>
              <w:spacing w:after="0"/>
              <w:rPr>
                <w:sz w:val="15"/>
                <w:szCs w:val="15"/>
                <w:color w:val="auto"/>
              </w:rPr>
            </w:pP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755,297</w:t>
            </w:r>
          </w:p>
        </w:tc>
      </w:tr>
      <w:tr>
        <w:trPr>
          <w:trHeight w:val="183"/>
        </w:trPr>
        <w:tc>
          <w:tcPr>
            <w:tcW w:w="3620" w:type="dxa"/>
            <w:vAlign w:val="bottom"/>
          </w:tcPr>
          <w:p>
            <w:pPr>
              <w:spacing w:after="0"/>
              <w:rPr>
                <w:sz w:val="15"/>
                <w:szCs w:val="15"/>
                <w:color w:val="auto"/>
              </w:rPr>
            </w:pPr>
          </w:p>
        </w:tc>
        <w:tc>
          <w:tcPr>
            <w:tcW w:w="42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36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49,250,345</w:t>
            </w:r>
          </w:p>
        </w:tc>
        <w:tc>
          <w:tcPr>
            <w:tcW w:w="440" w:type="dxa"/>
            <w:vAlign w:val="bottom"/>
          </w:tcPr>
          <w:p>
            <w:pPr>
              <w:spacing w:after="0"/>
              <w:rPr>
                <w:sz w:val="15"/>
                <w:szCs w:val="15"/>
                <w:color w:val="auto"/>
              </w:rPr>
            </w:pP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48,915,196</w:t>
            </w:r>
          </w:p>
        </w:tc>
      </w:tr>
      <w:tr>
        <w:trPr>
          <w:trHeight w:val="183"/>
        </w:trPr>
        <w:tc>
          <w:tcPr>
            <w:tcW w:w="6580" w:type="dxa"/>
            <w:vAlign w:val="bottom"/>
            <w:gridSpan w:val="2"/>
          </w:tcPr>
          <w:p>
            <w:pPr>
              <w:spacing w:after="0"/>
              <w:rPr>
                <w:sz w:val="20"/>
                <w:szCs w:val="20"/>
                <w:color w:val="auto"/>
              </w:rPr>
            </w:pPr>
            <w:r>
              <w:rPr>
                <w:rFonts w:ascii="Courier New" w:cs="Courier New" w:eastAsia="Courier New" w:hAnsi="Courier New"/>
                <w:sz w:val="16"/>
                <w:szCs w:val="16"/>
                <w:color w:val="auto"/>
              </w:rPr>
              <w:t>Less limited use assets........................................</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(13,912,566)</w:t>
            </w:r>
          </w:p>
        </w:tc>
        <w:tc>
          <w:tcPr>
            <w:tcW w:w="4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(13,878,845)</w:t>
            </w:r>
          </w:p>
        </w:tc>
      </w:tr>
      <w:tr>
        <w:trPr>
          <w:trHeight w:val="183"/>
        </w:trPr>
        <w:tc>
          <w:tcPr>
            <w:tcW w:w="3620" w:type="dxa"/>
            <w:vAlign w:val="bottom"/>
          </w:tcPr>
          <w:p>
            <w:pPr>
              <w:spacing w:after="0"/>
              <w:rPr>
                <w:sz w:val="15"/>
                <w:szCs w:val="15"/>
                <w:color w:val="auto"/>
              </w:rPr>
            </w:pPr>
          </w:p>
        </w:tc>
        <w:tc>
          <w:tcPr>
            <w:tcW w:w="42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3620" w:type="dxa"/>
            <w:vAlign w:val="bottom"/>
          </w:tcPr>
          <w:p>
            <w:pPr>
              <w:spacing w:after="0"/>
              <w:rPr>
                <w:sz w:val="15"/>
                <w:szCs w:val="15"/>
                <w:color w:val="auto"/>
              </w:rPr>
            </w:pPr>
          </w:p>
        </w:tc>
        <w:tc>
          <w:tcPr>
            <w:tcW w:w="2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35,337,779</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35,036,351</w:t>
            </w:r>
          </w:p>
        </w:tc>
      </w:tr>
      <w:tr>
        <w:trPr>
          <w:trHeight w:val="183"/>
        </w:trPr>
        <w:tc>
          <w:tcPr>
            <w:tcW w:w="3620" w:type="dxa"/>
            <w:vAlign w:val="bottom"/>
          </w:tcPr>
          <w:p>
            <w:pPr>
              <w:spacing w:after="0"/>
              <w:rPr>
                <w:sz w:val="15"/>
                <w:szCs w:val="15"/>
                <w:color w:val="auto"/>
              </w:rPr>
            </w:pPr>
          </w:p>
        </w:tc>
        <w:tc>
          <w:tcPr>
            <w:tcW w:w="42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3620" w:type="dxa"/>
            <w:vAlign w:val="bottom"/>
          </w:tcPr>
          <w:p>
            <w:pPr>
              <w:spacing w:after="0"/>
              <w:rPr>
                <w:sz w:val="15"/>
                <w:szCs w:val="15"/>
                <w:color w:val="auto"/>
              </w:rPr>
            </w:pPr>
          </w:p>
        </w:tc>
        <w:tc>
          <w:tcPr>
            <w:tcW w:w="42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550"/>
        </w:trPr>
        <w:tc>
          <w:tcPr>
            <w:tcW w:w="3620" w:type="dxa"/>
            <w:vAlign w:val="bottom"/>
          </w:tcPr>
          <w:p>
            <w:pPr>
              <w:spacing w:after="0"/>
              <w:rPr>
                <w:sz w:val="24"/>
                <w:szCs w:val="24"/>
                <w:color w:val="auto"/>
              </w:rPr>
            </w:pPr>
          </w:p>
        </w:tc>
        <w:tc>
          <w:tcPr>
            <w:tcW w:w="2960" w:type="dxa"/>
            <w:vAlign w:val="bottom"/>
          </w:tcPr>
          <w:p>
            <w:pPr>
              <w:jc w:val="right"/>
              <w:ind w:right="2501"/>
              <w:spacing w:after="0"/>
              <w:rPr>
                <w:sz w:val="20"/>
                <w:szCs w:val="20"/>
                <w:color w:val="auto"/>
              </w:rPr>
            </w:pPr>
            <w:r>
              <w:rPr>
                <w:rFonts w:ascii="Courier New" w:cs="Courier New" w:eastAsia="Courier New" w:hAnsi="Courier New"/>
                <w:sz w:val="16"/>
                <w:szCs w:val="16"/>
                <w:color w:val="auto"/>
                <w:w w:val="93"/>
              </w:rPr>
              <w:t>F-40</w:t>
            </w: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0219"/>
          </w:cols>
          <w:pgMar w:left="240" w:top="481" w:right="1440" w:bottom="1440" w:gutter="0" w:footer="0" w:header="0"/>
        </w:sectPr>
      </w:pPr>
    </w:p>
    <w:bookmarkStart w:id="90" w:name="page91"/>
    <w:bookmarkEnd w:id="90"/>
    <w:p>
      <w:pPr>
        <w:ind w:left="2200"/>
        <w:spacing w:after="0"/>
        <w:rPr>
          <w:sz w:val="20"/>
          <w:szCs w:val="20"/>
          <w:color w:val="auto"/>
        </w:rPr>
      </w:pPr>
      <w:r>
        <w:rPr>
          <w:rFonts w:ascii="Courier New" w:cs="Courier New" w:eastAsia="Courier New" w:hAnsi="Courier New"/>
          <w:sz w:val="16"/>
          <w:szCs w:val="16"/>
          <w:color w:val="auto"/>
        </w:rPr>
        <w:t>NORTHWEST TEXAS HEALTHCARE SYSTEM</w:t>
      </w:r>
    </w:p>
    <w:p>
      <w:pPr>
        <w:spacing w:after="0" w:line="2"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NOTES TO FINANCIAL STATEMENTS--(CONTINUED)</w:t>
      </w:r>
    </w:p>
    <w:p>
      <w:pPr>
        <w:spacing w:after="0" w:line="2"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YEARS ENDED SEPTEMBER 30, 1994 AND 1995</w:t>
      </w:r>
    </w:p>
    <w:p>
      <w:pPr>
        <w:spacing w:after="0" w:line="2"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AND SIX MONTHS ENDED MARCH 31, 1995 AND 1996 (UNAUDITED)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5--ASSETS WHOSE USE IS LIMITED</w:t>
      </w:r>
    </w:p>
    <w:p>
      <w:pPr>
        <w:spacing w:after="0" w:line="188" w:lineRule="exact"/>
        <w:rPr>
          <w:sz w:val="20"/>
          <w:szCs w:val="20"/>
          <w:color w:val="auto"/>
        </w:rPr>
      </w:pPr>
    </w:p>
    <w:p>
      <w:pPr>
        <w:ind w:right="2679" w:firstLine="382"/>
        <w:spacing w:after="0" w:line="239" w:lineRule="auto"/>
        <w:rPr>
          <w:sz w:val="20"/>
          <w:szCs w:val="20"/>
          <w:color w:val="auto"/>
        </w:rPr>
      </w:pPr>
      <w:r>
        <w:rPr>
          <w:rFonts w:ascii="Courier New" w:cs="Courier New" w:eastAsia="Courier New" w:hAnsi="Courier New"/>
          <w:sz w:val="16"/>
          <w:szCs w:val="16"/>
          <w:color w:val="auto"/>
        </w:rPr>
        <w:t>At September 30, 1994 and 1995, investments were recorded at fair value. At September 30, 1994 and 1995, assets whose use is limited follow: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820" w:type="dxa"/>
            <w:vAlign w:val="bottom"/>
          </w:tcPr>
          <w:p>
            <w:pPr>
              <w:spacing w:after="0"/>
              <w:rPr>
                <w:sz w:val="15"/>
                <w:szCs w:val="15"/>
                <w:color w:val="auto"/>
              </w:rPr>
            </w:pPr>
          </w:p>
        </w:tc>
        <w:tc>
          <w:tcPr>
            <w:tcW w:w="14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1994</w:t>
            </w:r>
          </w:p>
        </w:tc>
        <w:tc>
          <w:tcPr>
            <w:tcW w:w="12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1995</w:t>
            </w:r>
          </w:p>
        </w:tc>
      </w:tr>
      <w:tr>
        <w:trPr>
          <w:trHeight w:val="183"/>
        </w:trPr>
        <w:tc>
          <w:tcPr>
            <w:tcW w:w="4820" w:type="dxa"/>
            <w:vAlign w:val="bottom"/>
          </w:tcPr>
          <w:p>
            <w:pPr>
              <w:spacing w:after="0"/>
              <w:rPr>
                <w:sz w:val="15"/>
                <w:szCs w:val="15"/>
                <w:color w:val="auto"/>
              </w:rPr>
            </w:pP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820" w:type="dxa"/>
            <w:vAlign w:val="bottom"/>
          </w:tcPr>
          <w:p>
            <w:pPr>
              <w:spacing w:after="0"/>
              <w:rPr>
                <w:sz w:val="20"/>
                <w:szCs w:val="20"/>
                <w:color w:val="auto"/>
              </w:rPr>
            </w:pPr>
            <w:r>
              <w:rPr>
                <w:rFonts w:ascii="Courier New" w:cs="Courier New" w:eastAsia="Courier New" w:hAnsi="Courier New"/>
                <w:sz w:val="16"/>
                <w:szCs w:val="16"/>
                <w:color w:val="auto"/>
              </w:rPr>
              <w:t>Under indenture agreements to meet interest and</w:t>
            </w:r>
          </w:p>
        </w:tc>
        <w:tc>
          <w:tcPr>
            <w:tcW w:w="14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3"/>
        </w:trPr>
        <w:tc>
          <w:tcPr>
            <w:tcW w:w="4820" w:type="dxa"/>
            <w:vAlign w:val="bottom"/>
          </w:tcPr>
          <w:p>
            <w:pPr>
              <w:jc w:val="right"/>
              <w:ind w:right="2161"/>
              <w:spacing w:after="0"/>
              <w:rPr>
                <w:sz w:val="20"/>
                <w:szCs w:val="20"/>
                <w:color w:val="auto"/>
              </w:rPr>
            </w:pPr>
            <w:r>
              <w:rPr>
                <w:rFonts w:ascii="Courier New" w:cs="Courier New" w:eastAsia="Courier New" w:hAnsi="Courier New"/>
                <w:sz w:val="16"/>
                <w:szCs w:val="16"/>
                <w:color w:val="auto"/>
              </w:rPr>
              <w:t>sinking fund requirements:</w:t>
            </w:r>
          </w:p>
        </w:tc>
        <w:tc>
          <w:tcPr>
            <w:tcW w:w="14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3"/>
        </w:trPr>
        <w:tc>
          <w:tcPr>
            <w:tcW w:w="48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Investments....................................</w:t>
            </w: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$ 4,663,115</w:t>
            </w:r>
          </w:p>
        </w:tc>
        <w:tc>
          <w:tcPr>
            <w:tcW w:w="1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$4,987,534</w:t>
            </w:r>
          </w:p>
        </w:tc>
      </w:tr>
      <w:tr>
        <w:trPr>
          <w:trHeight w:val="183"/>
        </w:trPr>
        <w:tc>
          <w:tcPr>
            <w:tcW w:w="48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Other receivable...............................</w:t>
            </w: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59,607</w:t>
            </w:r>
          </w:p>
        </w:tc>
        <w:tc>
          <w:tcPr>
            <w:tcW w:w="1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32,873</w:t>
            </w:r>
          </w:p>
        </w:tc>
      </w:tr>
      <w:tr>
        <w:trPr>
          <w:trHeight w:val="183"/>
        </w:trPr>
        <w:tc>
          <w:tcPr>
            <w:tcW w:w="4820" w:type="dxa"/>
            <w:vAlign w:val="bottom"/>
          </w:tcPr>
          <w:p>
            <w:pPr>
              <w:spacing w:after="0"/>
              <w:rPr>
                <w:sz w:val="20"/>
                <w:szCs w:val="20"/>
                <w:color w:val="auto"/>
              </w:rPr>
            </w:pPr>
            <w:r>
              <w:rPr>
                <w:rFonts w:ascii="Courier New" w:cs="Courier New" w:eastAsia="Courier New" w:hAnsi="Courier New"/>
                <w:sz w:val="16"/>
                <w:szCs w:val="16"/>
                <w:color w:val="auto"/>
              </w:rPr>
              <w:t>Investments designated by Board for:</w:t>
            </w:r>
          </w:p>
        </w:tc>
        <w:tc>
          <w:tcPr>
            <w:tcW w:w="14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3"/>
        </w:trPr>
        <w:tc>
          <w:tcPr>
            <w:tcW w:w="48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Employee benefits..............................</w:t>
            </w: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3,500,000</w:t>
            </w:r>
          </w:p>
        </w:tc>
        <w:tc>
          <w:tcPr>
            <w:tcW w:w="1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3,500,000</w:t>
            </w:r>
          </w:p>
        </w:tc>
      </w:tr>
      <w:tr>
        <w:trPr>
          <w:trHeight w:val="183"/>
        </w:trPr>
        <w:tc>
          <w:tcPr>
            <w:tcW w:w="48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Workers' compensation benefits.................</w:t>
            </w: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1,000,000</w:t>
            </w:r>
          </w:p>
        </w:tc>
        <w:tc>
          <w:tcPr>
            <w:tcW w:w="1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1,000,000</w:t>
            </w:r>
          </w:p>
        </w:tc>
      </w:tr>
      <w:tr>
        <w:trPr>
          <w:trHeight w:val="183"/>
        </w:trPr>
        <w:tc>
          <w:tcPr>
            <w:tcW w:w="48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Malpractice funding arrangements...............</w:t>
            </w: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1,000,000</w:t>
            </w:r>
          </w:p>
        </w:tc>
        <w:tc>
          <w:tcPr>
            <w:tcW w:w="1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1,000,000</w:t>
            </w:r>
          </w:p>
        </w:tc>
      </w:tr>
      <w:tr>
        <w:trPr>
          <w:trHeight w:val="183"/>
        </w:trPr>
        <w:tc>
          <w:tcPr>
            <w:tcW w:w="48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Donation to school of pharmacy.................</w:t>
            </w: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4,000,000</w:t>
            </w:r>
          </w:p>
        </w:tc>
        <w:tc>
          <w:tcPr>
            <w:tcW w:w="12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r>
      <w:tr>
        <w:trPr>
          <w:trHeight w:val="183"/>
        </w:trPr>
        <w:tc>
          <w:tcPr>
            <w:tcW w:w="48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Capital improvements...........................</w:t>
            </w: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7,242,303</w:t>
            </w:r>
          </w:p>
        </w:tc>
        <w:tc>
          <w:tcPr>
            <w:tcW w:w="1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3,391,311</w:t>
            </w:r>
          </w:p>
        </w:tc>
      </w:tr>
      <w:tr>
        <w:trPr>
          <w:trHeight w:val="183"/>
        </w:trPr>
        <w:tc>
          <w:tcPr>
            <w:tcW w:w="4820" w:type="dxa"/>
            <w:vAlign w:val="bottom"/>
          </w:tcPr>
          <w:p>
            <w:pPr>
              <w:spacing w:after="0"/>
              <w:rPr>
                <w:sz w:val="15"/>
                <w:szCs w:val="15"/>
                <w:color w:val="auto"/>
              </w:rPr>
            </w:pP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8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Total assets whose use is limited..........</w:t>
            </w: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21,465,025</w:t>
            </w:r>
          </w:p>
        </w:tc>
        <w:tc>
          <w:tcPr>
            <w:tcW w:w="1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13,911,718</w:t>
            </w:r>
          </w:p>
        </w:tc>
      </w:tr>
      <w:tr>
        <w:trPr>
          <w:trHeight w:val="183"/>
        </w:trPr>
        <w:tc>
          <w:tcPr>
            <w:tcW w:w="48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9"/>
              </w:rPr>
              <w:t>Less assets whose use is limited and required for</w:t>
            </w:r>
          </w:p>
        </w:tc>
        <w:tc>
          <w:tcPr>
            <w:tcW w:w="14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3"/>
        </w:trPr>
        <w:tc>
          <w:tcPr>
            <w:tcW w:w="48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current liabilities............................</w:t>
            </w:r>
          </w:p>
        </w:tc>
        <w:tc>
          <w:tcPr>
            <w:tcW w:w="14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(16,078,474)</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(8,176,010)</w:t>
            </w:r>
          </w:p>
        </w:tc>
      </w:tr>
      <w:tr>
        <w:trPr>
          <w:trHeight w:val="183"/>
        </w:trPr>
        <w:tc>
          <w:tcPr>
            <w:tcW w:w="4820" w:type="dxa"/>
            <w:vAlign w:val="bottom"/>
          </w:tcPr>
          <w:p>
            <w:pPr>
              <w:spacing w:after="0"/>
              <w:rPr>
                <w:sz w:val="15"/>
                <w:szCs w:val="15"/>
                <w:color w:val="auto"/>
              </w:rPr>
            </w:pP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8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9"/>
              </w:rPr>
              <w:t>ASSETS WHOSE USE IS LIMITED--NONCURRENT..........</w:t>
            </w: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$ 5,386,551</w:t>
            </w:r>
          </w:p>
        </w:tc>
        <w:tc>
          <w:tcPr>
            <w:tcW w:w="1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$5,735,708</w:t>
            </w:r>
          </w:p>
        </w:tc>
      </w:tr>
      <w:tr>
        <w:trPr>
          <w:trHeight w:val="183"/>
        </w:trPr>
        <w:tc>
          <w:tcPr>
            <w:tcW w:w="4820" w:type="dxa"/>
            <w:vAlign w:val="bottom"/>
          </w:tcPr>
          <w:p>
            <w:pPr>
              <w:spacing w:after="0"/>
              <w:rPr>
                <w:sz w:val="15"/>
                <w:szCs w:val="15"/>
                <w:color w:val="auto"/>
              </w:rPr>
            </w:pP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820" w:type="dxa"/>
            <w:vAlign w:val="bottom"/>
          </w:tcPr>
          <w:p>
            <w:pPr>
              <w:spacing w:after="0"/>
              <w:rPr>
                <w:sz w:val="15"/>
                <w:szCs w:val="15"/>
                <w:color w:val="auto"/>
              </w:rPr>
            </w:pP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6--PROPERTY AND EQUIPMENT</w:t>
      </w:r>
    </w:p>
    <w:p>
      <w:pPr>
        <w:spacing w:after="0" w:line="188" w:lineRule="exact"/>
        <w:rPr>
          <w:sz w:val="20"/>
          <w:szCs w:val="20"/>
          <w:color w:val="auto"/>
        </w:rPr>
      </w:pPr>
    </w:p>
    <w:p>
      <w:pPr>
        <w:ind w:right="3259" w:firstLine="382"/>
        <w:spacing w:after="0" w:line="239" w:lineRule="auto"/>
        <w:rPr>
          <w:sz w:val="20"/>
          <w:szCs w:val="20"/>
          <w:color w:val="auto"/>
        </w:rPr>
      </w:pPr>
      <w:r>
        <w:rPr>
          <w:rFonts w:ascii="Courier New" w:cs="Courier New" w:eastAsia="Courier New" w:hAnsi="Courier New"/>
          <w:sz w:val="16"/>
          <w:szCs w:val="16"/>
          <w:color w:val="auto"/>
        </w:rPr>
        <w:t>A summary of property and equipment as of September 30, 1994 and 1995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900" w:type="dxa"/>
            <w:vAlign w:val="bottom"/>
          </w:tcPr>
          <w:p>
            <w:pPr>
              <w:spacing w:after="0"/>
              <w:rPr>
                <w:sz w:val="15"/>
                <w:szCs w:val="15"/>
                <w:color w:val="auto"/>
              </w:rPr>
            </w:pPr>
          </w:p>
        </w:tc>
        <w:tc>
          <w:tcPr>
            <w:tcW w:w="14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1994</w:t>
            </w:r>
          </w:p>
        </w:tc>
        <w:tc>
          <w:tcPr>
            <w:tcW w:w="128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1995</w:t>
            </w:r>
          </w:p>
        </w:tc>
      </w:tr>
      <w:tr>
        <w:trPr>
          <w:trHeight w:val="183"/>
        </w:trPr>
        <w:tc>
          <w:tcPr>
            <w:tcW w:w="4900" w:type="dxa"/>
            <w:vAlign w:val="bottom"/>
          </w:tcPr>
          <w:p>
            <w:pPr>
              <w:spacing w:after="0"/>
              <w:rPr>
                <w:sz w:val="15"/>
                <w:szCs w:val="15"/>
                <w:color w:val="auto"/>
              </w:rPr>
            </w:pPr>
          </w:p>
        </w:tc>
        <w:tc>
          <w:tcPr>
            <w:tcW w:w="14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4900" w:type="dxa"/>
            <w:vAlign w:val="bottom"/>
          </w:tcPr>
          <w:p>
            <w:pPr>
              <w:spacing w:after="0"/>
              <w:rPr>
                <w:sz w:val="20"/>
                <w:szCs w:val="20"/>
                <w:color w:val="auto"/>
              </w:rPr>
            </w:pPr>
            <w:r>
              <w:rPr>
                <w:rFonts w:ascii="Courier New" w:cs="Courier New" w:eastAsia="Courier New" w:hAnsi="Courier New"/>
                <w:sz w:val="16"/>
                <w:szCs w:val="16"/>
                <w:color w:val="auto"/>
              </w:rPr>
              <w:t>Land..............................................</w:t>
            </w:r>
          </w:p>
        </w:tc>
        <w:tc>
          <w:tcPr>
            <w:tcW w:w="14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$ 1,418,949</w:t>
            </w:r>
          </w:p>
        </w:tc>
        <w:tc>
          <w:tcPr>
            <w:tcW w:w="1280" w:type="dxa"/>
            <w:vAlign w:val="bottom"/>
          </w:tcPr>
          <w:p>
            <w:pPr>
              <w:jc w:val="right"/>
              <w:ind w:right="1"/>
              <w:spacing w:after="0"/>
              <w:rPr>
                <w:sz w:val="20"/>
                <w:szCs w:val="20"/>
                <w:color w:val="auto"/>
              </w:rPr>
            </w:pPr>
            <w:r>
              <w:rPr>
                <w:rFonts w:ascii="Courier New" w:cs="Courier New" w:eastAsia="Courier New" w:hAnsi="Courier New"/>
                <w:sz w:val="16"/>
                <w:szCs w:val="16"/>
                <w:color w:val="auto"/>
              </w:rPr>
              <w:t>$ 1,418,949</w:t>
            </w:r>
          </w:p>
        </w:tc>
      </w:tr>
      <w:tr>
        <w:trPr>
          <w:trHeight w:val="183"/>
        </w:trPr>
        <w:tc>
          <w:tcPr>
            <w:tcW w:w="4900" w:type="dxa"/>
            <w:vAlign w:val="bottom"/>
          </w:tcPr>
          <w:p>
            <w:pPr>
              <w:spacing w:after="0"/>
              <w:rPr>
                <w:sz w:val="20"/>
                <w:szCs w:val="20"/>
                <w:color w:val="auto"/>
              </w:rPr>
            </w:pPr>
            <w:r>
              <w:rPr>
                <w:rFonts w:ascii="Courier New" w:cs="Courier New" w:eastAsia="Courier New" w:hAnsi="Courier New"/>
                <w:sz w:val="16"/>
                <w:szCs w:val="16"/>
                <w:color w:val="auto"/>
              </w:rPr>
              <w:t>Land improvements.................................</w:t>
            </w:r>
          </w:p>
        </w:tc>
        <w:tc>
          <w:tcPr>
            <w:tcW w:w="14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1,234,862</w:t>
            </w:r>
          </w:p>
        </w:tc>
        <w:tc>
          <w:tcPr>
            <w:tcW w:w="12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1,258,743</w:t>
            </w:r>
          </w:p>
        </w:tc>
      </w:tr>
      <w:tr>
        <w:trPr>
          <w:trHeight w:val="183"/>
        </w:trPr>
        <w:tc>
          <w:tcPr>
            <w:tcW w:w="4900" w:type="dxa"/>
            <w:vAlign w:val="bottom"/>
          </w:tcPr>
          <w:p>
            <w:pPr>
              <w:spacing w:after="0"/>
              <w:rPr>
                <w:sz w:val="20"/>
                <w:szCs w:val="20"/>
                <w:color w:val="auto"/>
              </w:rPr>
            </w:pPr>
            <w:r>
              <w:rPr>
                <w:rFonts w:ascii="Courier New" w:cs="Courier New" w:eastAsia="Courier New" w:hAnsi="Courier New"/>
                <w:sz w:val="16"/>
                <w:szCs w:val="16"/>
                <w:color w:val="auto"/>
              </w:rPr>
              <w:t>Buildings and improvements........................</w:t>
            </w:r>
          </w:p>
        </w:tc>
        <w:tc>
          <w:tcPr>
            <w:tcW w:w="14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57,181,784</w:t>
            </w:r>
          </w:p>
        </w:tc>
        <w:tc>
          <w:tcPr>
            <w:tcW w:w="1280" w:type="dxa"/>
            <w:vAlign w:val="bottom"/>
          </w:tcPr>
          <w:p>
            <w:pPr>
              <w:jc w:val="right"/>
              <w:ind w:right="1"/>
              <w:spacing w:after="0"/>
              <w:rPr>
                <w:sz w:val="20"/>
                <w:szCs w:val="20"/>
                <w:color w:val="auto"/>
              </w:rPr>
            </w:pPr>
            <w:r>
              <w:rPr>
                <w:rFonts w:ascii="Courier New" w:cs="Courier New" w:eastAsia="Courier New" w:hAnsi="Courier New"/>
                <w:sz w:val="16"/>
                <w:szCs w:val="16"/>
                <w:color w:val="auto"/>
              </w:rPr>
              <w:t>62,336,803</w:t>
            </w:r>
          </w:p>
        </w:tc>
      </w:tr>
      <w:tr>
        <w:trPr>
          <w:trHeight w:val="183"/>
        </w:trPr>
        <w:tc>
          <w:tcPr>
            <w:tcW w:w="4900" w:type="dxa"/>
            <w:vAlign w:val="bottom"/>
          </w:tcPr>
          <w:p>
            <w:pPr>
              <w:spacing w:after="0"/>
              <w:rPr>
                <w:sz w:val="20"/>
                <w:szCs w:val="20"/>
                <w:color w:val="auto"/>
              </w:rPr>
            </w:pPr>
            <w:r>
              <w:rPr>
                <w:rFonts w:ascii="Courier New" w:cs="Courier New" w:eastAsia="Courier New" w:hAnsi="Courier New"/>
                <w:sz w:val="16"/>
                <w:szCs w:val="16"/>
                <w:color w:val="auto"/>
              </w:rPr>
              <w:t>Equipment.........................................</w:t>
            </w:r>
          </w:p>
        </w:tc>
        <w:tc>
          <w:tcPr>
            <w:tcW w:w="14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45,643,749</w:t>
            </w:r>
          </w:p>
        </w:tc>
        <w:tc>
          <w:tcPr>
            <w:tcW w:w="1280" w:type="dxa"/>
            <w:vAlign w:val="bottom"/>
          </w:tcPr>
          <w:p>
            <w:pPr>
              <w:jc w:val="right"/>
              <w:ind w:right="1"/>
              <w:spacing w:after="0"/>
              <w:rPr>
                <w:sz w:val="20"/>
                <w:szCs w:val="20"/>
                <w:color w:val="auto"/>
              </w:rPr>
            </w:pPr>
            <w:r>
              <w:rPr>
                <w:rFonts w:ascii="Courier New" w:cs="Courier New" w:eastAsia="Courier New" w:hAnsi="Courier New"/>
                <w:sz w:val="16"/>
                <w:szCs w:val="16"/>
                <w:color w:val="auto"/>
              </w:rPr>
              <w:t>52,760,799</w:t>
            </w:r>
          </w:p>
        </w:tc>
      </w:tr>
      <w:tr>
        <w:trPr>
          <w:trHeight w:val="183"/>
        </w:trPr>
        <w:tc>
          <w:tcPr>
            <w:tcW w:w="4900" w:type="dxa"/>
            <w:vAlign w:val="bottom"/>
          </w:tcPr>
          <w:p>
            <w:pPr>
              <w:spacing w:after="0"/>
              <w:rPr>
                <w:sz w:val="20"/>
                <w:szCs w:val="20"/>
                <w:color w:val="auto"/>
              </w:rPr>
            </w:pPr>
            <w:r>
              <w:rPr>
                <w:rFonts w:ascii="Courier New" w:cs="Courier New" w:eastAsia="Courier New" w:hAnsi="Courier New"/>
                <w:sz w:val="16"/>
                <w:szCs w:val="16"/>
                <w:color w:val="auto"/>
              </w:rPr>
              <w:t>Construction in progress..........................</w:t>
            </w:r>
          </w:p>
        </w:tc>
        <w:tc>
          <w:tcPr>
            <w:tcW w:w="14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6,929,104</w:t>
            </w:r>
          </w:p>
        </w:tc>
        <w:tc>
          <w:tcPr>
            <w:tcW w:w="12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1,118,142</w:t>
            </w:r>
          </w:p>
        </w:tc>
      </w:tr>
      <w:tr>
        <w:trPr>
          <w:trHeight w:val="183"/>
        </w:trPr>
        <w:tc>
          <w:tcPr>
            <w:tcW w:w="4900" w:type="dxa"/>
            <w:vAlign w:val="bottom"/>
          </w:tcPr>
          <w:p>
            <w:pPr>
              <w:spacing w:after="0"/>
              <w:rPr>
                <w:sz w:val="15"/>
                <w:szCs w:val="15"/>
                <w:color w:val="auto"/>
              </w:rPr>
            </w:pPr>
          </w:p>
        </w:tc>
        <w:tc>
          <w:tcPr>
            <w:tcW w:w="14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4900" w:type="dxa"/>
            <w:vAlign w:val="bottom"/>
          </w:tcPr>
          <w:p>
            <w:pPr>
              <w:spacing w:after="0"/>
              <w:rPr>
                <w:sz w:val="15"/>
                <w:szCs w:val="15"/>
                <w:color w:val="auto"/>
              </w:rPr>
            </w:pPr>
          </w:p>
        </w:tc>
        <w:tc>
          <w:tcPr>
            <w:tcW w:w="14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112,408,448</w:t>
            </w:r>
          </w:p>
        </w:tc>
        <w:tc>
          <w:tcPr>
            <w:tcW w:w="12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118,893,436</w:t>
            </w:r>
          </w:p>
        </w:tc>
      </w:tr>
      <w:tr>
        <w:trPr>
          <w:trHeight w:val="183"/>
        </w:trPr>
        <w:tc>
          <w:tcPr>
            <w:tcW w:w="4900" w:type="dxa"/>
            <w:vAlign w:val="bottom"/>
          </w:tcPr>
          <w:p>
            <w:pPr>
              <w:spacing w:after="0"/>
              <w:rPr>
                <w:sz w:val="20"/>
                <w:szCs w:val="20"/>
                <w:color w:val="auto"/>
              </w:rPr>
            </w:pPr>
            <w:r>
              <w:rPr>
                <w:rFonts w:ascii="Courier New" w:cs="Courier New" w:eastAsia="Courier New" w:hAnsi="Courier New"/>
                <w:sz w:val="16"/>
                <w:szCs w:val="16"/>
                <w:color w:val="auto"/>
              </w:rPr>
              <w:t>Less accumulated depreciation and amortization</w:t>
            </w:r>
          </w:p>
        </w:tc>
        <w:tc>
          <w:tcPr>
            <w:tcW w:w="14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(44,560,178)</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(51,640,719)</w:t>
            </w:r>
          </w:p>
        </w:tc>
      </w:tr>
      <w:tr>
        <w:trPr>
          <w:trHeight w:val="183"/>
        </w:trPr>
        <w:tc>
          <w:tcPr>
            <w:tcW w:w="4900" w:type="dxa"/>
            <w:vAlign w:val="bottom"/>
          </w:tcPr>
          <w:p>
            <w:pPr>
              <w:spacing w:after="0"/>
              <w:rPr>
                <w:sz w:val="15"/>
                <w:szCs w:val="15"/>
                <w:color w:val="auto"/>
              </w:rPr>
            </w:pPr>
          </w:p>
        </w:tc>
        <w:tc>
          <w:tcPr>
            <w:tcW w:w="14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4900" w:type="dxa"/>
            <w:vAlign w:val="bottom"/>
          </w:tcPr>
          <w:p>
            <w:pPr>
              <w:ind w:left="580"/>
              <w:spacing w:after="0"/>
              <w:rPr>
                <w:sz w:val="20"/>
                <w:szCs w:val="20"/>
                <w:color w:val="auto"/>
              </w:rPr>
            </w:pPr>
            <w:r>
              <w:rPr>
                <w:rFonts w:ascii="Courier New" w:cs="Courier New" w:eastAsia="Courier New" w:hAnsi="Courier New"/>
                <w:sz w:val="16"/>
                <w:szCs w:val="16"/>
                <w:color w:val="auto"/>
              </w:rPr>
              <w:t>TOTAL PROPERTY AND EQUIPMENT................</w:t>
            </w:r>
          </w:p>
        </w:tc>
        <w:tc>
          <w:tcPr>
            <w:tcW w:w="14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$67,848,270</w:t>
            </w:r>
          </w:p>
        </w:tc>
        <w:tc>
          <w:tcPr>
            <w:tcW w:w="1280" w:type="dxa"/>
            <w:vAlign w:val="bottom"/>
          </w:tcPr>
          <w:p>
            <w:pPr>
              <w:jc w:val="right"/>
              <w:ind w:right="1"/>
              <w:spacing w:after="0"/>
              <w:rPr>
                <w:sz w:val="20"/>
                <w:szCs w:val="20"/>
                <w:color w:val="auto"/>
              </w:rPr>
            </w:pPr>
            <w:r>
              <w:rPr>
                <w:rFonts w:ascii="Courier New" w:cs="Courier New" w:eastAsia="Courier New" w:hAnsi="Courier New"/>
                <w:sz w:val="16"/>
                <w:szCs w:val="16"/>
                <w:color w:val="auto"/>
              </w:rPr>
              <w:t>$67,252,717</w:t>
            </w:r>
          </w:p>
        </w:tc>
      </w:tr>
      <w:tr>
        <w:trPr>
          <w:trHeight w:val="183"/>
        </w:trPr>
        <w:tc>
          <w:tcPr>
            <w:tcW w:w="4900" w:type="dxa"/>
            <w:vAlign w:val="bottom"/>
          </w:tcPr>
          <w:p>
            <w:pPr>
              <w:spacing w:after="0"/>
              <w:rPr>
                <w:sz w:val="15"/>
                <w:szCs w:val="15"/>
                <w:color w:val="auto"/>
              </w:rPr>
            </w:pPr>
          </w:p>
        </w:tc>
        <w:tc>
          <w:tcPr>
            <w:tcW w:w="14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4900" w:type="dxa"/>
            <w:vAlign w:val="bottom"/>
          </w:tcPr>
          <w:p>
            <w:pPr>
              <w:spacing w:after="0"/>
              <w:rPr>
                <w:sz w:val="15"/>
                <w:szCs w:val="15"/>
                <w:color w:val="auto"/>
              </w:rPr>
            </w:pPr>
          </w:p>
        </w:tc>
        <w:tc>
          <w:tcPr>
            <w:tcW w:w="14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7"/>
        </w:trPr>
        <w:tc>
          <w:tcPr>
            <w:tcW w:w="4900" w:type="dxa"/>
            <w:vAlign w:val="bottom"/>
          </w:tcPr>
          <w:p>
            <w:pPr>
              <w:ind w:left="3620"/>
              <w:spacing w:after="0"/>
              <w:rPr>
                <w:sz w:val="20"/>
                <w:szCs w:val="20"/>
                <w:color w:val="auto"/>
              </w:rPr>
            </w:pPr>
            <w:r>
              <w:rPr>
                <w:rFonts w:ascii="Courier New" w:cs="Courier New" w:eastAsia="Courier New" w:hAnsi="Courier New"/>
                <w:sz w:val="16"/>
                <w:szCs w:val="16"/>
                <w:color w:val="auto"/>
              </w:rPr>
              <w:t>F-41</w:t>
            </w: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0219"/>
          </w:cols>
          <w:pgMar w:left="240" w:top="481" w:right="1440" w:bottom="1440" w:gutter="0" w:footer="0" w:header="0"/>
        </w:sectPr>
      </w:pPr>
    </w:p>
    <w:bookmarkStart w:id="91" w:name="page92"/>
    <w:bookmarkEnd w:id="91"/>
    <w:p>
      <w:pPr>
        <w:ind w:left="2200"/>
        <w:spacing w:after="0"/>
        <w:rPr>
          <w:sz w:val="20"/>
          <w:szCs w:val="20"/>
          <w:color w:val="auto"/>
        </w:rPr>
      </w:pPr>
      <w:r>
        <w:rPr>
          <w:rFonts w:ascii="Courier New" w:cs="Courier New" w:eastAsia="Courier New" w:hAnsi="Courier New"/>
          <w:sz w:val="16"/>
          <w:szCs w:val="16"/>
          <w:color w:val="auto"/>
        </w:rPr>
        <w:t>NORTHWEST TEXAS HEALTHCARE SYSTEM</w:t>
      </w:r>
    </w:p>
    <w:p>
      <w:pPr>
        <w:spacing w:after="0" w:line="2"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NOTES TO FINANCIAL STATEMENTS--(CONTINUED)</w:t>
      </w:r>
    </w:p>
    <w:p>
      <w:pPr>
        <w:spacing w:after="0" w:line="2"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YEARS ENDED SEPTEMBER 30, 1994 AND 1995</w:t>
      </w:r>
    </w:p>
    <w:p>
      <w:pPr>
        <w:spacing w:after="0" w:line="2"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AND SIX MONTHS ENDED MARCH 31, 1995 AND 1996 (UNAUDITED)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7--LONG-TERM DEBT</w:t>
      </w:r>
    </w:p>
    <w:p>
      <w:pPr>
        <w:spacing w:after="0" w:line="186"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A summary of long-term debt as of September 30, 1994 and 1995 follows:</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900" w:type="dxa"/>
            <w:vAlign w:val="bottom"/>
          </w:tcPr>
          <w:p>
            <w:pPr>
              <w:spacing w:after="0"/>
              <w:rPr>
                <w:sz w:val="15"/>
                <w:szCs w:val="15"/>
                <w:color w:val="auto"/>
              </w:rPr>
            </w:pPr>
          </w:p>
        </w:tc>
        <w:tc>
          <w:tcPr>
            <w:tcW w:w="13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1994</w:t>
            </w:r>
          </w:p>
        </w:tc>
        <w:tc>
          <w:tcPr>
            <w:tcW w:w="12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1995</w:t>
            </w:r>
          </w:p>
        </w:tc>
      </w:tr>
      <w:tr>
        <w:trPr>
          <w:trHeight w:val="183"/>
        </w:trPr>
        <w:tc>
          <w:tcPr>
            <w:tcW w:w="4900" w:type="dxa"/>
            <w:vAlign w:val="bottom"/>
          </w:tcPr>
          <w:p>
            <w:pPr>
              <w:spacing w:after="0"/>
              <w:rPr>
                <w:sz w:val="15"/>
                <w:szCs w:val="15"/>
                <w:color w:val="auto"/>
              </w:rPr>
            </w:pPr>
          </w:p>
        </w:tc>
        <w:tc>
          <w:tcPr>
            <w:tcW w:w="13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4900" w:type="dxa"/>
            <w:vAlign w:val="bottom"/>
          </w:tcPr>
          <w:p>
            <w:pPr>
              <w:spacing w:after="0"/>
              <w:rPr>
                <w:sz w:val="20"/>
                <w:szCs w:val="20"/>
                <w:color w:val="auto"/>
              </w:rPr>
            </w:pPr>
            <w:r>
              <w:rPr>
                <w:rFonts w:ascii="Courier New" w:cs="Courier New" w:eastAsia="Courier New" w:hAnsi="Courier New"/>
                <w:sz w:val="16"/>
                <w:szCs w:val="16"/>
                <w:color w:val="auto"/>
              </w:rPr>
              <w:t>General obligation bonds 1977 Series, interest</w:t>
            </w:r>
          </w:p>
        </w:tc>
        <w:tc>
          <w:tcPr>
            <w:tcW w:w="13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83"/>
        </w:trPr>
        <w:tc>
          <w:tcPr>
            <w:tcW w:w="4900" w:type="dxa"/>
            <w:vAlign w:val="bottom"/>
          </w:tcPr>
          <w:p>
            <w:pPr>
              <w:ind w:left="180"/>
              <w:spacing w:after="0"/>
              <w:rPr>
                <w:sz w:val="20"/>
                <w:szCs w:val="20"/>
                <w:color w:val="auto"/>
              </w:rPr>
            </w:pPr>
            <w:r>
              <w:rPr>
                <w:rFonts w:ascii="Courier New" w:cs="Courier New" w:eastAsia="Courier New" w:hAnsi="Courier New"/>
                <w:sz w:val="16"/>
                <w:szCs w:val="16"/>
                <w:color w:val="auto"/>
              </w:rPr>
              <w:t>payable semi-annually at fixed rates ranging</w:t>
            </w:r>
          </w:p>
        </w:tc>
        <w:tc>
          <w:tcPr>
            <w:tcW w:w="13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3"/>
        </w:trPr>
        <w:tc>
          <w:tcPr>
            <w:tcW w:w="4900" w:type="dxa"/>
            <w:vAlign w:val="bottom"/>
          </w:tcPr>
          <w:p>
            <w:pPr>
              <w:ind w:left="180"/>
              <w:spacing w:after="0"/>
              <w:rPr>
                <w:sz w:val="20"/>
                <w:szCs w:val="20"/>
                <w:color w:val="auto"/>
              </w:rPr>
            </w:pPr>
            <w:r>
              <w:rPr>
                <w:rFonts w:ascii="Courier New" w:cs="Courier New" w:eastAsia="Courier New" w:hAnsi="Courier New"/>
                <w:sz w:val="16"/>
                <w:szCs w:val="16"/>
                <w:color w:val="auto"/>
              </w:rPr>
              <w:t>from 4.60% to 5.40%, maturing serially through</w:t>
            </w:r>
          </w:p>
        </w:tc>
        <w:tc>
          <w:tcPr>
            <w:tcW w:w="13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3"/>
        </w:trPr>
        <w:tc>
          <w:tcPr>
            <w:tcW w:w="4900" w:type="dxa"/>
            <w:vAlign w:val="bottom"/>
          </w:tcPr>
          <w:p>
            <w:pPr>
              <w:ind w:left="180"/>
              <w:spacing w:after="0"/>
              <w:rPr>
                <w:sz w:val="20"/>
                <w:szCs w:val="20"/>
                <w:color w:val="auto"/>
              </w:rPr>
            </w:pPr>
            <w:r>
              <w:rPr>
                <w:rFonts w:ascii="Courier New" w:cs="Courier New" w:eastAsia="Courier New" w:hAnsi="Courier New"/>
                <w:sz w:val="16"/>
                <w:szCs w:val="16"/>
                <w:color w:val="auto"/>
              </w:rPr>
              <w:t>March 1, 2001...................................</w:t>
            </w:r>
          </w:p>
        </w:tc>
        <w:tc>
          <w:tcPr>
            <w:tcW w:w="13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$9,850,000</w:t>
            </w:r>
          </w:p>
        </w:tc>
        <w:tc>
          <w:tcPr>
            <w:tcW w:w="1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$8,700,000</w:t>
            </w:r>
          </w:p>
        </w:tc>
      </w:tr>
      <w:tr>
        <w:trPr>
          <w:trHeight w:val="183"/>
        </w:trPr>
        <w:tc>
          <w:tcPr>
            <w:tcW w:w="4900" w:type="dxa"/>
            <w:vAlign w:val="bottom"/>
          </w:tcPr>
          <w:p>
            <w:pPr>
              <w:spacing w:after="0"/>
              <w:rPr>
                <w:sz w:val="20"/>
                <w:szCs w:val="20"/>
                <w:color w:val="auto"/>
              </w:rPr>
            </w:pPr>
            <w:r>
              <w:rPr>
                <w:rFonts w:ascii="Courier New" w:cs="Courier New" w:eastAsia="Courier New" w:hAnsi="Courier New"/>
                <w:sz w:val="16"/>
                <w:szCs w:val="16"/>
                <w:color w:val="auto"/>
              </w:rPr>
              <w:t>General obligation bonds 1980 Series, interest</w:t>
            </w:r>
          </w:p>
        </w:tc>
        <w:tc>
          <w:tcPr>
            <w:tcW w:w="13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3"/>
        </w:trPr>
        <w:tc>
          <w:tcPr>
            <w:tcW w:w="4900" w:type="dxa"/>
            <w:vAlign w:val="bottom"/>
          </w:tcPr>
          <w:p>
            <w:pPr>
              <w:ind w:left="180"/>
              <w:spacing w:after="0"/>
              <w:rPr>
                <w:sz w:val="20"/>
                <w:szCs w:val="20"/>
                <w:color w:val="auto"/>
              </w:rPr>
            </w:pPr>
            <w:r>
              <w:rPr>
                <w:rFonts w:ascii="Courier New" w:cs="Courier New" w:eastAsia="Courier New" w:hAnsi="Courier New"/>
                <w:sz w:val="16"/>
                <w:szCs w:val="16"/>
                <w:color w:val="auto"/>
              </w:rPr>
              <w:t>payable semi-annually at fixed rates ranging</w:t>
            </w:r>
          </w:p>
        </w:tc>
        <w:tc>
          <w:tcPr>
            <w:tcW w:w="13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3"/>
        </w:trPr>
        <w:tc>
          <w:tcPr>
            <w:tcW w:w="4900" w:type="dxa"/>
            <w:vAlign w:val="bottom"/>
          </w:tcPr>
          <w:p>
            <w:pPr>
              <w:ind w:left="180"/>
              <w:spacing w:after="0"/>
              <w:rPr>
                <w:sz w:val="20"/>
                <w:szCs w:val="20"/>
                <w:color w:val="auto"/>
              </w:rPr>
            </w:pPr>
            <w:r>
              <w:rPr>
                <w:rFonts w:ascii="Courier New" w:cs="Courier New" w:eastAsia="Courier New" w:hAnsi="Courier New"/>
                <w:sz w:val="16"/>
                <w:szCs w:val="16"/>
                <w:color w:val="auto"/>
              </w:rPr>
              <w:t>from 7.0 % to 7.40%, maturing serially through</w:t>
            </w:r>
          </w:p>
        </w:tc>
        <w:tc>
          <w:tcPr>
            <w:tcW w:w="13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3"/>
        </w:trPr>
        <w:tc>
          <w:tcPr>
            <w:tcW w:w="4900" w:type="dxa"/>
            <w:vAlign w:val="bottom"/>
          </w:tcPr>
          <w:p>
            <w:pPr>
              <w:ind w:left="180"/>
              <w:spacing w:after="0"/>
              <w:rPr>
                <w:sz w:val="20"/>
                <w:szCs w:val="20"/>
                <w:color w:val="auto"/>
              </w:rPr>
            </w:pPr>
            <w:r>
              <w:rPr>
                <w:rFonts w:ascii="Courier New" w:cs="Courier New" w:eastAsia="Courier New" w:hAnsi="Courier New"/>
                <w:sz w:val="16"/>
                <w:szCs w:val="16"/>
                <w:color w:val="auto"/>
              </w:rPr>
              <w:t>March 1, 1997...................................</w:t>
            </w:r>
          </w:p>
        </w:tc>
        <w:tc>
          <w:tcPr>
            <w:tcW w:w="13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125,000</w:t>
            </w:r>
          </w:p>
        </w:tc>
        <w:tc>
          <w:tcPr>
            <w:tcW w:w="1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75,000</w:t>
            </w:r>
          </w:p>
        </w:tc>
      </w:tr>
      <w:tr>
        <w:trPr>
          <w:trHeight w:val="183"/>
        </w:trPr>
        <w:tc>
          <w:tcPr>
            <w:tcW w:w="4900" w:type="dxa"/>
            <w:vAlign w:val="bottom"/>
          </w:tcPr>
          <w:p>
            <w:pPr>
              <w:spacing w:after="0"/>
              <w:rPr>
                <w:sz w:val="15"/>
                <w:szCs w:val="15"/>
                <w:color w:val="auto"/>
              </w:rPr>
            </w:pPr>
          </w:p>
        </w:tc>
        <w:tc>
          <w:tcPr>
            <w:tcW w:w="13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900" w:type="dxa"/>
            <w:vAlign w:val="bottom"/>
          </w:tcPr>
          <w:p>
            <w:pPr>
              <w:ind w:left="580"/>
              <w:spacing w:after="0"/>
              <w:rPr>
                <w:sz w:val="20"/>
                <w:szCs w:val="20"/>
                <w:color w:val="auto"/>
              </w:rPr>
            </w:pPr>
            <w:r>
              <w:rPr>
                <w:rFonts w:ascii="Courier New" w:cs="Courier New" w:eastAsia="Courier New" w:hAnsi="Courier New"/>
                <w:sz w:val="16"/>
                <w:szCs w:val="16"/>
                <w:color w:val="auto"/>
              </w:rPr>
              <w:t>Total long-term debt........................</w:t>
            </w:r>
          </w:p>
        </w:tc>
        <w:tc>
          <w:tcPr>
            <w:tcW w:w="13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9,975,000</w:t>
            </w:r>
          </w:p>
        </w:tc>
        <w:tc>
          <w:tcPr>
            <w:tcW w:w="1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8,775,000</w:t>
            </w:r>
          </w:p>
        </w:tc>
      </w:tr>
      <w:tr>
        <w:trPr>
          <w:trHeight w:val="183"/>
        </w:trPr>
        <w:tc>
          <w:tcPr>
            <w:tcW w:w="4900" w:type="dxa"/>
            <w:vAlign w:val="bottom"/>
          </w:tcPr>
          <w:p>
            <w:pPr>
              <w:spacing w:after="0"/>
              <w:rPr>
                <w:sz w:val="20"/>
                <w:szCs w:val="20"/>
                <w:color w:val="auto"/>
              </w:rPr>
            </w:pPr>
            <w:r>
              <w:rPr>
                <w:rFonts w:ascii="Courier New" w:cs="Courier New" w:eastAsia="Courier New" w:hAnsi="Courier New"/>
                <w:sz w:val="16"/>
                <w:szCs w:val="16"/>
                <w:color w:val="auto"/>
              </w:rPr>
              <w:t>Less current installments of long-term debt.......</w:t>
            </w:r>
          </w:p>
        </w:tc>
        <w:tc>
          <w:tcPr>
            <w:tcW w:w="13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(1,200,000)</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(1,250,000)</w:t>
            </w:r>
          </w:p>
        </w:tc>
      </w:tr>
      <w:tr>
        <w:trPr>
          <w:trHeight w:val="183"/>
        </w:trPr>
        <w:tc>
          <w:tcPr>
            <w:tcW w:w="4900" w:type="dxa"/>
            <w:vAlign w:val="bottom"/>
          </w:tcPr>
          <w:p>
            <w:pPr>
              <w:spacing w:after="0"/>
              <w:rPr>
                <w:sz w:val="15"/>
                <w:szCs w:val="15"/>
                <w:color w:val="auto"/>
              </w:rPr>
            </w:pPr>
          </w:p>
        </w:tc>
        <w:tc>
          <w:tcPr>
            <w:tcW w:w="13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900" w:type="dxa"/>
            <w:vAlign w:val="bottom"/>
          </w:tcPr>
          <w:p>
            <w:pPr>
              <w:spacing w:after="0"/>
              <w:rPr>
                <w:sz w:val="20"/>
                <w:szCs w:val="20"/>
                <w:color w:val="auto"/>
              </w:rPr>
            </w:pPr>
            <w:r>
              <w:rPr>
                <w:rFonts w:ascii="Courier New" w:cs="Courier New" w:eastAsia="Courier New" w:hAnsi="Courier New"/>
                <w:sz w:val="16"/>
                <w:szCs w:val="16"/>
                <w:color w:val="auto"/>
              </w:rPr>
              <w:t>LONG-TERM DEBT, EXCLUDING CURRENT INSTALLMENTS....</w:t>
            </w:r>
          </w:p>
        </w:tc>
        <w:tc>
          <w:tcPr>
            <w:tcW w:w="13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$8,775,000</w:t>
            </w:r>
          </w:p>
        </w:tc>
        <w:tc>
          <w:tcPr>
            <w:tcW w:w="1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$7,525,000</w:t>
            </w:r>
          </w:p>
        </w:tc>
      </w:tr>
      <w:tr>
        <w:trPr>
          <w:trHeight w:val="183"/>
        </w:trPr>
        <w:tc>
          <w:tcPr>
            <w:tcW w:w="4900" w:type="dxa"/>
            <w:vAlign w:val="bottom"/>
          </w:tcPr>
          <w:p>
            <w:pPr>
              <w:spacing w:after="0"/>
              <w:rPr>
                <w:sz w:val="15"/>
                <w:szCs w:val="15"/>
                <w:color w:val="auto"/>
              </w:rPr>
            </w:pPr>
          </w:p>
        </w:tc>
        <w:tc>
          <w:tcPr>
            <w:tcW w:w="13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900" w:type="dxa"/>
            <w:vAlign w:val="bottom"/>
          </w:tcPr>
          <w:p>
            <w:pPr>
              <w:spacing w:after="0"/>
              <w:rPr>
                <w:sz w:val="15"/>
                <w:szCs w:val="15"/>
                <w:color w:val="auto"/>
              </w:rPr>
            </w:pPr>
          </w:p>
        </w:tc>
        <w:tc>
          <w:tcPr>
            <w:tcW w:w="13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372" w:lineRule="exact"/>
        <w:rPr>
          <w:sz w:val="20"/>
          <w:szCs w:val="20"/>
          <w:color w:val="auto"/>
        </w:rPr>
      </w:pPr>
    </w:p>
    <w:p>
      <w:pPr>
        <w:ind w:right="2599" w:firstLine="382"/>
        <w:spacing w:after="0" w:line="262" w:lineRule="auto"/>
        <w:rPr>
          <w:sz w:val="20"/>
          <w:szCs w:val="20"/>
          <w:color w:val="auto"/>
        </w:rPr>
      </w:pPr>
      <w:r>
        <w:rPr>
          <w:rFonts w:ascii="Courier New" w:cs="Courier New" w:eastAsia="Courier New" w:hAnsi="Courier New"/>
          <w:sz w:val="15"/>
          <w:szCs w:val="15"/>
          <w:color w:val="auto"/>
        </w:rPr>
        <w:t>The general obligation bonds were authorized by elections held December 7, 1976. The bonds represent direct and general obligations of the Hospital, payable from ad valorem taxes levied against all taxable property located within the taxing district. The Hospital can redeem the 1977 and 1980 Series bonds, in whole or in part, at par plus accrued interest on any interest payment date.</w:t>
      </w:r>
    </w:p>
    <w:p>
      <w:pPr>
        <w:spacing w:after="0" w:line="173" w:lineRule="exact"/>
        <w:rPr>
          <w:sz w:val="20"/>
          <w:szCs w:val="20"/>
          <w:color w:val="auto"/>
        </w:rPr>
      </w:pPr>
    </w:p>
    <w:p>
      <w:pPr>
        <w:ind w:right="3359" w:firstLine="382"/>
        <w:spacing w:after="0"/>
        <w:rPr>
          <w:sz w:val="20"/>
          <w:szCs w:val="20"/>
          <w:color w:val="auto"/>
        </w:rPr>
      </w:pPr>
      <w:r>
        <w:rPr>
          <w:rFonts w:ascii="Courier New" w:cs="Courier New" w:eastAsia="Courier New" w:hAnsi="Courier New"/>
          <w:sz w:val="16"/>
          <w:szCs w:val="16"/>
          <w:color w:val="auto"/>
        </w:rPr>
        <w:t>Scheduled principal payments on long-term debt are as follows: 1996, $1,250,000; 1997, $1,325,000; 1998, $1,400,000; 1999, $1,500,000; 2000, $1,600,000 and thereafter, $1,700,000.</w:t>
      </w:r>
    </w:p>
    <w:p>
      <w:pPr>
        <w:spacing w:after="0" w:line="190" w:lineRule="exact"/>
        <w:rPr>
          <w:sz w:val="20"/>
          <w:szCs w:val="20"/>
          <w:color w:val="auto"/>
        </w:rPr>
      </w:pPr>
    </w:p>
    <w:p>
      <w:pPr>
        <w:ind w:right="2679" w:firstLine="382"/>
        <w:spacing w:after="0" w:line="239" w:lineRule="auto"/>
        <w:rPr>
          <w:sz w:val="20"/>
          <w:szCs w:val="20"/>
          <w:color w:val="auto"/>
        </w:rPr>
      </w:pPr>
      <w:r>
        <w:rPr>
          <w:rFonts w:ascii="Courier New" w:cs="Courier New" w:eastAsia="Courier New" w:hAnsi="Courier New"/>
          <w:sz w:val="16"/>
          <w:szCs w:val="16"/>
          <w:color w:val="auto"/>
        </w:rPr>
        <w:t>Interest costs capitalized in 1994 and 1995 were approximately $554,000 and $17,000, respectively.</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8--CAPITAL LEASE OBLIGATIONS</w:t>
      </w:r>
    </w:p>
    <w:p>
      <w:pPr>
        <w:spacing w:after="0" w:line="188" w:lineRule="exact"/>
        <w:rPr>
          <w:sz w:val="20"/>
          <w:szCs w:val="20"/>
          <w:color w:val="auto"/>
        </w:rPr>
      </w:pPr>
    </w:p>
    <w:p>
      <w:pPr>
        <w:ind w:right="2599" w:firstLine="382"/>
        <w:spacing w:after="0" w:line="241" w:lineRule="auto"/>
        <w:rPr>
          <w:sz w:val="20"/>
          <w:szCs w:val="20"/>
          <w:color w:val="auto"/>
        </w:rPr>
      </w:pPr>
      <w:r>
        <w:rPr>
          <w:rFonts w:ascii="Courier New" w:cs="Courier New" w:eastAsia="Courier New" w:hAnsi="Courier New"/>
          <w:sz w:val="16"/>
          <w:szCs w:val="16"/>
          <w:color w:val="auto"/>
        </w:rPr>
        <w:t>The Hospital is obligated under one capital lease for equipment. The cost of equipment recorded under such leases was $223,919, net of accumulated amortization of $151,947, as of September 30, 1995. The present value of future minimum lease payments as of September 30, 1995 follows: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340" w:type="dxa"/>
            <w:vAlign w:val="bottom"/>
            <w:gridSpan w:val="2"/>
          </w:tcPr>
          <w:p>
            <w:pPr>
              <w:jc w:val="right"/>
              <w:ind w:right="3501"/>
              <w:spacing w:after="0"/>
              <w:rPr>
                <w:sz w:val="20"/>
                <w:szCs w:val="20"/>
                <w:color w:val="auto"/>
              </w:rPr>
            </w:pPr>
            <w:r>
              <w:rPr>
                <w:rFonts w:ascii="Courier New" w:cs="Courier New" w:eastAsia="Courier New" w:hAnsi="Courier New"/>
                <w:sz w:val="16"/>
                <w:szCs w:val="16"/>
                <w:color w:val="auto"/>
              </w:rPr>
              <w:t>YEARS ENDING SEPTEMBER 30:</w:t>
            </w:r>
          </w:p>
        </w:tc>
        <w:tc>
          <w:tcPr>
            <w:tcW w:w="900" w:type="dxa"/>
            <w:vAlign w:val="bottom"/>
          </w:tcPr>
          <w:p>
            <w:pPr>
              <w:spacing w:after="0"/>
              <w:rPr>
                <w:sz w:val="15"/>
                <w:szCs w:val="15"/>
                <w:color w:val="auto"/>
              </w:rPr>
            </w:pPr>
          </w:p>
        </w:tc>
      </w:tr>
      <w:tr>
        <w:trPr>
          <w:trHeight w:val="183"/>
        </w:trPr>
        <w:tc>
          <w:tcPr>
            <w:tcW w:w="6340" w:type="dxa"/>
            <w:vAlign w:val="bottom"/>
            <w:gridSpan w:val="2"/>
          </w:tcPr>
          <w:p>
            <w:pPr>
              <w:jc w:val="right"/>
              <w:ind w:right="350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spacing w:after="0"/>
              <w:rPr>
                <w:sz w:val="15"/>
                <w:szCs w:val="15"/>
                <w:color w:val="auto"/>
              </w:rPr>
            </w:pPr>
          </w:p>
        </w:tc>
      </w:tr>
      <w:tr>
        <w:trPr>
          <w:trHeight w:val="183"/>
        </w:trPr>
        <w:tc>
          <w:tcPr>
            <w:tcW w:w="63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w w:val="99"/>
              </w:rPr>
              <w:t>1996.............................................................</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$55,062</w:t>
            </w:r>
          </w:p>
        </w:tc>
      </w:tr>
      <w:tr>
        <w:trPr>
          <w:trHeight w:val="183"/>
        </w:trPr>
        <w:tc>
          <w:tcPr>
            <w:tcW w:w="63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w w:val="99"/>
              </w:rPr>
              <w:t>1997.............................................................</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28,315</w:t>
            </w:r>
          </w:p>
        </w:tc>
      </w:tr>
      <w:tr>
        <w:trPr>
          <w:trHeight w:val="183"/>
        </w:trPr>
        <w:tc>
          <w:tcPr>
            <w:tcW w:w="76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63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Total minimum lease payments...............................</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83,377</w:t>
            </w:r>
          </w:p>
        </w:tc>
      </w:tr>
      <w:tr>
        <w:trPr>
          <w:trHeight w:val="183"/>
        </w:trPr>
        <w:tc>
          <w:tcPr>
            <w:tcW w:w="63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w w:val="99"/>
              </w:rPr>
              <w:t>Less amount representing interest (at a rate of 7.5%)............</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(4,455)</w:t>
            </w:r>
          </w:p>
        </w:tc>
      </w:tr>
      <w:tr>
        <w:trPr>
          <w:trHeight w:val="183"/>
        </w:trPr>
        <w:tc>
          <w:tcPr>
            <w:tcW w:w="76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63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w w:val="99"/>
              </w:rPr>
              <w:t>Present value of minimum lease payments..........................</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78,922</w:t>
            </w:r>
          </w:p>
        </w:tc>
      </w:tr>
      <w:tr>
        <w:trPr>
          <w:trHeight w:val="183"/>
        </w:trPr>
        <w:tc>
          <w:tcPr>
            <w:tcW w:w="63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w w:val="99"/>
              </w:rPr>
              <w:t>Less current portion of capital lease obligation.................</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(48,228)</w:t>
            </w:r>
          </w:p>
        </w:tc>
      </w:tr>
      <w:tr>
        <w:trPr>
          <w:trHeight w:val="183"/>
        </w:trPr>
        <w:tc>
          <w:tcPr>
            <w:tcW w:w="76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760" w:type="dxa"/>
            <w:vAlign w:val="bottom"/>
          </w:tcPr>
          <w:p>
            <w:pPr>
              <w:spacing w:after="0"/>
              <w:rPr>
                <w:sz w:val="20"/>
                <w:szCs w:val="20"/>
                <w:color w:val="auto"/>
              </w:rPr>
            </w:pPr>
            <w:r>
              <w:rPr>
                <w:rFonts w:ascii="Courier New" w:cs="Courier New" w:eastAsia="Courier New" w:hAnsi="Courier New"/>
                <w:sz w:val="16"/>
                <w:szCs w:val="16"/>
                <w:color w:val="auto"/>
              </w:rPr>
              <w:t>CAPITAL</w:t>
            </w:r>
          </w:p>
        </w:tc>
        <w:tc>
          <w:tcPr>
            <w:tcW w:w="55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9"/>
              </w:rPr>
              <w:t>LEASE OBLIGATION, EXCLUDING CURRENT PORTION..............</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$30,694</w:t>
            </w:r>
          </w:p>
        </w:tc>
      </w:tr>
      <w:tr>
        <w:trPr>
          <w:trHeight w:val="183"/>
        </w:trPr>
        <w:tc>
          <w:tcPr>
            <w:tcW w:w="76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76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550"/>
        </w:trPr>
        <w:tc>
          <w:tcPr>
            <w:tcW w:w="760" w:type="dxa"/>
            <w:vAlign w:val="bottom"/>
          </w:tcPr>
          <w:p>
            <w:pPr>
              <w:spacing w:after="0"/>
              <w:rPr>
                <w:sz w:val="20"/>
                <w:szCs w:val="20"/>
                <w:color w:val="auto"/>
              </w:rPr>
            </w:pPr>
            <w:r>
              <w:rPr>
                <w:rFonts w:ascii="Courier New" w:cs="Courier New" w:eastAsia="Courier New" w:hAnsi="Courier New"/>
                <w:sz w:val="16"/>
                <w:szCs w:val="16"/>
                <w:color w:val="auto"/>
                <w:w w:val="96"/>
              </w:rPr>
              <w:t>NOTE 9--</w:t>
            </w:r>
          </w:p>
        </w:tc>
        <w:tc>
          <w:tcPr>
            <w:tcW w:w="5580" w:type="dxa"/>
            <w:vAlign w:val="bottom"/>
          </w:tcPr>
          <w:p>
            <w:pPr>
              <w:jc w:val="right"/>
              <w:ind w:right="1881"/>
              <w:spacing w:after="0"/>
              <w:rPr>
                <w:sz w:val="20"/>
                <w:szCs w:val="20"/>
                <w:color w:val="auto"/>
              </w:rPr>
            </w:pPr>
            <w:r>
              <w:rPr>
                <w:rFonts w:ascii="Courier New" w:cs="Courier New" w:eastAsia="Courier New" w:hAnsi="Courier New"/>
                <w:sz w:val="16"/>
                <w:szCs w:val="16"/>
                <w:color w:val="auto"/>
                <w:w w:val="98"/>
              </w:rPr>
              <w:t>MANAGEMENT INCENTIVE COMPENSATION PLAN</w:t>
            </w:r>
          </w:p>
        </w:tc>
        <w:tc>
          <w:tcPr>
            <w:tcW w:w="900" w:type="dxa"/>
            <w:vAlign w:val="bottom"/>
          </w:tcPr>
          <w:p>
            <w:pPr>
              <w:spacing w:after="0"/>
              <w:rPr>
                <w:sz w:val="24"/>
                <w:szCs w:val="24"/>
                <w:color w:val="auto"/>
              </w:rPr>
            </w:pPr>
          </w:p>
        </w:tc>
      </w:tr>
    </w:tbl>
    <w:p>
      <w:pPr>
        <w:spacing w:after="0" w:line="188" w:lineRule="exact"/>
        <w:rPr>
          <w:sz w:val="20"/>
          <w:szCs w:val="20"/>
          <w:color w:val="auto"/>
        </w:rPr>
      </w:pPr>
    </w:p>
    <w:p>
      <w:pPr>
        <w:jc w:val="both"/>
        <w:ind w:right="2679" w:firstLine="382"/>
        <w:spacing w:after="0"/>
        <w:rPr>
          <w:sz w:val="20"/>
          <w:szCs w:val="20"/>
          <w:color w:val="auto"/>
        </w:rPr>
      </w:pPr>
      <w:r>
        <w:rPr>
          <w:rFonts w:ascii="Courier New" w:cs="Courier New" w:eastAsia="Courier New" w:hAnsi="Courier New"/>
          <w:sz w:val="16"/>
          <w:szCs w:val="16"/>
          <w:color w:val="auto"/>
        </w:rPr>
        <w:t>Through fiscal year 1994, the Hospital's salary and wage scale for selected upper management personnel included two components of pay: (1) a base salary to be paid bi-weekly and (2) an at-risk</w:t>
      </w:r>
    </w:p>
    <w:p>
      <w:pPr>
        <w:spacing w:after="0" w:line="18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F-42</w:t>
      </w:r>
    </w:p>
    <w:p>
      <w:pPr>
        <w:sectPr>
          <w:pgSz w:w="11900" w:h="16838" w:orient="portrait"/>
          <w:cols w:equalWidth="0" w:num="1">
            <w:col w:w="10219"/>
          </w:cols>
          <w:pgMar w:left="240" w:top="481" w:right="1440" w:bottom="1440" w:gutter="0" w:footer="0" w:header="0"/>
        </w:sectPr>
      </w:pPr>
    </w:p>
    <w:bookmarkStart w:id="92" w:name="page93"/>
    <w:bookmarkEnd w:id="92"/>
    <w:p>
      <w:pPr>
        <w:ind w:left="2200"/>
        <w:spacing w:after="0"/>
        <w:rPr>
          <w:sz w:val="20"/>
          <w:szCs w:val="20"/>
          <w:color w:val="auto"/>
        </w:rPr>
      </w:pPr>
      <w:r>
        <w:rPr>
          <w:rFonts w:ascii="Courier New" w:cs="Courier New" w:eastAsia="Courier New" w:hAnsi="Courier New"/>
          <w:sz w:val="16"/>
          <w:szCs w:val="16"/>
          <w:color w:val="auto"/>
        </w:rPr>
        <w:t>NORTHWEST TEXAS HEALTHCARE SYSTEM</w:t>
      </w:r>
    </w:p>
    <w:p>
      <w:pPr>
        <w:spacing w:after="0" w:line="2"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NOTES TO FINANCIAL STATEMENTS--(CONTINUED)</w:t>
      </w:r>
    </w:p>
    <w:p>
      <w:pPr>
        <w:spacing w:after="0" w:line="2"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YEARS ENDED SEPTEMBER 30, 1994 AND 1995</w:t>
      </w:r>
    </w:p>
    <w:p>
      <w:pPr>
        <w:spacing w:after="0" w:line="2"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AND SIX MONTHS ENDED MARCH 31, 1995 AND 1996 (UNAUDITED)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9--MANAGEMENT INCENTIVE COMPENSATION PLAN--(CONTINUED)</w:t>
      </w:r>
    </w:p>
    <w:p>
      <w:pPr>
        <w:spacing w:after="0" w:line="5"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amount paid through the Management Incentive Compensation Plan (MICP). Employees participating in the MICP were those determined to have a significant bearing on the successful operations of the Hospital. The amounts paid under the MICP (the at-risk amount) were based upon achievement of performance-based goals and objectives. Incentive performance levels, approved by the Board of Managers, were established and communicated to participants prior to the beginning of each fiscal year. Costs recognized in 1994 in connection with the MICP were approximately $623,000. The liability for incentive awards was included in accrued expenses in the accompanying 1994 balance sheet. The MICP was discontinued beginning with fiscal year 1995.</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10--PUBLIC EMPLOYEE RETIREMENT SYSTEM</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PLAN DESCRIPTION</w:t>
      </w:r>
    </w:p>
    <w:p>
      <w:pPr>
        <w:spacing w:after="0" w:line="188" w:lineRule="exact"/>
        <w:rPr>
          <w:sz w:val="20"/>
          <w:szCs w:val="20"/>
          <w:color w:val="auto"/>
        </w:rPr>
      </w:pPr>
    </w:p>
    <w:p>
      <w:pPr>
        <w:ind w:right="2979" w:firstLine="382"/>
        <w:spacing w:after="0" w:line="241" w:lineRule="auto"/>
        <w:rPr>
          <w:sz w:val="20"/>
          <w:szCs w:val="20"/>
          <w:color w:val="auto"/>
        </w:rPr>
      </w:pPr>
      <w:r>
        <w:rPr>
          <w:rFonts w:ascii="Courier New" w:cs="Courier New" w:eastAsia="Courier New" w:hAnsi="Courier New"/>
          <w:sz w:val="16"/>
          <w:szCs w:val="16"/>
          <w:color w:val="auto"/>
        </w:rPr>
        <w:t>In 1995, the Board approved resolutions to amend the Retirement Plan and Trust for Employees of Amarillo Hospital District effective October 1, 1994 which changed the name of the Plan to the "Retirement Plan for Employees of Northwest Texas Healthcare System."</w:t>
      </w:r>
    </w:p>
    <w:p>
      <w:pPr>
        <w:spacing w:after="0" w:line="189"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Substantially all full-time employees of the Hospital are eligible for participation in the Plan, a single-employer, defined benefit retirement plan. The Plan provides early, normal (age 65), and late retirement benefits based on the employee's years of service, average compensation, and social security benefits at retirement or termination of service. In addition, the Plan provides vested benefits after five years of service and preretirement death and disability benefits. Employees are not permitted to make contributions to the Plan. The Plan is administered by the Board of Managers of the District. The Plan is a component unit (presented as a Fiduciary Fund) of the District's financial reporting entity and its operations are not reported in these financial statements. Complete financial statements for the Plan may be obtained at the Hospital's administrative offices at 1501 Coulter, Amarillo, Texas 79106. At October 1, 1994 and 1995, the valuation dates, Plan membership consisted of the following: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860" w:type="dxa"/>
            <w:vAlign w:val="bottom"/>
          </w:tcPr>
          <w:p>
            <w:pPr>
              <w:spacing w:after="0"/>
              <w:rPr>
                <w:sz w:val="15"/>
                <w:szCs w:val="15"/>
                <w:color w:val="auto"/>
              </w:rPr>
            </w:pPr>
          </w:p>
        </w:tc>
        <w:tc>
          <w:tcPr>
            <w:tcW w:w="8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1994</w:t>
            </w: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1995</w:t>
            </w:r>
          </w:p>
        </w:tc>
      </w:tr>
      <w:tr>
        <w:trPr>
          <w:trHeight w:val="183"/>
        </w:trPr>
        <w:tc>
          <w:tcPr>
            <w:tcW w:w="5860" w:type="dxa"/>
            <w:vAlign w:val="bottom"/>
          </w:tcPr>
          <w:p>
            <w:pPr>
              <w:spacing w:after="0"/>
              <w:rPr>
                <w:sz w:val="15"/>
                <w:szCs w:val="15"/>
                <w:color w:val="auto"/>
              </w:rPr>
            </w:pPr>
          </w:p>
        </w:tc>
        <w:tc>
          <w:tcPr>
            <w:tcW w:w="8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5860" w:type="dxa"/>
            <w:vAlign w:val="bottom"/>
          </w:tcPr>
          <w:p>
            <w:pPr>
              <w:spacing w:after="0"/>
              <w:rPr>
                <w:sz w:val="20"/>
                <w:szCs w:val="20"/>
                <w:color w:val="auto"/>
              </w:rPr>
            </w:pPr>
            <w:r>
              <w:rPr>
                <w:rFonts w:ascii="Courier New" w:cs="Courier New" w:eastAsia="Courier New" w:hAnsi="Courier New"/>
                <w:sz w:val="16"/>
                <w:szCs w:val="16"/>
                <w:color w:val="auto"/>
              </w:rPr>
              <w:t>Retirees and beneficiaries currently receiving benefits and</w:t>
            </w:r>
          </w:p>
        </w:tc>
        <w:tc>
          <w:tcPr>
            <w:tcW w:w="8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3"/>
        </w:trPr>
        <w:tc>
          <w:tcPr>
            <w:tcW w:w="586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terminated vested participants..............................</w:t>
            </w:r>
          </w:p>
        </w:tc>
        <w:tc>
          <w:tcPr>
            <w:tcW w:w="8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248</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289</w:t>
            </w:r>
          </w:p>
        </w:tc>
      </w:tr>
      <w:tr>
        <w:trPr>
          <w:trHeight w:val="183"/>
        </w:trPr>
        <w:tc>
          <w:tcPr>
            <w:tcW w:w="5860" w:type="dxa"/>
            <w:vAlign w:val="bottom"/>
          </w:tcPr>
          <w:p>
            <w:pPr>
              <w:spacing w:after="0"/>
              <w:rPr>
                <w:sz w:val="20"/>
                <w:szCs w:val="20"/>
                <w:color w:val="auto"/>
              </w:rPr>
            </w:pPr>
            <w:r>
              <w:rPr>
                <w:rFonts w:ascii="Courier New" w:cs="Courier New" w:eastAsia="Courier New" w:hAnsi="Courier New"/>
                <w:sz w:val="16"/>
                <w:szCs w:val="16"/>
                <w:color w:val="auto"/>
              </w:rPr>
              <w:t>Active employees:</w:t>
            </w:r>
          </w:p>
        </w:tc>
        <w:tc>
          <w:tcPr>
            <w:tcW w:w="8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3"/>
        </w:trPr>
        <w:tc>
          <w:tcPr>
            <w:tcW w:w="5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Fully vested..............................................</w:t>
            </w:r>
          </w:p>
        </w:tc>
        <w:tc>
          <w:tcPr>
            <w:tcW w:w="8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605</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597</w:t>
            </w:r>
          </w:p>
        </w:tc>
      </w:tr>
      <w:tr>
        <w:trPr>
          <w:trHeight w:val="183"/>
        </w:trPr>
        <w:tc>
          <w:tcPr>
            <w:tcW w:w="5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Nonvested.................................................</w:t>
            </w:r>
          </w:p>
        </w:tc>
        <w:tc>
          <w:tcPr>
            <w:tcW w:w="8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564</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579</w:t>
            </w:r>
          </w:p>
        </w:tc>
      </w:tr>
      <w:tr>
        <w:trPr>
          <w:trHeight w:val="183"/>
        </w:trPr>
        <w:tc>
          <w:tcPr>
            <w:tcW w:w="5860" w:type="dxa"/>
            <w:vAlign w:val="bottom"/>
          </w:tcPr>
          <w:p>
            <w:pPr>
              <w:spacing w:after="0"/>
              <w:rPr>
                <w:sz w:val="15"/>
                <w:szCs w:val="15"/>
                <w:color w:val="auto"/>
              </w:rPr>
            </w:pPr>
          </w:p>
        </w:tc>
        <w:tc>
          <w:tcPr>
            <w:tcW w:w="8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5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TOTAL.................................................</w:t>
            </w:r>
          </w:p>
        </w:tc>
        <w:tc>
          <w:tcPr>
            <w:tcW w:w="8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1,417</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1,465</w:t>
            </w:r>
          </w:p>
        </w:tc>
      </w:tr>
      <w:tr>
        <w:trPr>
          <w:trHeight w:val="183"/>
        </w:trPr>
        <w:tc>
          <w:tcPr>
            <w:tcW w:w="5860" w:type="dxa"/>
            <w:vAlign w:val="bottom"/>
          </w:tcPr>
          <w:p>
            <w:pPr>
              <w:spacing w:after="0"/>
              <w:rPr>
                <w:sz w:val="15"/>
                <w:szCs w:val="15"/>
                <w:color w:val="auto"/>
              </w:rPr>
            </w:pPr>
          </w:p>
        </w:tc>
        <w:tc>
          <w:tcPr>
            <w:tcW w:w="8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5860" w:type="dxa"/>
            <w:vAlign w:val="bottom"/>
          </w:tcPr>
          <w:p>
            <w:pPr>
              <w:spacing w:after="0"/>
              <w:rPr>
                <w:sz w:val="15"/>
                <w:szCs w:val="15"/>
                <w:color w:val="auto"/>
              </w:rPr>
            </w:pPr>
          </w:p>
        </w:tc>
        <w:tc>
          <w:tcPr>
            <w:tcW w:w="8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188"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Full-time employees are eligible for participation in the Plan after completing one year of service and upon attainment of age 25. Participants vest 100% upon completion of five years of service. Vested participants are entitled to monthly benefits beginning at the normal retirement age of 65 equal to a percentage of compensation earned. Reduced benefits are available upon early retirement with 20 years of service or at age 55 with ten or more years of participation. Benefits are generally payable in monthly installments, lump sum distribution or a combination thereof.</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F-43</w:t>
      </w:r>
    </w:p>
    <w:p>
      <w:pPr>
        <w:sectPr>
          <w:pgSz w:w="11900" w:h="16838" w:orient="portrait"/>
          <w:cols w:equalWidth="0" w:num="1">
            <w:col w:w="10219"/>
          </w:cols>
          <w:pgMar w:left="240" w:top="481" w:right="1440" w:bottom="1440" w:gutter="0" w:footer="0" w:header="0"/>
        </w:sectPr>
      </w:pPr>
    </w:p>
    <w:bookmarkStart w:id="93" w:name="page94"/>
    <w:bookmarkEnd w:id="93"/>
    <w:p>
      <w:pPr>
        <w:ind w:left="2200"/>
        <w:spacing w:after="0"/>
        <w:rPr>
          <w:sz w:val="20"/>
          <w:szCs w:val="20"/>
          <w:color w:val="auto"/>
        </w:rPr>
      </w:pPr>
      <w:r>
        <w:rPr>
          <w:rFonts w:ascii="Courier New" w:cs="Courier New" w:eastAsia="Courier New" w:hAnsi="Courier New"/>
          <w:sz w:val="16"/>
          <w:szCs w:val="16"/>
          <w:color w:val="auto"/>
        </w:rPr>
        <w:t>NORTHWEST TEXAS HEALTHCARE SYSTEM</w:t>
      </w:r>
    </w:p>
    <w:p>
      <w:pPr>
        <w:spacing w:after="0" w:line="2"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NOTES TO FINANCIAL STATEMENTS--(CONTINUED)</w:t>
      </w:r>
    </w:p>
    <w:p>
      <w:pPr>
        <w:spacing w:after="0" w:line="2"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YEARS ENDED SEPTEMBER 30, 1994 AND 1995</w:t>
      </w:r>
    </w:p>
    <w:p>
      <w:pPr>
        <w:spacing w:after="0" w:line="2"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AND SIX MONTHS ENDED MARCH 31, 1995 AND 1996 (UNAUDITED)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10--PUBLIC EMPLOYEE RETIREMENT SYSTEM--(CONTINUED)</w:t>
      </w:r>
    </w:p>
    <w:p>
      <w:pPr>
        <w:spacing w:after="0" w:line="5"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Pension provisions include death and disability benefits whereby a vested disabled employee or surviving spouse of a vested employee is entitled to receive monthly benefits (on a ten years certain and life thereafter basis) derived from the greater of (a) the present value amount of the participant's deferred monthly retirement income commencing at normal retirement date as defined in the Plan accrued to the date of death or (b) an amount equal to 24 times the monthly salary on the date of death. Participants who become totally disabled receive monthly disability benefits equal to 50% of monthly salary reduced by 64% of the monthly disability benefit received from Social Security. Disability benefits are paid until normal retirement age, at which time disabled participants begin receiving normal retirement benefits computed as though they had been employed to normal retirement age with their monthly compensation remaining the same as at the time they became disabled.</w:t>
      </w:r>
    </w:p>
    <w:p>
      <w:pPr>
        <w:spacing w:after="0" w:line="192"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The pension benefit obligation shown below is a standardized disclosure measure of the present value of pension benefits, adjusted for the effects of projected salary increases and plan step-rate benefits, estimated to be payable in the future as a result of employee service to date. The measure is intended to help users assess the funding status of the Plan on a going-concern basis, assess progress made in accumulating sufficient assets to pay benefits when due, and make comparisons among employers. The measure is the actuarial present value of credited projected benefits and is independent of the funding method used to determine contributions to the Plan.</w:t>
      </w:r>
    </w:p>
    <w:p>
      <w:pPr>
        <w:spacing w:after="0" w:line="189"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Actuarial valuations were performed as of October 1, 1994 and 1995 to determine the pension benefit obligation and contribution requirements for the subsequent fiscal year. Significant actuarial assumptions used in the valuations include (a) a rate of return on the investment of present and future assets of 8% compounded annually and (b) projected salary increases of 5% compounded annually.</w:t>
      </w:r>
    </w:p>
    <w:p>
      <w:pPr>
        <w:spacing w:after="0" w:line="187" w:lineRule="exact"/>
        <w:rPr>
          <w:sz w:val="20"/>
          <w:szCs w:val="20"/>
          <w:color w:val="auto"/>
        </w:rPr>
      </w:pPr>
    </w:p>
    <w:p>
      <w:pPr>
        <w:ind w:right="2779" w:firstLine="382"/>
        <w:spacing w:after="0" w:line="239" w:lineRule="auto"/>
        <w:rPr>
          <w:sz w:val="20"/>
          <w:szCs w:val="20"/>
          <w:color w:val="auto"/>
        </w:rPr>
      </w:pPr>
      <w:r>
        <w:rPr>
          <w:rFonts w:ascii="Courier New" w:cs="Courier New" w:eastAsia="Courier New" w:hAnsi="Courier New"/>
          <w:sz w:val="16"/>
          <w:szCs w:val="16"/>
          <w:color w:val="auto"/>
        </w:rPr>
        <w:t>The unfunded pension benefit obligation applicable to covered employees as of October 1, 1994 and 1995 follow: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820" w:type="dxa"/>
            <w:vAlign w:val="bottom"/>
          </w:tcPr>
          <w:p>
            <w:pPr>
              <w:spacing w:after="0"/>
              <w:rPr>
                <w:sz w:val="15"/>
                <w:szCs w:val="15"/>
                <w:color w:val="auto"/>
              </w:rPr>
            </w:pPr>
          </w:p>
        </w:tc>
        <w:tc>
          <w:tcPr>
            <w:tcW w:w="14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1994</w:t>
            </w:r>
          </w:p>
        </w:tc>
        <w:tc>
          <w:tcPr>
            <w:tcW w:w="13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1995</w:t>
            </w:r>
          </w:p>
        </w:tc>
      </w:tr>
      <w:tr>
        <w:trPr>
          <w:trHeight w:val="183"/>
        </w:trPr>
        <w:tc>
          <w:tcPr>
            <w:tcW w:w="4820" w:type="dxa"/>
            <w:vAlign w:val="bottom"/>
          </w:tcPr>
          <w:p>
            <w:pPr>
              <w:spacing w:after="0"/>
              <w:rPr>
                <w:sz w:val="15"/>
                <w:szCs w:val="15"/>
                <w:color w:val="auto"/>
              </w:rPr>
            </w:pP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820" w:type="dxa"/>
            <w:vAlign w:val="bottom"/>
          </w:tcPr>
          <w:p>
            <w:pPr>
              <w:jc w:val="right"/>
              <w:ind w:right="2161"/>
              <w:spacing w:after="0"/>
              <w:rPr>
                <w:sz w:val="20"/>
                <w:szCs w:val="20"/>
                <w:color w:val="auto"/>
              </w:rPr>
            </w:pPr>
            <w:r>
              <w:rPr>
                <w:rFonts w:ascii="Courier New" w:cs="Courier New" w:eastAsia="Courier New" w:hAnsi="Courier New"/>
                <w:sz w:val="16"/>
                <w:szCs w:val="16"/>
                <w:color w:val="auto"/>
                <w:w w:val="98"/>
              </w:rPr>
              <w:t>Pension benefit obligation:</w:t>
            </w:r>
          </w:p>
        </w:tc>
        <w:tc>
          <w:tcPr>
            <w:tcW w:w="142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3"/>
        </w:trPr>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Retirees and beneficiaries currently receiving</w:t>
            </w:r>
          </w:p>
        </w:tc>
        <w:tc>
          <w:tcPr>
            <w:tcW w:w="142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3"/>
        </w:trPr>
        <w:tc>
          <w:tcPr>
            <w:tcW w:w="482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benefits and terminated employees not yet</w:t>
            </w:r>
          </w:p>
        </w:tc>
        <w:tc>
          <w:tcPr>
            <w:tcW w:w="142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3"/>
        </w:trPr>
        <w:tc>
          <w:tcPr>
            <w:tcW w:w="48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9"/>
              </w:rPr>
              <w:t>receiving benefits...............................</w:t>
            </w: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$ 6,669,829</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$ 8,799,882</w:t>
            </w:r>
          </w:p>
        </w:tc>
      </w:tr>
      <w:tr>
        <w:trPr>
          <w:trHeight w:val="183"/>
        </w:trPr>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Current employees:</w:t>
            </w:r>
          </w:p>
        </w:tc>
        <w:tc>
          <w:tcPr>
            <w:tcW w:w="142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3"/>
        </w:trPr>
        <w:tc>
          <w:tcPr>
            <w:tcW w:w="48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Employer-financed--vested....................</w:t>
            </w: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11,206,082</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8,708,252</w:t>
            </w:r>
          </w:p>
        </w:tc>
      </w:tr>
      <w:tr>
        <w:trPr>
          <w:trHeight w:val="183"/>
        </w:trPr>
        <w:tc>
          <w:tcPr>
            <w:tcW w:w="48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Employer-financed--nonvested.................</w:t>
            </w: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3,582,081</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5,862,522</w:t>
            </w:r>
          </w:p>
        </w:tc>
      </w:tr>
      <w:tr>
        <w:trPr>
          <w:trHeight w:val="183"/>
        </w:trPr>
        <w:tc>
          <w:tcPr>
            <w:tcW w:w="4820" w:type="dxa"/>
            <w:vAlign w:val="bottom"/>
          </w:tcPr>
          <w:p>
            <w:pPr>
              <w:spacing w:after="0"/>
              <w:rPr>
                <w:sz w:val="15"/>
                <w:szCs w:val="15"/>
                <w:color w:val="auto"/>
              </w:rPr>
            </w:pP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8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Total pension benefit obligation...........</w:t>
            </w: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21,457,992</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23,370,656</w:t>
            </w:r>
          </w:p>
        </w:tc>
      </w:tr>
      <w:tr>
        <w:trPr>
          <w:trHeight w:val="183"/>
        </w:trPr>
        <w:tc>
          <w:tcPr>
            <w:tcW w:w="4820" w:type="dxa"/>
            <w:vAlign w:val="bottom"/>
          </w:tcPr>
          <w:p>
            <w:pPr>
              <w:spacing w:after="0"/>
              <w:rPr>
                <w:sz w:val="15"/>
                <w:szCs w:val="15"/>
                <w:color w:val="auto"/>
              </w:rPr>
            </w:pP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8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Net assets available for benefits, at market...</w:t>
            </w:r>
          </w:p>
        </w:tc>
        <w:tc>
          <w:tcPr>
            <w:tcW w:w="14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(17,929,269)</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(20,806,792)</w:t>
            </w:r>
          </w:p>
        </w:tc>
      </w:tr>
      <w:tr>
        <w:trPr>
          <w:trHeight w:val="183"/>
        </w:trPr>
        <w:tc>
          <w:tcPr>
            <w:tcW w:w="4820" w:type="dxa"/>
            <w:vAlign w:val="bottom"/>
          </w:tcPr>
          <w:p>
            <w:pPr>
              <w:spacing w:after="0"/>
              <w:rPr>
                <w:sz w:val="15"/>
                <w:szCs w:val="15"/>
                <w:color w:val="auto"/>
              </w:rPr>
            </w:pP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8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9"/>
              </w:rPr>
              <w:t>UNFUNDED PENSION BENEFIT OBLIGATION..............</w:t>
            </w: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$ 3,528,723</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$ 2,563,864</w:t>
            </w:r>
          </w:p>
        </w:tc>
      </w:tr>
      <w:tr>
        <w:trPr>
          <w:trHeight w:val="183"/>
        </w:trPr>
        <w:tc>
          <w:tcPr>
            <w:tcW w:w="4820" w:type="dxa"/>
            <w:vAlign w:val="bottom"/>
          </w:tcPr>
          <w:p>
            <w:pPr>
              <w:spacing w:after="0"/>
              <w:rPr>
                <w:sz w:val="15"/>
                <w:szCs w:val="15"/>
                <w:color w:val="auto"/>
              </w:rPr>
            </w:pP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820" w:type="dxa"/>
            <w:vAlign w:val="bottom"/>
          </w:tcPr>
          <w:p>
            <w:pPr>
              <w:spacing w:after="0"/>
              <w:rPr>
                <w:sz w:val="15"/>
                <w:szCs w:val="15"/>
                <w:color w:val="auto"/>
              </w:rPr>
            </w:pP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ACTUARIALLY DETERMINED CONTRIBUTION REQUIREMENTS AND CONTRIBUTION MADE</w:t>
      </w:r>
    </w:p>
    <w:p>
      <w:pPr>
        <w:spacing w:after="0" w:line="188" w:lineRule="exact"/>
        <w:rPr>
          <w:sz w:val="20"/>
          <w:szCs w:val="20"/>
          <w:color w:val="auto"/>
        </w:rPr>
      </w:pPr>
    </w:p>
    <w:p>
      <w:pPr>
        <w:ind w:right="2599" w:firstLine="382"/>
        <w:spacing w:after="0" w:line="263" w:lineRule="auto"/>
        <w:rPr>
          <w:sz w:val="20"/>
          <w:szCs w:val="20"/>
          <w:color w:val="auto"/>
        </w:rPr>
      </w:pPr>
      <w:r>
        <w:rPr>
          <w:rFonts w:ascii="Courier New" w:cs="Courier New" w:eastAsia="Courier New" w:hAnsi="Courier New"/>
          <w:sz w:val="15"/>
          <w:szCs w:val="15"/>
          <w:color w:val="auto"/>
        </w:rPr>
        <w:t>The Plan provides that all contributions are to be made by the Hospital. The Hospital intends, but is not required, to make annual contributions at least equal to the actuarially determined contribution requirements. Contributions attributable to normal cost and amortization of the unfunded actuarial</w:t>
      </w:r>
    </w:p>
    <w:p>
      <w:pPr>
        <w:spacing w:after="0" w:line="16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F-44</w:t>
      </w:r>
    </w:p>
    <w:p>
      <w:pPr>
        <w:sectPr>
          <w:pgSz w:w="11900" w:h="16838" w:orient="portrait"/>
          <w:cols w:equalWidth="0" w:num="1">
            <w:col w:w="10219"/>
          </w:cols>
          <w:pgMar w:left="240" w:top="481" w:right="1440" w:bottom="1440" w:gutter="0" w:footer="0" w:header="0"/>
        </w:sectPr>
      </w:pPr>
    </w:p>
    <w:bookmarkStart w:id="94" w:name="page95"/>
    <w:bookmarkEnd w:id="94"/>
    <w:p>
      <w:pPr>
        <w:ind w:left="2200"/>
        <w:spacing w:after="0"/>
        <w:rPr>
          <w:sz w:val="20"/>
          <w:szCs w:val="20"/>
          <w:color w:val="auto"/>
        </w:rPr>
      </w:pPr>
      <w:r>
        <w:rPr>
          <w:rFonts w:ascii="Courier New" w:cs="Courier New" w:eastAsia="Courier New" w:hAnsi="Courier New"/>
          <w:sz w:val="16"/>
          <w:szCs w:val="16"/>
          <w:color w:val="auto"/>
        </w:rPr>
        <w:t>NORTHWEST TEXAS HEALTHCARE SYSTEM</w:t>
      </w:r>
    </w:p>
    <w:p>
      <w:pPr>
        <w:spacing w:after="0" w:line="2"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NOTES TO FINANCIAL STATEMENTS--(CONTINUED)</w:t>
      </w:r>
    </w:p>
    <w:p>
      <w:pPr>
        <w:spacing w:after="0" w:line="2"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YEARS ENDED SEPTEMBER 30, 1994 AND 1995</w:t>
      </w:r>
    </w:p>
    <w:p>
      <w:pPr>
        <w:spacing w:after="0" w:line="2"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AND SIX MONTHS ENDED MARCH 31, 1995 AND 1996 (UNAUDITED)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10--PUBLIC EMPLOYEE RETIREMENT SYSTEM--(CONTINUED)</w:t>
      </w:r>
    </w:p>
    <w:p>
      <w:pPr>
        <w:spacing w:after="0" w:line="5" w:lineRule="exact"/>
        <w:rPr>
          <w:sz w:val="20"/>
          <w:szCs w:val="20"/>
          <w:color w:val="auto"/>
        </w:rPr>
      </w:pPr>
    </w:p>
    <w:p>
      <w:pPr>
        <w:ind w:right="2779"/>
        <w:spacing w:after="0" w:line="239" w:lineRule="auto"/>
        <w:rPr>
          <w:sz w:val="20"/>
          <w:szCs w:val="20"/>
          <w:color w:val="auto"/>
        </w:rPr>
      </w:pPr>
      <w:r>
        <w:rPr>
          <w:rFonts w:ascii="Courier New" w:cs="Courier New" w:eastAsia="Courier New" w:hAnsi="Courier New"/>
          <w:sz w:val="16"/>
          <w:szCs w:val="16"/>
          <w:color w:val="auto"/>
        </w:rPr>
        <w:t>accrued liability are determined using the entry-age-normal cost method over a 20-year amortization period.</w:t>
      </w:r>
    </w:p>
    <w:p>
      <w:pPr>
        <w:spacing w:after="0" w:line="189" w:lineRule="exact"/>
        <w:rPr>
          <w:sz w:val="20"/>
          <w:szCs w:val="20"/>
          <w:color w:val="auto"/>
        </w:rPr>
      </w:pPr>
    </w:p>
    <w:p>
      <w:pPr>
        <w:ind w:right="2599" w:firstLine="382"/>
        <w:spacing w:after="0" w:line="241" w:lineRule="auto"/>
        <w:rPr>
          <w:sz w:val="20"/>
          <w:szCs w:val="20"/>
          <w:color w:val="auto"/>
        </w:rPr>
      </w:pPr>
      <w:r>
        <w:rPr>
          <w:rFonts w:ascii="Courier New" w:cs="Courier New" w:eastAsia="Courier New" w:hAnsi="Courier New"/>
          <w:sz w:val="16"/>
          <w:szCs w:val="16"/>
          <w:color w:val="auto"/>
        </w:rPr>
        <w:t>The contributions to the Plan for the years ended September 30, 1994 and 1995 were made in accordance with actuarially determined requirements computed in the actuarial valuations completed as of October 1, 1993 and January 1, 1994, respectively.</w:t>
      </w: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4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1994</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1995</w:t>
            </w:r>
          </w:p>
        </w:tc>
        <w:tc>
          <w:tcPr>
            <w:tcW w:w="620" w:type="dxa"/>
            <w:vAlign w:val="bottom"/>
          </w:tcPr>
          <w:p>
            <w:pPr>
              <w:spacing w:after="0"/>
              <w:rPr>
                <w:sz w:val="15"/>
                <w:szCs w:val="15"/>
                <w:color w:val="auto"/>
              </w:rPr>
            </w:pPr>
          </w:p>
        </w:tc>
      </w:tr>
      <w:tr>
        <w:trPr>
          <w:trHeight w:val="183"/>
        </w:trPr>
        <w:tc>
          <w:tcPr>
            <w:tcW w:w="5440" w:type="dxa"/>
            <w:vAlign w:val="bottom"/>
          </w:tcPr>
          <w:p>
            <w:pPr>
              <w:spacing w:after="0"/>
              <w:rPr>
                <w:sz w:val="15"/>
                <w:szCs w:val="15"/>
                <w:color w:val="auto"/>
              </w:rPr>
            </w:pPr>
          </w:p>
        </w:tc>
        <w:tc>
          <w:tcPr>
            <w:tcW w:w="23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367"/>
        </w:trPr>
        <w:tc>
          <w:tcPr>
            <w:tcW w:w="5440" w:type="dxa"/>
            <w:vAlign w:val="bottom"/>
          </w:tcPr>
          <w:p>
            <w:pPr>
              <w:spacing w:after="0"/>
              <w:rPr>
                <w:sz w:val="20"/>
                <w:szCs w:val="20"/>
                <w:color w:val="auto"/>
              </w:rPr>
            </w:pPr>
            <w:r>
              <w:rPr>
                <w:rFonts w:ascii="Courier New" w:cs="Courier New" w:eastAsia="Courier New" w:hAnsi="Courier New"/>
                <w:sz w:val="16"/>
                <w:szCs w:val="16"/>
                <w:color w:val="auto"/>
              </w:rPr>
              <w:t>Employer contributions:</w:t>
            </w: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83"/>
        </w:trPr>
        <w:tc>
          <w:tcPr>
            <w:tcW w:w="5440" w:type="dxa"/>
            <w:vAlign w:val="bottom"/>
          </w:tcPr>
          <w:p>
            <w:pPr>
              <w:ind w:left="180"/>
              <w:spacing w:after="0"/>
              <w:rPr>
                <w:sz w:val="20"/>
                <w:szCs w:val="20"/>
                <w:color w:val="auto"/>
              </w:rPr>
            </w:pPr>
            <w:r>
              <w:rPr>
                <w:rFonts w:ascii="Courier New" w:cs="Courier New" w:eastAsia="Courier New" w:hAnsi="Courier New"/>
                <w:sz w:val="16"/>
                <w:szCs w:val="16"/>
                <w:color w:val="auto"/>
                <w:w w:val="86"/>
              </w:rPr>
              <w:t>Normal cost....................................................</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1,330,503</w:t>
            </w:r>
          </w:p>
        </w:tc>
        <w:tc>
          <w:tcPr>
            <w:tcW w:w="1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$ 1,564,405</w:t>
            </w:r>
          </w:p>
        </w:tc>
      </w:tr>
      <w:tr>
        <w:trPr>
          <w:trHeight w:val="183"/>
        </w:trPr>
        <w:tc>
          <w:tcPr>
            <w:tcW w:w="65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Amortization of unfunded actuarial accrued liability...........</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819,085</w:t>
            </w:r>
          </w:p>
        </w:tc>
        <w:tc>
          <w:tcPr>
            <w:tcW w:w="1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693,123</w:t>
            </w:r>
          </w:p>
        </w:tc>
      </w:tr>
      <w:tr>
        <w:trPr>
          <w:trHeight w:val="183"/>
        </w:trPr>
        <w:tc>
          <w:tcPr>
            <w:tcW w:w="5440" w:type="dxa"/>
            <w:vAlign w:val="bottom"/>
          </w:tcPr>
          <w:p>
            <w:pPr>
              <w:spacing w:after="0"/>
              <w:rPr>
                <w:sz w:val="15"/>
                <w:szCs w:val="15"/>
                <w:color w:val="auto"/>
              </w:rPr>
            </w:pPr>
          </w:p>
        </w:tc>
        <w:tc>
          <w:tcPr>
            <w:tcW w:w="23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3"/>
        </w:trPr>
        <w:tc>
          <w:tcPr>
            <w:tcW w:w="5440" w:type="dxa"/>
            <w:vAlign w:val="bottom"/>
          </w:tcPr>
          <w:p>
            <w:pPr>
              <w:ind w:left="580"/>
              <w:spacing w:after="0"/>
              <w:rPr>
                <w:sz w:val="20"/>
                <w:szCs w:val="20"/>
                <w:color w:val="auto"/>
              </w:rPr>
            </w:pPr>
            <w:r>
              <w:rPr>
                <w:rFonts w:ascii="Courier New" w:cs="Courier New" w:eastAsia="Courier New" w:hAnsi="Courier New"/>
                <w:sz w:val="16"/>
                <w:szCs w:val="16"/>
                <w:color w:val="auto"/>
                <w:w w:val="85"/>
              </w:rPr>
              <w:t>Total contributions........................................</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2,149,588</w:t>
            </w:r>
          </w:p>
        </w:tc>
        <w:tc>
          <w:tcPr>
            <w:tcW w:w="1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$ 2,257,528</w:t>
            </w:r>
          </w:p>
        </w:tc>
      </w:tr>
      <w:tr>
        <w:trPr>
          <w:trHeight w:val="183"/>
        </w:trPr>
        <w:tc>
          <w:tcPr>
            <w:tcW w:w="5440" w:type="dxa"/>
            <w:vAlign w:val="bottom"/>
          </w:tcPr>
          <w:p>
            <w:pPr>
              <w:spacing w:after="0"/>
              <w:rPr>
                <w:sz w:val="15"/>
                <w:szCs w:val="15"/>
                <w:color w:val="auto"/>
              </w:rPr>
            </w:pPr>
          </w:p>
        </w:tc>
        <w:tc>
          <w:tcPr>
            <w:tcW w:w="23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3"/>
        </w:trPr>
        <w:tc>
          <w:tcPr>
            <w:tcW w:w="5440" w:type="dxa"/>
            <w:vAlign w:val="bottom"/>
          </w:tcPr>
          <w:p>
            <w:pPr>
              <w:spacing w:after="0"/>
              <w:rPr>
                <w:sz w:val="15"/>
                <w:szCs w:val="15"/>
                <w:color w:val="auto"/>
              </w:rPr>
            </w:pPr>
          </w:p>
        </w:tc>
        <w:tc>
          <w:tcPr>
            <w:tcW w:w="23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3"/>
        </w:trPr>
        <w:tc>
          <w:tcPr>
            <w:tcW w:w="5440" w:type="dxa"/>
            <w:vAlign w:val="bottom"/>
          </w:tcPr>
          <w:p>
            <w:pPr>
              <w:spacing w:after="0"/>
              <w:rPr>
                <w:sz w:val="20"/>
                <w:szCs w:val="20"/>
                <w:color w:val="auto"/>
              </w:rPr>
            </w:pPr>
            <w:r>
              <w:rPr>
                <w:rFonts w:ascii="Courier New" w:cs="Courier New" w:eastAsia="Courier New" w:hAnsi="Courier New"/>
                <w:sz w:val="16"/>
                <w:szCs w:val="16"/>
                <w:color w:val="auto"/>
                <w:w w:val="86"/>
              </w:rPr>
              <w:t>Covered payroll..................................................</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7"/>
              </w:rPr>
              <w:t>37,323,623</w:t>
            </w:r>
          </w:p>
        </w:tc>
        <w:tc>
          <w:tcPr>
            <w:tcW w:w="1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$37,906,409</w:t>
            </w:r>
          </w:p>
        </w:tc>
      </w:tr>
      <w:tr>
        <w:trPr>
          <w:trHeight w:val="183"/>
        </w:trPr>
        <w:tc>
          <w:tcPr>
            <w:tcW w:w="5440" w:type="dxa"/>
            <w:vAlign w:val="bottom"/>
          </w:tcPr>
          <w:p>
            <w:pPr>
              <w:spacing w:after="0"/>
              <w:rPr>
                <w:sz w:val="15"/>
                <w:szCs w:val="15"/>
                <w:color w:val="auto"/>
              </w:rPr>
            </w:pPr>
          </w:p>
        </w:tc>
        <w:tc>
          <w:tcPr>
            <w:tcW w:w="23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3"/>
        </w:trPr>
        <w:tc>
          <w:tcPr>
            <w:tcW w:w="5440" w:type="dxa"/>
            <w:vAlign w:val="bottom"/>
          </w:tcPr>
          <w:p>
            <w:pPr>
              <w:spacing w:after="0"/>
              <w:rPr>
                <w:sz w:val="15"/>
                <w:szCs w:val="15"/>
                <w:color w:val="auto"/>
              </w:rPr>
            </w:pPr>
          </w:p>
        </w:tc>
        <w:tc>
          <w:tcPr>
            <w:tcW w:w="23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3"/>
        </w:trPr>
        <w:tc>
          <w:tcPr>
            <w:tcW w:w="5440" w:type="dxa"/>
            <w:vAlign w:val="bottom"/>
          </w:tcPr>
          <w:p>
            <w:pPr>
              <w:spacing w:after="0"/>
              <w:rPr>
                <w:sz w:val="20"/>
                <w:szCs w:val="20"/>
                <w:color w:val="auto"/>
              </w:rPr>
            </w:pPr>
            <w:r>
              <w:rPr>
                <w:rFonts w:ascii="Courier New" w:cs="Courier New" w:eastAsia="Courier New" w:hAnsi="Courier New"/>
                <w:sz w:val="16"/>
                <w:szCs w:val="16"/>
                <w:color w:val="auto"/>
                <w:w w:val="99"/>
              </w:rPr>
              <w:t>Employer contributions as a percentage of covered payroll</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6"/>
              </w:rPr>
              <w:t>........</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5.8%</w:t>
            </w:r>
          </w:p>
        </w:tc>
        <w:tc>
          <w:tcPr>
            <w:tcW w:w="800" w:type="dxa"/>
            <w:vAlign w:val="bottom"/>
          </w:tcPr>
          <w:p>
            <w:pPr>
              <w:spacing w:after="0"/>
              <w:rPr>
                <w:sz w:val="15"/>
                <w:szCs w:val="15"/>
                <w:color w:val="auto"/>
              </w:rPr>
            </w:pPr>
          </w:p>
        </w:tc>
        <w:tc>
          <w:tcPr>
            <w:tcW w:w="6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6.0%</w:t>
            </w:r>
          </w:p>
        </w:tc>
      </w:tr>
      <w:tr>
        <w:trPr>
          <w:trHeight w:val="183"/>
        </w:trPr>
        <w:tc>
          <w:tcPr>
            <w:tcW w:w="5440" w:type="dxa"/>
            <w:vAlign w:val="bottom"/>
          </w:tcPr>
          <w:p>
            <w:pPr>
              <w:spacing w:after="0"/>
              <w:rPr>
                <w:sz w:val="15"/>
                <w:szCs w:val="15"/>
                <w:color w:val="auto"/>
              </w:rPr>
            </w:pPr>
          </w:p>
        </w:tc>
        <w:tc>
          <w:tcPr>
            <w:tcW w:w="23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3"/>
        </w:trPr>
        <w:tc>
          <w:tcPr>
            <w:tcW w:w="5440" w:type="dxa"/>
            <w:vAlign w:val="bottom"/>
          </w:tcPr>
          <w:p>
            <w:pPr>
              <w:spacing w:after="0"/>
              <w:rPr>
                <w:sz w:val="15"/>
                <w:szCs w:val="15"/>
                <w:color w:val="auto"/>
              </w:rPr>
            </w:pPr>
          </w:p>
        </w:tc>
        <w:tc>
          <w:tcPr>
            <w:tcW w:w="23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3"/>
        </w:trPr>
        <w:tc>
          <w:tcPr>
            <w:tcW w:w="6580" w:type="dxa"/>
            <w:vAlign w:val="bottom"/>
            <w:gridSpan w:val="2"/>
          </w:tcPr>
          <w:p>
            <w:pPr>
              <w:spacing w:after="0"/>
              <w:rPr>
                <w:sz w:val="20"/>
                <w:szCs w:val="20"/>
                <w:color w:val="auto"/>
              </w:rPr>
            </w:pPr>
            <w:r>
              <w:rPr>
                <w:rFonts w:ascii="Courier New" w:cs="Courier New" w:eastAsia="Courier New" w:hAnsi="Courier New"/>
                <w:sz w:val="16"/>
                <w:szCs w:val="16"/>
                <w:color w:val="auto"/>
              </w:rPr>
              <w:t>TOTAL PAYROLL, EXCLUDING HEALTH INSURANCE, PENSION COSTS AND</w:t>
            </w:r>
          </w:p>
        </w:tc>
        <w:tc>
          <w:tcPr>
            <w:tcW w:w="1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3"/>
        </w:trPr>
        <w:tc>
          <w:tcPr>
            <w:tcW w:w="5440" w:type="dxa"/>
            <w:vAlign w:val="bottom"/>
          </w:tcPr>
          <w:p>
            <w:pPr>
              <w:ind w:left="180"/>
              <w:spacing w:after="0"/>
              <w:rPr>
                <w:sz w:val="20"/>
                <w:szCs w:val="20"/>
                <w:color w:val="auto"/>
              </w:rPr>
            </w:pPr>
            <w:r>
              <w:rPr>
                <w:rFonts w:ascii="Courier New" w:cs="Courier New" w:eastAsia="Courier New" w:hAnsi="Courier New"/>
                <w:sz w:val="16"/>
                <w:szCs w:val="16"/>
                <w:color w:val="auto"/>
                <w:w w:val="86"/>
              </w:rPr>
              <w:t>OTHER EMPLOYEE BENEFITS........................................</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7"/>
              </w:rPr>
              <w:t>51,589,000</w:t>
            </w:r>
          </w:p>
        </w:tc>
        <w:tc>
          <w:tcPr>
            <w:tcW w:w="1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$51,673,000</w:t>
            </w:r>
          </w:p>
        </w:tc>
      </w:tr>
      <w:tr>
        <w:trPr>
          <w:trHeight w:val="183"/>
        </w:trPr>
        <w:tc>
          <w:tcPr>
            <w:tcW w:w="5440" w:type="dxa"/>
            <w:vAlign w:val="bottom"/>
          </w:tcPr>
          <w:p>
            <w:pPr>
              <w:spacing w:after="0"/>
              <w:rPr>
                <w:sz w:val="15"/>
                <w:szCs w:val="15"/>
                <w:color w:val="auto"/>
              </w:rPr>
            </w:pPr>
          </w:p>
        </w:tc>
        <w:tc>
          <w:tcPr>
            <w:tcW w:w="23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3"/>
        </w:trPr>
        <w:tc>
          <w:tcPr>
            <w:tcW w:w="5440" w:type="dxa"/>
            <w:vAlign w:val="bottom"/>
          </w:tcPr>
          <w:p>
            <w:pPr>
              <w:spacing w:after="0"/>
              <w:rPr>
                <w:sz w:val="15"/>
                <w:szCs w:val="15"/>
                <w:color w:val="auto"/>
              </w:rPr>
            </w:pPr>
          </w:p>
        </w:tc>
        <w:tc>
          <w:tcPr>
            <w:tcW w:w="23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550"/>
        </w:trPr>
        <w:tc>
          <w:tcPr>
            <w:tcW w:w="7820" w:type="dxa"/>
            <w:vAlign w:val="bottom"/>
            <w:gridSpan w:val="3"/>
          </w:tcPr>
          <w:p>
            <w:pPr>
              <w:ind w:left="380"/>
              <w:spacing w:after="0"/>
              <w:rPr>
                <w:sz w:val="20"/>
                <w:szCs w:val="20"/>
                <w:color w:val="auto"/>
              </w:rPr>
            </w:pPr>
            <w:r>
              <w:rPr>
                <w:rFonts w:ascii="Courier New" w:cs="Courier New" w:eastAsia="Courier New" w:hAnsi="Courier New"/>
                <w:sz w:val="16"/>
                <w:szCs w:val="16"/>
                <w:color w:val="auto"/>
              </w:rPr>
              <w:t>The significant actuarial assumptions used to compute the actuarially</w:t>
            </w: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83"/>
        </w:trPr>
        <w:tc>
          <w:tcPr>
            <w:tcW w:w="7820" w:type="dxa"/>
            <w:vAlign w:val="bottom"/>
            <w:gridSpan w:val="3"/>
          </w:tcPr>
          <w:p>
            <w:pPr>
              <w:spacing w:after="0"/>
              <w:rPr>
                <w:sz w:val="20"/>
                <w:szCs w:val="20"/>
                <w:color w:val="auto"/>
              </w:rPr>
            </w:pPr>
            <w:r>
              <w:rPr>
                <w:rFonts w:ascii="Courier New" w:cs="Courier New" w:eastAsia="Courier New" w:hAnsi="Courier New"/>
                <w:sz w:val="16"/>
                <w:szCs w:val="16"/>
                <w:color w:val="auto"/>
              </w:rPr>
              <w:t>determined contribution requirement are the same as those used to compute the</w:t>
            </w: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3"/>
        </w:trPr>
        <w:tc>
          <w:tcPr>
            <w:tcW w:w="5440" w:type="dxa"/>
            <w:vAlign w:val="bottom"/>
          </w:tcPr>
          <w:p>
            <w:pPr>
              <w:spacing w:after="0"/>
              <w:rPr>
                <w:sz w:val="20"/>
                <w:szCs w:val="20"/>
                <w:color w:val="auto"/>
              </w:rPr>
            </w:pPr>
            <w:r>
              <w:rPr>
                <w:rFonts w:ascii="Courier New" w:cs="Courier New" w:eastAsia="Courier New" w:hAnsi="Courier New"/>
                <w:sz w:val="16"/>
                <w:szCs w:val="16"/>
                <w:color w:val="auto"/>
              </w:rPr>
              <w:t>pension benefit obligation as described above.</w:t>
            </w:r>
          </w:p>
        </w:tc>
        <w:tc>
          <w:tcPr>
            <w:tcW w:w="1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367"/>
        </w:trPr>
        <w:tc>
          <w:tcPr>
            <w:tcW w:w="5440" w:type="dxa"/>
            <w:vAlign w:val="bottom"/>
          </w:tcPr>
          <w:p>
            <w:pPr>
              <w:spacing w:after="0"/>
              <w:rPr>
                <w:sz w:val="20"/>
                <w:szCs w:val="20"/>
                <w:color w:val="auto"/>
              </w:rPr>
            </w:pPr>
            <w:r>
              <w:rPr>
                <w:rFonts w:ascii="Courier New" w:cs="Courier New" w:eastAsia="Courier New" w:hAnsi="Courier New"/>
                <w:sz w:val="16"/>
                <w:szCs w:val="16"/>
                <w:color w:val="auto"/>
              </w:rPr>
              <w:t>THREE-YEAR HISTORICAL TREND INFORMATION</w:t>
            </w: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67"/>
        </w:trPr>
        <w:tc>
          <w:tcPr>
            <w:tcW w:w="7820" w:type="dxa"/>
            <w:vAlign w:val="bottom"/>
            <w:gridSpan w:val="3"/>
          </w:tcPr>
          <w:p>
            <w:pPr>
              <w:ind w:left="380"/>
              <w:spacing w:after="0"/>
              <w:rPr>
                <w:sz w:val="20"/>
                <w:szCs w:val="20"/>
                <w:color w:val="auto"/>
              </w:rPr>
            </w:pPr>
            <w:r>
              <w:rPr>
                <w:rFonts w:ascii="Courier New" w:cs="Courier New" w:eastAsia="Courier New" w:hAnsi="Courier New"/>
                <w:sz w:val="16"/>
                <w:szCs w:val="16"/>
                <w:color w:val="auto"/>
              </w:rPr>
              <w:t>Trend information gives an indication of the progress made in accumulating</w:t>
            </w: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83"/>
        </w:trPr>
        <w:tc>
          <w:tcPr>
            <w:tcW w:w="7820" w:type="dxa"/>
            <w:vAlign w:val="bottom"/>
            <w:gridSpan w:val="3"/>
          </w:tcPr>
          <w:p>
            <w:pPr>
              <w:spacing w:after="0"/>
              <w:rPr>
                <w:sz w:val="20"/>
                <w:szCs w:val="20"/>
                <w:color w:val="auto"/>
              </w:rPr>
            </w:pPr>
            <w:r>
              <w:rPr>
                <w:rFonts w:ascii="Courier New" w:cs="Courier New" w:eastAsia="Courier New" w:hAnsi="Courier New"/>
                <w:sz w:val="16"/>
                <w:szCs w:val="16"/>
                <w:color w:val="auto"/>
              </w:rPr>
              <w:t>sufficient assets to pay benefits when due. Three-year trend information, for</w:t>
            </w: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3"/>
        </w:trPr>
        <w:tc>
          <w:tcPr>
            <w:tcW w:w="7820" w:type="dxa"/>
            <w:vAlign w:val="bottom"/>
            <w:gridSpan w:val="3"/>
          </w:tcPr>
          <w:p>
            <w:pPr>
              <w:spacing w:after="0"/>
              <w:rPr>
                <w:sz w:val="20"/>
                <w:szCs w:val="20"/>
                <w:color w:val="auto"/>
              </w:rPr>
            </w:pPr>
            <w:r>
              <w:rPr>
                <w:rFonts w:ascii="Courier New" w:cs="Courier New" w:eastAsia="Courier New" w:hAnsi="Courier New"/>
                <w:sz w:val="16"/>
                <w:szCs w:val="16"/>
                <w:color w:val="auto"/>
              </w:rPr>
              <w:t>the years ended December 31, 1992 and September 30, 1994 and 1995 is presented</w:t>
            </w: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3"/>
        </w:trPr>
        <w:tc>
          <w:tcPr>
            <w:tcW w:w="5440" w:type="dxa"/>
            <w:vAlign w:val="bottom"/>
          </w:tcPr>
          <w:p>
            <w:pPr>
              <w:spacing w:after="0"/>
              <w:rPr>
                <w:sz w:val="20"/>
                <w:szCs w:val="20"/>
                <w:color w:val="auto"/>
              </w:rPr>
            </w:pPr>
            <w:r>
              <w:rPr>
                <w:rFonts w:ascii="Courier New" w:cs="Courier New" w:eastAsia="Courier New" w:hAnsi="Courier New"/>
                <w:sz w:val="16"/>
                <w:szCs w:val="16"/>
                <w:color w:val="auto"/>
              </w:rPr>
              <w:t>as follows:</w:t>
            </w:r>
          </w:p>
        </w:tc>
        <w:tc>
          <w:tcPr>
            <w:tcW w:w="1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734"/>
        </w:trPr>
        <w:tc>
          <w:tcPr>
            <w:tcW w:w="5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1992</w:t>
            </w: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1994</w:t>
            </w:r>
          </w:p>
        </w:tc>
        <w:tc>
          <w:tcPr>
            <w:tcW w:w="6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1995</w:t>
            </w:r>
          </w:p>
        </w:tc>
      </w:tr>
      <w:tr>
        <w:trPr>
          <w:trHeight w:val="183"/>
        </w:trPr>
        <w:tc>
          <w:tcPr>
            <w:tcW w:w="5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7"/>
        </w:trPr>
        <w:tc>
          <w:tcPr>
            <w:tcW w:w="7820" w:type="dxa"/>
            <w:vAlign w:val="bottom"/>
            <w:gridSpan w:val="3"/>
          </w:tcPr>
          <w:p>
            <w:pPr>
              <w:spacing w:after="0"/>
              <w:rPr>
                <w:sz w:val="20"/>
                <w:szCs w:val="20"/>
                <w:color w:val="auto"/>
              </w:rPr>
            </w:pPr>
            <w:r>
              <w:rPr>
                <w:rFonts w:ascii="Courier New" w:cs="Courier New" w:eastAsia="Courier New" w:hAnsi="Courier New"/>
                <w:sz w:val="16"/>
                <w:szCs w:val="16"/>
                <w:color w:val="auto"/>
              </w:rPr>
              <w:t>Net assets available for benefits as a percentage of the pension benefit</w:t>
            </w: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83"/>
        </w:trPr>
        <w:tc>
          <w:tcPr>
            <w:tcW w:w="658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3"/>
              </w:rPr>
              <w:t>obligation.............................................................</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73.2%</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83.5%</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89.0%</w:t>
            </w:r>
          </w:p>
        </w:tc>
      </w:tr>
      <w:tr>
        <w:trPr>
          <w:trHeight w:val="183"/>
        </w:trPr>
        <w:tc>
          <w:tcPr>
            <w:tcW w:w="6580" w:type="dxa"/>
            <w:vAlign w:val="bottom"/>
            <w:gridSpan w:val="2"/>
          </w:tcPr>
          <w:p>
            <w:pPr>
              <w:spacing w:after="0"/>
              <w:rPr>
                <w:sz w:val="20"/>
                <w:szCs w:val="20"/>
                <w:color w:val="auto"/>
              </w:rPr>
            </w:pPr>
            <w:r>
              <w:rPr>
                <w:rFonts w:ascii="Courier New" w:cs="Courier New" w:eastAsia="Courier New" w:hAnsi="Courier New"/>
                <w:sz w:val="16"/>
                <w:szCs w:val="16"/>
                <w:color w:val="auto"/>
                <w:w w:val="99"/>
              </w:rPr>
              <w:t>Unfunded pension benefit obligation as a percentage of annual covered</w:t>
            </w:r>
          </w:p>
        </w:tc>
        <w:tc>
          <w:tcPr>
            <w:tcW w:w="1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3"/>
        </w:trPr>
        <w:tc>
          <w:tcPr>
            <w:tcW w:w="658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3"/>
              </w:rPr>
              <w:t>payroll................................................................</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16.8%</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9.5%</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6.8%</w:t>
            </w:r>
          </w:p>
        </w:tc>
      </w:tr>
      <w:tr>
        <w:trPr>
          <w:trHeight w:val="183"/>
        </w:trPr>
        <w:tc>
          <w:tcPr>
            <w:tcW w:w="6580" w:type="dxa"/>
            <w:vAlign w:val="bottom"/>
            <w:gridSpan w:val="2"/>
          </w:tcPr>
          <w:p>
            <w:pPr>
              <w:spacing w:after="0"/>
              <w:rPr>
                <w:sz w:val="20"/>
                <w:szCs w:val="20"/>
                <w:color w:val="auto"/>
              </w:rPr>
            </w:pPr>
            <w:r>
              <w:rPr>
                <w:rFonts w:ascii="Courier New" w:cs="Courier New" w:eastAsia="Courier New" w:hAnsi="Courier New"/>
                <w:sz w:val="16"/>
                <w:szCs w:val="16"/>
                <w:color w:val="auto"/>
                <w:w w:val="93"/>
              </w:rPr>
              <w:t>Contributions as a percentage of annual covered payroll..................</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5.5%</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5.8%</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6.0%</w:t>
            </w:r>
          </w:p>
        </w:tc>
      </w:tr>
      <w:tr>
        <w:trPr>
          <w:trHeight w:val="550"/>
        </w:trPr>
        <w:tc>
          <w:tcPr>
            <w:tcW w:w="7820" w:type="dxa"/>
            <w:vAlign w:val="bottom"/>
            <w:gridSpan w:val="3"/>
          </w:tcPr>
          <w:p>
            <w:pPr>
              <w:ind w:left="380"/>
              <w:spacing w:after="0"/>
              <w:rPr>
                <w:sz w:val="20"/>
                <w:szCs w:val="20"/>
                <w:color w:val="auto"/>
              </w:rPr>
            </w:pPr>
            <w:r>
              <w:rPr>
                <w:rFonts w:ascii="Courier New" w:cs="Courier New" w:eastAsia="Courier New" w:hAnsi="Courier New"/>
                <w:sz w:val="16"/>
                <w:szCs w:val="16"/>
                <w:color w:val="auto"/>
              </w:rPr>
              <w:t>Historical trend information is disclosed in the Plan's separately issued</w:t>
            </w: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83"/>
        </w:trPr>
        <w:tc>
          <w:tcPr>
            <w:tcW w:w="7820" w:type="dxa"/>
            <w:vAlign w:val="bottom"/>
            <w:gridSpan w:val="3"/>
          </w:tcPr>
          <w:p>
            <w:pPr>
              <w:spacing w:after="0"/>
              <w:rPr>
                <w:sz w:val="20"/>
                <w:szCs w:val="20"/>
                <w:color w:val="auto"/>
              </w:rPr>
            </w:pPr>
            <w:r>
              <w:rPr>
                <w:rFonts w:ascii="Courier New" w:cs="Courier New" w:eastAsia="Courier New" w:hAnsi="Courier New"/>
                <w:sz w:val="16"/>
                <w:szCs w:val="16"/>
                <w:color w:val="auto"/>
              </w:rPr>
              <w:t>financial statements which provides information about progress made in</w:t>
            </w: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3"/>
        </w:trPr>
        <w:tc>
          <w:tcPr>
            <w:tcW w:w="5440" w:type="dxa"/>
            <w:vAlign w:val="bottom"/>
          </w:tcPr>
          <w:p>
            <w:pPr>
              <w:spacing w:after="0"/>
              <w:rPr>
                <w:sz w:val="20"/>
                <w:szCs w:val="20"/>
                <w:color w:val="auto"/>
              </w:rPr>
            </w:pPr>
            <w:r>
              <w:rPr>
                <w:rFonts w:ascii="Courier New" w:cs="Courier New" w:eastAsia="Courier New" w:hAnsi="Courier New"/>
                <w:sz w:val="16"/>
                <w:szCs w:val="16"/>
                <w:color w:val="auto"/>
              </w:rPr>
              <w:t>accumulating sufficient assets to pay benefits when due.</w:t>
            </w:r>
          </w:p>
        </w:tc>
        <w:tc>
          <w:tcPr>
            <w:tcW w:w="1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367"/>
        </w:trPr>
        <w:tc>
          <w:tcPr>
            <w:tcW w:w="5440" w:type="dxa"/>
            <w:vAlign w:val="bottom"/>
          </w:tcPr>
          <w:p>
            <w:pPr>
              <w:spacing w:after="0"/>
              <w:rPr>
                <w:sz w:val="20"/>
                <w:szCs w:val="20"/>
                <w:color w:val="auto"/>
              </w:rPr>
            </w:pPr>
            <w:r>
              <w:rPr>
                <w:rFonts w:ascii="Courier New" w:cs="Courier New" w:eastAsia="Courier New" w:hAnsi="Courier New"/>
                <w:sz w:val="16"/>
                <w:szCs w:val="16"/>
                <w:color w:val="auto"/>
              </w:rPr>
              <w:t>PLAN INVESTMENTS</w:t>
            </w: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67"/>
        </w:trPr>
        <w:tc>
          <w:tcPr>
            <w:tcW w:w="7820" w:type="dxa"/>
            <w:vAlign w:val="bottom"/>
            <w:gridSpan w:val="3"/>
          </w:tcPr>
          <w:p>
            <w:pPr>
              <w:ind w:left="380"/>
              <w:spacing w:after="0"/>
              <w:rPr>
                <w:sz w:val="20"/>
                <w:szCs w:val="20"/>
                <w:color w:val="auto"/>
              </w:rPr>
            </w:pPr>
            <w:r>
              <w:rPr>
                <w:rFonts w:ascii="Courier New" w:cs="Courier New" w:eastAsia="Courier New" w:hAnsi="Courier New"/>
                <w:sz w:val="16"/>
                <w:szCs w:val="16"/>
                <w:color w:val="auto"/>
              </w:rPr>
              <w:t>The composition of the Plan's investment portfolio is diversified among</w:t>
            </w: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83"/>
        </w:trPr>
        <w:tc>
          <w:tcPr>
            <w:tcW w:w="7820" w:type="dxa"/>
            <w:vAlign w:val="bottom"/>
            <w:gridSpan w:val="3"/>
          </w:tcPr>
          <w:p>
            <w:pPr>
              <w:spacing w:after="0"/>
              <w:rPr>
                <w:sz w:val="20"/>
                <w:szCs w:val="20"/>
                <w:color w:val="auto"/>
              </w:rPr>
            </w:pPr>
            <w:r>
              <w:rPr>
                <w:rFonts w:ascii="Courier New" w:cs="Courier New" w:eastAsia="Courier New" w:hAnsi="Courier New"/>
                <w:sz w:val="16"/>
                <w:szCs w:val="16"/>
                <w:color w:val="auto"/>
              </w:rPr>
              <w:t>common trust funds, U.S. government and U.S. government-backed securities,</w:t>
            </w: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3"/>
        </w:trPr>
        <w:tc>
          <w:tcPr>
            <w:tcW w:w="7820" w:type="dxa"/>
            <w:vAlign w:val="bottom"/>
            <w:gridSpan w:val="3"/>
          </w:tcPr>
          <w:p>
            <w:pPr>
              <w:spacing w:after="0"/>
              <w:rPr>
                <w:sz w:val="20"/>
                <w:szCs w:val="20"/>
                <w:color w:val="auto"/>
              </w:rPr>
            </w:pPr>
            <w:r>
              <w:rPr>
                <w:rFonts w:ascii="Courier New" w:cs="Courier New" w:eastAsia="Courier New" w:hAnsi="Courier New"/>
                <w:sz w:val="16"/>
                <w:szCs w:val="16"/>
                <w:color w:val="auto"/>
              </w:rPr>
              <w:t>corporate debt and corporate equity securities. Individual investments greater</w:t>
            </w: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3"/>
        </w:trPr>
        <w:tc>
          <w:tcPr>
            <w:tcW w:w="7820" w:type="dxa"/>
            <w:vAlign w:val="bottom"/>
            <w:gridSpan w:val="3"/>
          </w:tcPr>
          <w:p>
            <w:pPr>
              <w:spacing w:after="0"/>
              <w:rPr>
                <w:sz w:val="20"/>
                <w:szCs w:val="20"/>
                <w:color w:val="auto"/>
              </w:rPr>
            </w:pPr>
            <w:r>
              <w:rPr>
                <w:rFonts w:ascii="Courier New" w:cs="Courier New" w:eastAsia="Courier New" w:hAnsi="Courier New"/>
                <w:sz w:val="16"/>
                <w:szCs w:val="16"/>
                <w:color w:val="auto"/>
              </w:rPr>
              <w:t>than 5% of net assets available for pension benefits as of September 30, 1995</w:t>
            </w: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3"/>
        </w:trPr>
        <w:tc>
          <w:tcPr>
            <w:tcW w:w="5440" w:type="dxa"/>
            <w:vAlign w:val="bottom"/>
          </w:tcPr>
          <w:p>
            <w:pPr>
              <w:spacing w:after="0"/>
              <w:rPr>
                <w:sz w:val="20"/>
                <w:szCs w:val="20"/>
                <w:color w:val="auto"/>
              </w:rPr>
            </w:pPr>
            <w:r>
              <w:rPr>
                <w:rFonts w:ascii="Courier New" w:cs="Courier New" w:eastAsia="Courier New" w:hAnsi="Courier New"/>
                <w:sz w:val="16"/>
                <w:szCs w:val="16"/>
                <w:color w:val="auto"/>
              </w:rPr>
              <w:t>follow:</w:t>
            </w:r>
          </w:p>
        </w:tc>
        <w:tc>
          <w:tcPr>
            <w:tcW w:w="1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367"/>
        </w:trPr>
        <w:tc>
          <w:tcPr>
            <w:tcW w:w="5440" w:type="dxa"/>
            <w:vAlign w:val="bottom"/>
          </w:tcPr>
          <w:p>
            <w:pPr>
              <w:spacing w:after="0"/>
              <w:rPr>
                <w:sz w:val="20"/>
                <w:szCs w:val="20"/>
                <w:color w:val="auto"/>
              </w:rPr>
            </w:pPr>
            <w:r>
              <w:rPr>
                <w:rFonts w:ascii="Courier New" w:cs="Courier New" w:eastAsia="Courier New" w:hAnsi="Courier New"/>
                <w:sz w:val="16"/>
                <w:szCs w:val="16"/>
                <w:color w:val="auto"/>
              </w:rPr>
              <w:t>U.S. Treasury Note....................................</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5"/>
              </w:rPr>
              <w:t>$2,798,435</w:t>
            </w:r>
          </w:p>
        </w:tc>
        <w:tc>
          <w:tcPr>
            <w:tcW w:w="1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83"/>
        </w:trPr>
        <w:tc>
          <w:tcPr>
            <w:tcW w:w="5440" w:type="dxa"/>
            <w:vAlign w:val="bottom"/>
          </w:tcPr>
          <w:p>
            <w:pPr>
              <w:spacing w:after="0"/>
              <w:rPr>
                <w:sz w:val="20"/>
                <w:szCs w:val="20"/>
                <w:color w:val="auto"/>
              </w:rPr>
            </w:pPr>
            <w:r>
              <w:rPr>
                <w:rFonts w:ascii="Courier New" w:cs="Courier New" w:eastAsia="Courier New" w:hAnsi="Courier New"/>
                <w:sz w:val="16"/>
                <w:szCs w:val="16"/>
                <w:color w:val="auto"/>
              </w:rPr>
              <w:t>Collective Employee Benefits Trust Fund J.............</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2,793,216</w:t>
            </w:r>
          </w:p>
        </w:tc>
        <w:tc>
          <w:tcPr>
            <w:tcW w:w="1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367"/>
        </w:trPr>
        <w:tc>
          <w:tcPr>
            <w:tcW w:w="5440" w:type="dxa"/>
            <w:vAlign w:val="bottom"/>
          </w:tcPr>
          <w:p>
            <w:pPr>
              <w:ind w:left="3620"/>
              <w:spacing w:after="0"/>
              <w:rPr>
                <w:sz w:val="20"/>
                <w:szCs w:val="20"/>
                <w:color w:val="auto"/>
              </w:rPr>
            </w:pPr>
            <w:r>
              <w:rPr>
                <w:rFonts w:ascii="Courier New" w:cs="Courier New" w:eastAsia="Courier New" w:hAnsi="Courier New"/>
                <w:sz w:val="16"/>
                <w:szCs w:val="16"/>
                <w:color w:val="auto"/>
              </w:rPr>
              <w:t>F-45</w:t>
            </w: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ectPr>
          <w:pgSz w:w="11900" w:h="16838" w:orient="portrait"/>
          <w:cols w:equalWidth="0" w:num="1">
            <w:col w:w="10219"/>
          </w:cols>
          <w:pgMar w:left="240" w:top="481" w:right="1440" w:bottom="1440" w:gutter="0" w:footer="0" w:header="0"/>
        </w:sectPr>
      </w:pPr>
    </w:p>
    <w:bookmarkStart w:id="95" w:name="page96"/>
    <w:bookmarkEnd w:id="95"/>
    <w:p>
      <w:pPr>
        <w:ind w:left="2200"/>
        <w:spacing w:after="0"/>
        <w:rPr>
          <w:sz w:val="20"/>
          <w:szCs w:val="20"/>
          <w:color w:val="auto"/>
        </w:rPr>
      </w:pPr>
      <w:r>
        <w:rPr>
          <w:rFonts w:ascii="Courier New" w:cs="Courier New" w:eastAsia="Courier New" w:hAnsi="Courier New"/>
          <w:sz w:val="16"/>
          <w:szCs w:val="16"/>
          <w:color w:val="auto"/>
        </w:rPr>
        <w:t>NORTHWEST TEXAS HEALTHCARE SYSTEM</w:t>
      </w:r>
    </w:p>
    <w:p>
      <w:pPr>
        <w:spacing w:after="0" w:line="2"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NOTES TO FINANCIAL STATEMENTS--(CONTINUED)</w:t>
      </w:r>
    </w:p>
    <w:p>
      <w:pPr>
        <w:spacing w:after="0" w:line="2"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YEARS ENDED SEPTEMBER 30, 1994 AND 1995</w:t>
      </w:r>
    </w:p>
    <w:p>
      <w:pPr>
        <w:spacing w:after="0" w:line="2"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AND SIX MONTHS ENDED MARCH 31, 1995 AND 1996 (UNAUDITED)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11--AFFILIATION WITH OTHER PARTIES</w:t>
      </w:r>
    </w:p>
    <w:p>
      <w:pPr>
        <w:spacing w:after="0" w:line="188"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The Hospital is a participant with St. Anthony's Hospital (a not-for-profit organization) in an affiliation to operate Alliance Regional Health Plans, Inc. (Alliance). Alliance, a not-for-profit corporation, was created for the purpose of providing health care services in a cost-effective manner to community residents and employers. Alliance is governed by a twelve-member board composed of four appointees from the District and four appointees from St. Anthony's Hospital. These appointees appoint the other four board members from the community at large. Neither participant has an equity interest in Alliance. Complete financial statements for Alliance can be obtained at the administrative offices at 1500 Coulter, Suite 5, Amarillo, Texas 79106. (See also Note 13 for subsequent event.)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12--COMMITMENTS AND CONTINGENCIES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SELF INSURANCE ARRANGEMENTS</w:t>
      </w:r>
    </w:p>
    <w:p>
      <w:pPr>
        <w:spacing w:after="0" w:line="188" w:lineRule="exact"/>
        <w:rPr>
          <w:sz w:val="20"/>
          <w:szCs w:val="20"/>
          <w:color w:val="auto"/>
        </w:rPr>
      </w:pPr>
    </w:p>
    <w:p>
      <w:pPr>
        <w:ind w:right="2599" w:firstLine="382"/>
        <w:spacing w:after="0" w:line="241" w:lineRule="auto"/>
        <w:rPr>
          <w:sz w:val="20"/>
          <w:szCs w:val="20"/>
          <w:color w:val="auto"/>
        </w:rPr>
      </w:pPr>
      <w:r>
        <w:rPr>
          <w:rFonts w:ascii="Courier New" w:cs="Courier New" w:eastAsia="Courier New" w:hAnsi="Courier New"/>
          <w:sz w:val="16"/>
          <w:szCs w:val="16"/>
          <w:color w:val="auto"/>
        </w:rPr>
        <w:t>The Hospital is involved in litigation arising out of the ordinary course of business. Claims alleging malpractice have been asserted against the Hospital and are currently in various stages of litigation. The Hospital may be liable for settlement of claims up to a limit of $100,000 per person in accordance with the limited liability provisions of the Texas Tort Claims Act.</w:t>
      </w:r>
    </w:p>
    <w:p>
      <w:pPr>
        <w:spacing w:after="0" w:line="190" w:lineRule="exact"/>
        <w:rPr>
          <w:sz w:val="20"/>
          <w:szCs w:val="20"/>
          <w:color w:val="auto"/>
        </w:rPr>
      </w:pPr>
    </w:p>
    <w:p>
      <w:pPr>
        <w:ind w:right="2779" w:firstLine="382"/>
        <w:spacing w:after="0" w:line="239" w:lineRule="auto"/>
        <w:rPr>
          <w:sz w:val="20"/>
          <w:szCs w:val="20"/>
          <w:color w:val="auto"/>
        </w:rPr>
      </w:pPr>
      <w:r>
        <w:rPr>
          <w:rFonts w:ascii="Courier New" w:cs="Courier New" w:eastAsia="Courier New" w:hAnsi="Courier New"/>
          <w:sz w:val="16"/>
          <w:szCs w:val="16"/>
          <w:color w:val="auto"/>
        </w:rPr>
        <w:t>The Hospital self-insures for claims arising from professional malpractice and maintains board-designated assets to provide for such losses.</w:t>
      </w:r>
    </w:p>
    <w:p>
      <w:pPr>
        <w:spacing w:after="0" w:line="189" w:lineRule="exact"/>
        <w:rPr>
          <w:sz w:val="20"/>
          <w:szCs w:val="20"/>
          <w:color w:val="auto"/>
        </w:rPr>
      </w:pPr>
    </w:p>
    <w:p>
      <w:pPr>
        <w:ind w:right="2679" w:firstLine="382"/>
        <w:spacing w:after="0" w:line="241" w:lineRule="auto"/>
        <w:rPr>
          <w:sz w:val="20"/>
          <w:szCs w:val="20"/>
          <w:color w:val="auto"/>
        </w:rPr>
      </w:pPr>
      <w:r>
        <w:rPr>
          <w:rFonts w:ascii="Courier New" w:cs="Courier New" w:eastAsia="Courier New" w:hAnsi="Courier New"/>
          <w:sz w:val="16"/>
          <w:szCs w:val="16"/>
          <w:color w:val="auto"/>
        </w:rPr>
        <w:t>The Hospital self-insures health benefits for employees and eligible dependents and maintains board-designated assets to provide for such losses. Additionally, the Hospital has stop-loss reinsurance that limits the Hospital's liability to approximately $9,115,000 in aggregate per year and $250,000 per individual per year.</w:t>
      </w:r>
    </w:p>
    <w:p>
      <w:pPr>
        <w:spacing w:after="0" w:line="190"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The Hospital provides self-funded workers' compensation benefits for any employee injured or disabled on the job and maintains board-designated assets to provide for such losses. Excess indemnity insurance purchased from an independent third-party insurer limits the Hospital's liability to $500,000 per occurrence. The Hospital used a third-party to administer workers' compensation claims until September 30, 1993. On October 1, 1993, the Hospital began administering workers' compensation claims internally.</w:t>
      </w:r>
    </w:p>
    <w:p>
      <w:pPr>
        <w:spacing w:after="0" w:line="188" w:lineRule="exact"/>
        <w:rPr>
          <w:sz w:val="20"/>
          <w:szCs w:val="20"/>
          <w:color w:val="auto"/>
        </w:rPr>
      </w:pPr>
    </w:p>
    <w:p>
      <w:pPr>
        <w:ind w:right="2879" w:firstLine="382"/>
        <w:spacing w:after="0"/>
        <w:rPr>
          <w:sz w:val="20"/>
          <w:szCs w:val="20"/>
          <w:color w:val="auto"/>
        </w:rPr>
      </w:pPr>
      <w:r>
        <w:rPr>
          <w:rFonts w:ascii="Courier New" w:cs="Courier New" w:eastAsia="Courier New" w:hAnsi="Courier New"/>
          <w:sz w:val="16"/>
          <w:szCs w:val="16"/>
          <w:color w:val="auto"/>
        </w:rPr>
        <w:t>It is the opinion of management that estimated self-insurance costs, including known claims and reserves for incurred but not reported claims, are adequate to provide for potential claims.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PROPOSED SALE OF HOSPITAL</w:t>
      </w:r>
    </w:p>
    <w:p>
      <w:pPr>
        <w:spacing w:after="0" w:line="188" w:lineRule="exact"/>
        <w:rPr>
          <w:sz w:val="20"/>
          <w:szCs w:val="20"/>
          <w:color w:val="auto"/>
        </w:rPr>
      </w:pPr>
    </w:p>
    <w:p>
      <w:pPr>
        <w:ind w:right="2779" w:firstLine="382"/>
        <w:spacing w:after="0" w:line="242" w:lineRule="auto"/>
        <w:rPr>
          <w:sz w:val="20"/>
          <w:szCs w:val="20"/>
          <w:color w:val="auto"/>
        </w:rPr>
      </w:pPr>
      <w:r>
        <w:rPr>
          <w:rFonts w:ascii="Courier New" w:cs="Courier New" w:eastAsia="Courier New" w:hAnsi="Courier New"/>
          <w:sz w:val="16"/>
          <w:szCs w:val="16"/>
          <w:color w:val="auto"/>
        </w:rPr>
        <w:t>On September 26, 1995, the Board of Managers of the District (the Board) signed a nonbinding letter of intent to sell the Hospital to Universal Health Services, Inc. (UHS), a hospital management company based in King of Prussia, Pennsylvania. The transaction was contingent upon completion of due diligence procedures, negotiation of specific terms and approval by the Board and by the Amarillo City Commission, UHS's board of directors and various regulatory agencies. (See Note 13 below.)</w:t>
      </w:r>
    </w:p>
    <w:p>
      <w:pPr>
        <w:spacing w:after="0" w:line="18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F-46</w:t>
      </w:r>
    </w:p>
    <w:p>
      <w:pPr>
        <w:sectPr>
          <w:pgSz w:w="11900" w:h="16838" w:orient="portrait"/>
          <w:cols w:equalWidth="0" w:num="1">
            <w:col w:w="10219"/>
          </w:cols>
          <w:pgMar w:left="240" w:top="481" w:right="1440" w:bottom="1440" w:gutter="0" w:footer="0" w:header="0"/>
        </w:sectPr>
      </w:pPr>
    </w:p>
    <w:bookmarkStart w:id="96" w:name="page97"/>
    <w:bookmarkEnd w:id="96"/>
    <w:p>
      <w:pPr>
        <w:ind w:left="2200"/>
        <w:spacing w:after="0"/>
        <w:rPr>
          <w:sz w:val="20"/>
          <w:szCs w:val="20"/>
          <w:color w:val="auto"/>
        </w:rPr>
      </w:pPr>
      <w:r>
        <w:rPr>
          <w:rFonts w:ascii="Courier New" w:cs="Courier New" w:eastAsia="Courier New" w:hAnsi="Courier New"/>
          <w:sz w:val="16"/>
          <w:szCs w:val="16"/>
          <w:color w:val="auto"/>
        </w:rPr>
        <w:t>NORTHWEST TEXAS HEALTHCARE SYSTEM</w:t>
      </w:r>
    </w:p>
    <w:p>
      <w:pPr>
        <w:spacing w:after="0" w:line="2"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NOTES TO FINANCIAL STATEMENTS--(CONTINUED)</w:t>
      </w:r>
    </w:p>
    <w:p>
      <w:pPr>
        <w:spacing w:after="0" w:line="2"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YEARS ENDED SEPTEMBER 30, 1994 AND 1995</w:t>
      </w:r>
    </w:p>
    <w:p>
      <w:pPr>
        <w:spacing w:after="0" w:line="2"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AND SIX MONTHS ENDED MARCH 31, 1995 AND 1996 (UNAUDITED)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13--SUBSEQUENT EVENTS (UNAUDITED)</w:t>
      </w:r>
    </w:p>
    <w:p>
      <w:pPr>
        <w:spacing w:after="0" w:line="188" w:lineRule="exact"/>
        <w:rPr>
          <w:sz w:val="20"/>
          <w:szCs w:val="20"/>
          <w:color w:val="auto"/>
        </w:rPr>
      </w:pPr>
    </w:p>
    <w:p>
      <w:pPr>
        <w:ind w:right="3359" w:firstLine="382"/>
        <w:spacing w:after="0" w:line="239" w:lineRule="auto"/>
        <w:rPr>
          <w:sz w:val="20"/>
          <w:szCs w:val="20"/>
          <w:color w:val="auto"/>
        </w:rPr>
      </w:pPr>
      <w:r>
        <w:rPr>
          <w:rFonts w:ascii="Courier New" w:cs="Courier New" w:eastAsia="Courier New" w:hAnsi="Courier New"/>
          <w:sz w:val="16"/>
          <w:szCs w:val="16"/>
          <w:color w:val="auto"/>
        </w:rPr>
        <w:t>During April 1996, St. Anthony's Hospital's interest in Alliance was terminated.</w:t>
      </w:r>
    </w:p>
    <w:p>
      <w:pPr>
        <w:spacing w:after="0" w:line="186"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On May 7, 1996, the sale of the Hospital to UHS was completed.</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F-47</w:t>
      </w:r>
    </w:p>
    <w:p>
      <w:pPr>
        <w:sectPr>
          <w:pgSz w:w="11900" w:h="16838" w:orient="portrait"/>
          <w:cols w:equalWidth="0" w:num="1">
            <w:col w:w="10219"/>
          </w:cols>
          <w:pgMar w:left="240" w:top="481" w:right="1440" w:bottom="1440" w:gutter="0" w:footer="0" w:header="0"/>
        </w:sectPr>
      </w:pPr>
    </w:p>
    <w:bookmarkStart w:id="97" w:name="page98"/>
    <w:bookmarkEnd w:id="97"/>
    <w:p>
      <w:pPr>
        <w:ind w:left="182" w:hanging="182"/>
        <w:spacing w:after="0"/>
        <w:tabs>
          <w:tab w:leader="none" w:pos="182"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182" w:hanging="182"/>
        <w:spacing w:after="0"/>
        <w:tabs>
          <w:tab w:leader="none" w:pos="182"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ind w:left="2" w:firstLine="382"/>
        <w:spacing w:after="0" w:line="259" w:lineRule="auto"/>
        <w:rPr>
          <w:sz w:val="20"/>
          <w:szCs w:val="20"/>
          <w:color w:val="auto"/>
        </w:rPr>
      </w:pPr>
      <w:r>
        <w:rPr>
          <w:rFonts w:ascii="Courier New" w:cs="Courier New" w:eastAsia="Courier New" w:hAnsi="Courier New"/>
          <w:sz w:val="15"/>
          <w:szCs w:val="15"/>
          <w:color w:val="auto"/>
        </w:rPr>
        <w:t>NO DEALER, SALESPERSON OR ANY OTHER PERSON HAS BEEN AUTHORIZED TO GIVE ANY INFORMATION OR TO MAKE ANY REPRESENTATIONS OTHER THAN THOSE CONTAINED IN THIS PROSPECTUS IN CONNECTION WITH THE OFFER CONTAINED HEREIN, AND, IF GIVEN OR MADE, SUCH INFORMATION OR REPRESENTATIONS MUST NOT BE RELIED UPON AS HAVING BEEN AUTHORIZED BY THE COMPANY OR ANY OF THE UNDERWRITERS. THIS PROSPECTUS DOES NOT CONSTITUTE AN OFFER OF ANY SECURITIES OTHER THAN THOSE TO WHICH IT RELATES OR AN OFFER TO SELL, OR A SOLICITATION OF AN OFFER TO BUY, THOSE TO WHICH IT RELATES, IN ANY JURISDICTION WHERE, OR TO ANY PERSON TO WHOM, IT IS NOT LAWFUL. THE DELIVERY OF THIS PROSPECTUS AT ANY TIME DOES NOT IMPLY THAT THE INFORMATION HEREIN IS CORRECT AS OF ANY TIME SUBSEQUENT TO ITS DATE.</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522"/>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342"/>
        <w:spacing w:after="0"/>
        <w:rPr>
          <w:sz w:val="20"/>
          <w:szCs w:val="20"/>
          <w:color w:val="auto"/>
        </w:rPr>
      </w:pPr>
      <w:r>
        <w:rPr>
          <w:rFonts w:ascii="Courier New" w:cs="Courier New" w:eastAsia="Courier New" w:hAnsi="Courier New"/>
          <w:sz w:val="16"/>
          <w:szCs w:val="16"/>
          <w:color w:val="auto"/>
        </w:rPr>
        <w:t>TABLE OF CONTENTS</w:t>
      </w:r>
    </w:p>
    <w:p>
      <w:pPr>
        <w:spacing w:after="0" w:line="186" w:lineRule="exact"/>
        <w:rPr>
          <w:sz w:val="20"/>
          <w:szCs w:val="20"/>
          <w:color w:val="auto"/>
        </w:rPr>
      </w:pPr>
    </w:p>
    <w:p>
      <w:pPr>
        <w:ind w:left="3822"/>
        <w:spacing w:after="0"/>
        <w:rPr>
          <w:sz w:val="20"/>
          <w:szCs w:val="20"/>
          <w:color w:val="auto"/>
        </w:rPr>
      </w:pPr>
      <w:r>
        <w:rPr>
          <w:rFonts w:ascii="Courier New" w:cs="Courier New" w:eastAsia="Courier New" w:hAnsi="Courier New"/>
          <w:sz w:val="16"/>
          <w:szCs w:val="16"/>
          <w:color w:val="auto"/>
        </w:rPr>
        <w:t>PAGE</w:t>
      </w:r>
    </w:p>
    <w:p>
      <w:pPr>
        <w:spacing w:after="0" w:line="2" w:lineRule="exact"/>
        <w:rPr>
          <w:sz w:val="20"/>
          <w:szCs w:val="20"/>
          <w:color w:val="auto"/>
        </w:rPr>
      </w:pPr>
    </w:p>
    <w:p>
      <w:pPr>
        <w:ind w:left="3822"/>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2"/>
        <w:spacing w:after="0"/>
        <w:tabs>
          <w:tab w:leader="dot" w:pos="4082" w:val="left"/>
        </w:tabs>
        <w:rPr>
          <w:sz w:val="20"/>
          <w:szCs w:val="20"/>
          <w:color w:val="auto"/>
        </w:rPr>
      </w:pPr>
      <w:r>
        <w:rPr>
          <w:rFonts w:ascii="Courier New" w:cs="Courier New" w:eastAsia="Courier New" w:hAnsi="Courier New"/>
          <w:sz w:val="16"/>
          <w:szCs w:val="16"/>
          <w:color w:val="auto"/>
        </w:rPr>
        <w:t>Available Information</w:t>
      </w:r>
      <w:r>
        <w:rPr>
          <w:sz w:val="20"/>
          <w:szCs w:val="20"/>
          <w:color w:val="auto"/>
        </w:rPr>
        <w:tab/>
      </w:r>
      <w:r>
        <w:rPr>
          <w:rFonts w:ascii="Courier New" w:cs="Courier New" w:eastAsia="Courier New" w:hAnsi="Courier New"/>
          <w:sz w:val="16"/>
          <w:szCs w:val="16"/>
          <w:color w:val="auto"/>
        </w:rPr>
        <w:t>2</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Incorporation of Certain Documents by</w:t>
      </w:r>
    </w:p>
    <w:p>
      <w:pPr>
        <w:spacing w:after="0" w:line="2" w:lineRule="exact"/>
        <w:rPr>
          <w:sz w:val="20"/>
          <w:szCs w:val="20"/>
          <w:color w:val="auto"/>
        </w:rPr>
      </w:pPr>
    </w:p>
    <w:p>
      <w:pPr>
        <w:ind w:left="182"/>
        <w:spacing w:after="0"/>
        <w:tabs>
          <w:tab w:leader="dot" w:pos="4082" w:val="left"/>
        </w:tabs>
        <w:rPr>
          <w:sz w:val="20"/>
          <w:szCs w:val="20"/>
          <w:color w:val="auto"/>
        </w:rPr>
      </w:pPr>
      <w:r>
        <w:rPr>
          <w:rFonts w:ascii="Courier New" w:cs="Courier New" w:eastAsia="Courier New" w:hAnsi="Courier New"/>
          <w:sz w:val="16"/>
          <w:szCs w:val="16"/>
          <w:color w:val="auto"/>
        </w:rPr>
        <w:t>Reference</w:t>
      </w:r>
      <w:r>
        <w:rPr>
          <w:sz w:val="20"/>
          <w:szCs w:val="20"/>
          <w:color w:val="auto"/>
        </w:rPr>
        <w:tab/>
      </w:r>
      <w:r>
        <w:rPr>
          <w:rFonts w:ascii="Courier New" w:cs="Courier New" w:eastAsia="Courier New" w:hAnsi="Courier New"/>
          <w:sz w:val="16"/>
          <w:szCs w:val="16"/>
          <w:color w:val="auto"/>
        </w:rPr>
        <w:t>2</w:t>
      </w:r>
    </w:p>
    <w:p>
      <w:pPr>
        <w:spacing w:after="0" w:line="2" w:lineRule="exact"/>
        <w:rPr>
          <w:sz w:val="20"/>
          <w:szCs w:val="20"/>
          <w:color w:val="auto"/>
        </w:rPr>
      </w:pPr>
    </w:p>
    <w:p>
      <w:pPr>
        <w:ind w:left="2"/>
        <w:spacing w:after="0"/>
        <w:tabs>
          <w:tab w:leader="dot" w:pos="4082" w:val="left"/>
        </w:tabs>
        <w:rPr>
          <w:sz w:val="20"/>
          <w:szCs w:val="20"/>
          <w:color w:val="auto"/>
        </w:rPr>
      </w:pPr>
      <w:r>
        <w:rPr>
          <w:rFonts w:ascii="Courier New" w:cs="Courier New" w:eastAsia="Courier New" w:hAnsi="Courier New"/>
          <w:sz w:val="16"/>
          <w:szCs w:val="16"/>
          <w:color w:val="auto"/>
        </w:rPr>
        <w:t>Prospectus Summary</w:t>
      </w:r>
      <w:r>
        <w:rPr>
          <w:sz w:val="20"/>
          <w:szCs w:val="20"/>
          <w:color w:val="auto"/>
        </w:rPr>
        <w:tab/>
      </w:r>
      <w:r>
        <w:rPr>
          <w:rFonts w:ascii="Courier New" w:cs="Courier New" w:eastAsia="Courier New" w:hAnsi="Courier New"/>
          <w:sz w:val="16"/>
          <w:szCs w:val="16"/>
          <w:color w:val="auto"/>
        </w:rPr>
        <w:t>3</w:t>
      </w:r>
    </w:p>
    <w:p>
      <w:pPr>
        <w:spacing w:after="0" w:line="2" w:lineRule="exact"/>
        <w:rPr>
          <w:sz w:val="20"/>
          <w:szCs w:val="20"/>
          <w:color w:val="auto"/>
        </w:rPr>
      </w:pPr>
    </w:p>
    <w:p>
      <w:pPr>
        <w:ind w:left="2"/>
        <w:spacing w:after="0"/>
        <w:tabs>
          <w:tab w:leader="dot" w:pos="4082" w:val="left"/>
        </w:tabs>
        <w:rPr>
          <w:sz w:val="20"/>
          <w:szCs w:val="20"/>
          <w:color w:val="auto"/>
        </w:rPr>
      </w:pPr>
      <w:r>
        <w:rPr>
          <w:rFonts w:ascii="Courier New" w:cs="Courier New" w:eastAsia="Courier New" w:hAnsi="Courier New"/>
          <w:sz w:val="16"/>
          <w:szCs w:val="16"/>
          <w:color w:val="auto"/>
        </w:rPr>
        <w:t>Risk Factors</w:t>
      </w:r>
      <w:r>
        <w:rPr>
          <w:sz w:val="20"/>
          <w:szCs w:val="20"/>
          <w:color w:val="auto"/>
        </w:rPr>
        <w:tab/>
      </w:r>
      <w:r>
        <w:rPr>
          <w:rFonts w:ascii="Courier New" w:cs="Courier New" w:eastAsia="Courier New" w:hAnsi="Courier New"/>
          <w:sz w:val="16"/>
          <w:szCs w:val="16"/>
          <w:color w:val="auto"/>
        </w:rPr>
        <w:t>7</w:t>
      </w:r>
    </w:p>
    <w:p>
      <w:pPr>
        <w:spacing w:after="0" w:line="2" w:lineRule="exact"/>
        <w:rPr>
          <w:sz w:val="20"/>
          <w:szCs w:val="20"/>
          <w:color w:val="auto"/>
        </w:rPr>
      </w:pPr>
    </w:p>
    <w:p>
      <w:pPr>
        <w:ind w:left="2"/>
        <w:spacing w:after="0"/>
        <w:tabs>
          <w:tab w:leader="dot" w:pos="4082" w:val="left"/>
        </w:tabs>
        <w:rPr>
          <w:sz w:val="20"/>
          <w:szCs w:val="20"/>
          <w:color w:val="auto"/>
        </w:rPr>
      </w:pPr>
      <w:r>
        <w:rPr>
          <w:rFonts w:ascii="Courier New" w:cs="Courier New" w:eastAsia="Courier New" w:hAnsi="Courier New"/>
          <w:sz w:val="16"/>
          <w:szCs w:val="16"/>
          <w:color w:val="auto"/>
        </w:rPr>
        <w:t>Use of Proceeds</w:t>
      </w:r>
      <w:r>
        <w:rPr>
          <w:sz w:val="20"/>
          <w:szCs w:val="20"/>
          <w:color w:val="auto"/>
        </w:rPr>
        <w:tab/>
      </w:r>
      <w:r>
        <w:rPr>
          <w:rFonts w:ascii="Courier New" w:cs="Courier New" w:eastAsia="Courier New" w:hAnsi="Courier New"/>
          <w:sz w:val="16"/>
          <w:szCs w:val="16"/>
          <w:color w:val="auto"/>
        </w:rPr>
        <w:t>9</w:t>
      </w:r>
    </w:p>
    <w:p>
      <w:pPr>
        <w:spacing w:after="0" w:line="2" w:lineRule="exact"/>
        <w:rPr>
          <w:sz w:val="20"/>
          <w:szCs w:val="20"/>
          <w:color w:val="auto"/>
        </w:rPr>
      </w:pPr>
    </w:p>
    <w:p>
      <w:pPr>
        <w:ind w:left="2"/>
        <w:spacing w:after="0"/>
        <w:tabs>
          <w:tab w:leader="dot" w:pos="3982" w:val="left"/>
        </w:tabs>
        <w:rPr>
          <w:sz w:val="20"/>
          <w:szCs w:val="20"/>
          <w:color w:val="auto"/>
        </w:rPr>
      </w:pPr>
      <w:r>
        <w:rPr>
          <w:rFonts w:ascii="Courier New" w:cs="Courier New" w:eastAsia="Courier New" w:hAnsi="Courier New"/>
          <w:sz w:val="16"/>
          <w:szCs w:val="16"/>
          <w:color w:val="auto"/>
        </w:rPr>
        <w:t>Capitalization</w:t>
      </w:r>
      <w:r>
        <w:rPr>
          <w:sz w:val="20"/>
          <w:szCs w:val="20"/>
          <w:color w:val="auto"/>
        </w:rPr>
        <w:tab/>
      </w:r>
      <w:r>
        <w:rPr>
          <w:rFonts w:ascii="Courier New" w:cs="Courier New" w:eastAsia="Courier New" w:hAnsi="Courier New"/>
          <w:sz w:val="16"/>
          <w:szCs w:val="16"/>
          <w:color w:val="auto"/>
        </w:rPr>
        <w:t>10</w:t>
      </w:r>
    </w:p>
    <w:p>
      <w:pPr>
        <w:spacing w:after="0" w:line="2" w:lineRule="exact"/>
        <w:rPr>
          <w:sz w:val="20"/>
          <w:szCs w:val="20"/>
          <w:color w:val="auto"/>
        </w:rPr>
      </w:pPr>
    </w:p>
    <w:p>
      <w:pPr>
        <w:ind w:left="2"/>
        <w:spacing w:after="0"/>
        <w:tabs>
          <w:tab w:leader="dot" w:pos="3982" w:val="left"/>
        </w:tabs>
        <w:rPr>
          <w:sz w:val="20"/>
          <w:szCs w:val="20"/>
          <w:color w:val="auto"/>
        </w:rPr>
      </w:pPr>
      <w:r>
        <w:rPr>
          <w:rFonts w:ascii="Courier New" w:cs="Courier New" w:eastAsia="Courier New" w:hAnsi="Courier New"/>
          <w:sz w:val="16"/>
          <w:szCs w:val="16"/>
          <w:color w:val="auto"/>
        </w:rPr>
        <w:t>Pro Forma Financial Information</w:t>
      </w:r>
      <w:r>
        <w:rPr>
          <w:sz w:val="20"/>
          <w:szCs w:val="20"/>
          <w:color w:val="auto"/>
        </w:rPr>
        <w:tab/>
      </w:r>
      <w:r>
        <w:rPr>
          <w:rFonts w:ascii="Courier New" w:cs="Courier New" w:eastAsia="Courier New" w:hAnsi="Courier New"/>
          <w:sz w:val="16"/>
          <w:szCs w:val="16"/>
          <w:color w:val="auto"/>
        </w:rPr>
        <w:t>11</w:t>
      </w:r>
    </w:p>
    <w:p>
      <w:pPr>
        <w:spacing w:after="0" w:line="2" w:lineRule="exact"/>
        <w:rPr>
          <w:sz w:val="20"/>
          <w:szCs w:val="20"/>
          <w:color w:val="auto"/>
        </w:rPr>
      </w:pPr>
    </w:p>
    <w:p>
      <w:pPr>
        <w:ind w:left="2"/>
        <w:spacing w:after="0"/>
        <w:tabs>
          <w:tab w:leader="dot" w:pos="3982" w:val="left"/>
        </w:tabs>
        <w:rPr>
          <w:sz w:val="20"/>
          <w:szCs w:val="20"/>
          <w:color w:val="auto"/>
        </w:rPr>
      </w:pPr>
      <w:r>
        <w:rPr>
          <w:rFonts w:ascii="Courier New" w:cs="Courier New" w:eastAsia="Courier New" w:hAnsi="Courier New"/>
          <w:sz w:val="16"/>
          <w:szCs w:val="16"/>
          <w:color w:val="auto"/>
        </w:rPr>
        <w:t>Selected Financial Data</w:t>
      </w:r>
      <w:r>
        <w:rPr>
          <w:sz w:val="20"/>
          <w:szCs w:val="20"/>
          <w:color w:val="auto"/>
        </w:rPr>
        <w:tab/>
      </w:r>
      <w:r>
        <w:rPr>
          <w:rFonts w:ascii="Courier New" w:cs="Courier New" w:eastAsia="Courier New" w:hAnsi="Courier New"/>
          <w:sz w:val="16"/>
          <w:szCs w:val="16"/>
          <w:color w:val="auto"/>
        </w:rPr>
        <w:t>22</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Management's Discussion and Analysis</w:t>
      </w:r>
    </w:p>
    <w:p>
      <w:pPr>
        <w:spacing w:after="0" w:line="2" w:lineRule="exact"/>
        <w:rPr>
          <w:sz w:val="20"/>
          <w:szCs w:val="20"/>
          <w:color w:val="auto"/>
        </w:rPr>
      </w:pPr>
    </w:p>
    <w:p>
      <w:pPr>
        <w:ind w:left="182"/>
        <w:spacing w:after="0"/>
        <w:rPr>
          <w:sz w:val="20"/>
          <w:szCs w:val="20"/>
          <w:color w:val="auto"/>
        </w:rPr>
      </w:pPr>
      <w:r>
        <w:rPr>
          <w:rFonts w:ascii="Courier New" w:cs="Courier New" w:eastAsia="Courier New" w:hAnsi="Courier New"/>
          <w:sz w:val="16"/>
          <w:szCs w:val="16"/>
          <w:color w:val="auto"/>
        </w:rPr>
        <w:t>of Financial Condition and Results</w:t>
      </w:r>
    </w:p>
    <w:p>
      <w:pPr>
        <w:spacing w:after="0" w:line="2" w:lineRule="exact"/>
        <w:rPr>
          <w:sz w:val="20"/>
          <w:szCs w:val="20"/>
          <w:color w:val="auto"/>
        </w:rPr>
      </w:pPr>
    </w:p>
    <w:p>
      <w:pPr>
        <w:ind w:left="182"/>
        <w:spacing w:after="0"/>
        <w:tabs>
          <w:tab w:leader="dot" w:pos="3982" w:val="left"/>
        </w:tabs>
        <w:rPr>
          <w:sz w:val="20"/>
          <w:szCs w:val="20"/>
          <w:color w:val="auto"/>
        </w:rPr>
      </w:pPr>
      <w:r>
        <w:rPr>
          <w:rFonts w:ascii="Courier New" w:cs="Courier New" w:eastAsia="Courier New" w:hAnsi="Courier New"/>
          <w:sz w:val="16"/>
          <w:szCs w:val="16"/>
          <w:color w:val="auto"/>
        </w:rPr>
        <w:t>of Operations</w:t>
      </w:r>
      <w:r>
        <w:rPr>
          <w:sz w:val="20"/>
          <w:szCs w:val="20"/>
          <w:color w:val="auto"/>
        </w:rPr>
        <w:tab/>
      </w:r>
      <w:r>
        <w:rPr>
          <w:rFonts w:ascii="Courier New" w:cs="Courier New" w:eastAsia="Courier New" w:hAnsi="Courier New"/>
          <w:sz w:val="16"/>
          <w:szCs w:val="16"/>
          <w:color w:val="auto"/>
        </w:rPr>
        <w:t>23</w:t>
      </w:r>
    </w:p>
    <w:p>
      <w:pPr>
        <w:spacing w:after="0" w:line="2" w:lineRule="exact"/>
        <w:rPr>
          <w:sz w:val="20"/>
          <w:szCs w:val="20"/>
          <w:color w:val="auto"/>
        </w:rPr>
      </w:pPr>
    </w:p>
    <w:p>
      <w:pPr>
        <w:ind w:left="2"/>
        <w:spacing w:after="0"/>
        <w:tabs>
          <w:tab w:leader="dot" w:pos="3982" w:val="left"/>
        </w:tabs>
        <w:rPr>
          <w:sz w:val="20"/>
          <w:szCs w:val="20"/>
          <w:color w:val="auto"/>
        </w:rPr>
      </w:pPr>
      <w:r>
        <w:rPr>
          <w:rFonts w:ascii="Courier New" w:cs="Courier New" w:eastAsia="Courier New" w:hAnsi="Courier New"/>
          <w:sz w:val="16"/>
          <w:szCs w:val="16"/>
          <w:color w:val="auto"/>
        </w:rPr>
        <w:t>Business</w:t>
      </w:r>
      <w:r>
        <w:rPr>
          <w:sz w:val="20"/>
          <w:szCs w:val="20"/>
          <w:color w:val="auto"/>
        </w:rPr>
        <w:tab/>
      </w:r>
      <w:r>
        <w:rPr>
          <w:rFonts w:ascii="Courier New" w:cs="Courier New" w:eastAsia="Courier New" w:hAnsi="Courier New"/>
          <w:sz w:val="16"/>
          <w:szCs w:val="16"/>
          <w:color w:val="auto"/>
        </w:rPr>
        <w:t>30</w:t>
      </w:r>
    </w:p>
    <w:p>
      <w:pPr>
        <w:spacing w:after="0" w:line="2" w:lineRule="exact"/>
        <w:rPr>
          <w:sz w:val="20"/>
          <w:szCs w:val="20"/>
          <w:color w:val="auto"/>
        </w:rPr>
      </w:pPr>
    </w:p>
    <w:p>
      <w:pPr>
        <w:ind w:left="2"/>
        <w:spacing w:after="0"/>
        <w:tabs>
          <w:tab w:leader="dot" w:pos="3982" w:val="left"/>
        </w:tabs>
        <w:rPr>
          <w:sz w:val="20"/>
          <w:szCs w:val="20"/>
          <w:color w:val="auto"/>
        </w:rPr>
      </w:pPr>
      <w:r>
        <w:rPr>
          <w:rFonts w:ascii="Courier New" w:cs="Courier New" w:eastAsia="Courier New" w:hAnsi="Courier New"/>
          <w:sz w:val="16"/>
          <w:szCs w:val="16"/>
          <w:color w:val="auto"/>
        </w:rPr>
        <w:t>Selling Stockholder</w:t>
      </w:r>
      <w:r>
        <w:rPr>
          <w:sz w:val="20"/>
          <w:szCs w:val="20"/>
          <w:color w:val="auto"/>
        </w:rPr>
        <w:tab/>
      </w:r>
      <w:r>
        <w:rPr>
          <w:rFonts w:ascii="Courier New" w:cs="Courier New" w:eastAsia="Courier New" w:hAnsi="Courier New"/>
          <w:sz w:val="16"/>
          <w:szCs w:val="16"/>
          <w:color w:val="auto"/>
        </w:rPr>
        <w:t>40</w:t>
      </w:r>
    </w:p>
    <w:p>
      <w:pPr>
        <w:spacing w:after="0" w:line="2" w:lineRule="exact"/>
        <w:rPr>
          <w:sz w:val="20"/>
          <w:szCs w:val="20"/>
          <w:color w:val="auto"/>
        </w:rPr>
      </w:pPr>
    </w:p>
    <w:p>
      <w:pPr>
        <w:ind w:left="2"/>
        <w:spacing w:after="0"/>
        <w:tabs>
          <w:tab w:leader="dot" w:pos="3982" w:val="left"/>
        </w:tabs>
        <w:rPr>
          <w:sz w:val="20"/>
          <w:szCs w:val="20"/>
          <w:color w:val="auto"/>
        </w:rPr>
      </w:pPr>
      <w:r>
        <w:rPr>
          <w:rFonts w:ascii="Courier New" w:cs="Courier New" w:eastAsia="Courier New" w:hAnsi="Courier New"/>
          <w:sz w:val="16"/>
          <w:szCs w:val="16"/>
          <w:color w:val="auto"/>
        </w:rPr>
        <w:t>Description of Common Stock</w:t>
      </w:r>
      <w:r>
        <w:rPr>
          <w:sz w:val="20"/>
          <w:szCs w:val="20"/>
          <w:color w:val="auto"/>
        </w:rPr>
        <w:tab/>
      </w:r>
      <w:r>
        <w:rPr>
          <w:rFonts w:ascii="Courier New" w:cs="Courier New" w:eastAsia="Courier New" w:hAnsi="Courier New"/>
          <w:sz w:val="16"/>
          <w:szCs w:val="16"/>
          <w:color w:val="auto"/>
        </w:rPr>
        <w:t>40</w:t>
      </w:r>
    </w:p>
    <w:p>
      <w:pPr>
        <w:spacing w:after="0" w:line="2" w:lineRule="exact"/>
        <w:rPr>
          <w:sz w:val="20"/>
          <w:szCs w:val="20"/>
          <w:color w:val="auto"/>
        </w:rPr>
      </w:pPr>
    </w:p>
    <w:p>
      <w:pPr>
        <w:ind w:left="2"/>
        <w:spacing w:after="0"/>
        <w:tabs>
          <w:tab w:leader="dot" w:pos="3982" w:val="left"/>
        </w:tabs>
        <w:rPr>
          <w:sz w:val="20"/>
          <w:szCs w:val="20"/>
          <w:color w:val="auto"/>
        </w:rPr>
      </w:pPr>
      <w:r>
        <w:rPr>
          <w:rFonts w:ascii="Courier New" w:cs="Courier New" w:eastAsia="Courier New" w:hAnsi="Courier New"/>
          <w:sz w:val="16"/>
          <w:szCs w:val="16"/>
          <w:color w:val="auto"/>
        </w:rPr>
        <w:t>Underwriting</w:t>
      </w:r>
      <w:r>
        <w:rPr>
          <w:sz w:val="20"/>
          <w:szCs w:val="20"/>
          <w:color w:val="auto"/>
        </w:rPr>
        <w:tab/>
      </w:r>
      <w:r>
        <w:rPr>
          <w:rFonts w:ascii="Courier New" w:cs="Courier New" w:eastAsia="Courier New" w:hAnsi="Courier New"/>
          <w:sz w:val="16"/>
          <w:szCs w:val="16"/>
          <w:color w:val="auto"/>
        </w:rPr>
        <w:t>41</w:t>
      </w:r>
    </w:p>
    <w:p>
      <w:pPr>
        <w:spacing w:after="0" w:line="2" w:lineRule="exact"/>
        <w:rPr>
          <w:sz w:val="20"/>
          <w:szCs w:val="20"/>
          <w:color w:val="auto"/>
        </w:rPr>
      </w:pPr>
    </w:p>
    <w:p>
      <w:pPr>
        <w:ind w:left="2"/>
        <w:spacing w:after="0"/>
        <w:tabs>
          <w:tab w:leader="dot" w:pos="3982" w:val="left"/>
        </w:tabs>
        <w:rPr>
          <w:sz w:val="20"/>
          <w:szCs w:val="20"/>
          <w:color w:val="auto"/>
        </w:rPr>
      </w:pPr>
      <w:r>
        <w:rPr>
          <w:rFonts w:ascii="Courier New" w:cs="Courier New" w:eastAsia="Courier New" w:hAnsi="Courier New"/>
          <w:sz w:val="16"/>
          <w:szCs w:val="16"/>
          <w:color w:val="auto"/>
        </w:rPr>
        <w:t>Legal Matters</w:t>
      </w:r>
      <w:r>
        <w:rPr>
          <w:sz w:val="20"/>
          <w:szCs w:val="20"/>
          <w:color w:val="auto"/>
        </w:rPr>
        <w:tab/>
      </w:r>
      <w:r>
        <w:rPr>
          <w:rFonts w:ascii="Courier New" w:cs="Courier New" w:eastAsia="Courier New" w:hAnsi="Courier New"/>
          <w:sz w:val="16"/>
          <w:szCs w:val="16"/>
          <w:color w:val="auto"/>
        </w:rPr>
        <w:t>42</w:t>
      </w:r>
    </w:p>
    <w:p>
      <w:pPr>
        <w:spacing w:after="0" w:line="2" w:lineRule="exact"/>
        <w:rPr>
          <w:sz w:val="20"/>
          <w:szCs w:val="20"/>
          <w:color w:val="auto"/>
        </w:rPr>
      </w:pPr>
    </w:p>
    <w:p>
      <w:pPr>
        <w:ind w:left="2"/>
        <w:spacing w:after="0"/>
        <w:tabs>
          <w:tab w:leader="dot" w:pos="3982" w:val="left"/>
        </w:tabs>
        <w:rPr>
          <w:sz w:val="20"/>
          <w:szCs w:val="20"/>
          <w:color w:val="auto"/>
        </w:rPr>
      </w:pPr>
      <w:r>
        <w:rPr>
          <w:rFonts w:ascii="Courier New" w:cs="Courier New" w:eastAsia="Courier New" w:hAnsi="Courier New"/>
          <w:sz w:val="16"/>
          <w:szCs w:val="16"/>
          <w:color w:val="auto"/>
        </w:rPr>
        <w:t>Experts</w:t>
      </w:r>
      <w:r>
        <w:rPr>
          <w:sz w:val="20"/>
          <w:szCs w:val="20"/>
          <w:color w:val="auto"/>
        </w:rPr>
        <w:tab/>
      </w:r>
      <w:r>
        <w:rPr>
          <w:rFonts w:ascii="Courier New" w:cs="Courier New" w:eastAsia="Courier New" w:hAnsi="Courier New"/>
          <w:sz w:val="16"/>
          <w:szCs w:val="16"/>
          <w:color w:val="auto"/>
        </w:rPr>
        <w:t>42</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Index to Consolidated Financial</w:t>
      </w:r>
    </w:p>
    <w:p>
      <w:pPr>
        <w:spacing w:after="0" w:line="2" w:lineRule="exact"/>
        <w:rPr>
          <w:sz w:val="20"/>
          <w:szCs w:val="20"/>
          <w:color w:val="auto"/>
        </w:rPr>
      </w:pPr>
    </w:p>
    <w:p>
      <w:pPr>
        <w:ind w:left="182"/>
        <w:spacing w:after="0"/>
        <w:tabs>
          <w:tab w:leader="dot" w:pos="3882" w:val="left"/>
        </w:tabs>
        <w:rPr>
          <w:sz w:val="20"/>
          <w:szCs w:val="20"/>
          <w:color w:val="auto"/>
        </w:rPr>
      </w:pPr>
      <w:r>
        <w:rPr>
          <w:rFonts w:ascii="Courier New" w:cs="Courier New" w:eastAsia="Courier New" w:hAnsi="Courier New"/>
          <w:sz w:val="16"/>
          <w:szCs w:val="16"/>
          <w:color w:val="auto"/>
        </w:rPr>
        <w:t>Statements</w:t>
      </w:r>
      <w:r>
        <w:rPr>
          <w:sz w:val="20"/>
          <w:szCs w:val="20"/>
          <w:color w:val="auto"/>
        </w:rPr>
        <w:tab/>
      </w:r>
      <w:r>
        <w:rPr>
          <w:rFonts w:ascii="Courier New" w:cs="Courier New" w:eastAsia="Courier New" w:hAnsi="Courier New"/>
          <w:sz w:val="16"/>
          <w:szCs w:val="16"/>
          <w:color w:val="auto"/>
        </w:rPr>
        <w:t>F-1</w:t>
      </w:r>
    </w:p>
    <w:p>
      <w:pPr>
        <w:spacing w:after="0" w:line="186" w:lineRule="exact"/>
        <w:rPr>
          <w:sz w:val="20"/>
          <w:szCs w:val="20"/>
          <w:color w:val="auto"/>
        </w:rPr>
      </w:pPr>
    </w:p>
    <w:p>
      <w:pPr>
        <w:ind w:left="182" w:hanging="182"/>
        <w:spacing w:after="0"/>
        <w:tabs>
          <w:tab w:leader="none" w:pos="182"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182" w:hanging="182"/>
        <w:spacing w:after="0"/>
        <w:tabs>
          <w:tab w:leader="none" w:pos="182"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6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4,400,000 SHARES</w:t>
      </w:r>
    </w:p>
    <w:p>
      <w:pPr>
        <w:spacing w:after="0" w:line="186"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[UHS LOGO]</w:t>
      </w:r>
    </w:p>
    <w:p>
      <w:pPr>
        <w:spacing w:after="0" w:line="186"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UNIVERSAL HEALTH SERVICES,</w:t>
      </w:r>
    </w:p>
    <w:p>
      <w:pPr>
        <w:spacing w:after="0" w:line="2" w:lineRule="exact"/>
        <w:rPr>
          <w:sz w:val="20"/>
          <w:szCs w:val="20"/>
          <w:color w:val="auto"/>
        </w:rPr>
      </w:pPr>
    </w:p>
    <w:p>
      <w:pPr>
        <w:ind w:left="1340"/>
        <w:spacing w:after="0"/>
        <w:rPr>
          <w:sz w:val="20"/>
          <w:szCs w:val="20"/>
          <w:color w:val="auto"/>
        </w:rPr>
      </w:pPr>
      <w:r>
        <w:rPr>
          <w:rFonts w:ascii="Courier New" w:cs="Courier New" w:eastAsia="Courier New" w:hAnsi="Courier New"/>
          <w:sz w:val="16"/>
          <w:szCs w:val="16"/>
          <w:color w:val="auto"/>
        </w:rPr>
        <w:t>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CLASS B</w:t>
      </w:r>
    </w:p>
    <w:p>
      <w:pPr>
        <w:spacing w:after="0" w:line="2"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PROSPECTUS</w:t>
      </w:r>
    </w:p>
    <w:p>
      <w:pPr>
        <w:spacing w:after="0" w:line="2" w:lineRule="exact"/>
        <w:rPr>
          <w:sz w:val="20"/>
          <w:szCs w:val="20"/>
          <w:color w:val="auto"/>
        </w:rPr>
      </w:pPr>
    </w:p>
    <w:p>
      <w:pPr>
        <w:ind w:left="1060" w:hanging="195"/>
        <w:spacing w:after="0"/>
        <w:tabs>
          <w:tab w:leader="none" w:pos="106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1996</w:t>
      </w:r>
    </w:p>
    <w:p>
      <w:pPr>
        <w:spacing w:after="0" w:line="2" w:lineRule="exact"/>
        <w:rPr>
          <w:rFonts w:ascii="Courier New" w:cs="Courier New" w:eastAsia="Courier New" w:hAnsi="Courier New"/>
          <w:sz w:val="16"/>
          <w:szCs w:val="16"/>
          <w:color w:val="auto"/>
        </w:rPr>
      </w:pPr>
    </w:p>
    <w:p>
      <w:pPr>
        <w:ind w:left="6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SMITH BARNEY INC.</w:t>
      </w:r>
    </w:p>
    <w:p>
      <w:pPr>
        <w:spacing w:after="0" w:line="2" w:lineRule="exact"/>
        <w:rPr>
          <w:sz w:val="20"/>
          <w:szCs w:val="20"/>
          <w:color w:val="auto"/>
        </w:rPr>
      </w:pPr>
    </w:p>
    <w:p>
      <w:pPr>
        <w:jc w:val="right"/>
        <w:ind w:right="2679"/>
        <w:spacing w:after="0"/>
        <w:rPr>
          <w:sz w:val="20"/>
          <w:szCs w:val="20"/>
          <w:color w:val="auto"/>
        </w:rPr>
      </w:pPr>
      <w:r>
        <w:rPr>
          <w:rFonts w:ascii="Courier New" w:cs="Courier New" w:eastAsia="Courier New" w:hAnsi="Courier New"/>
          <w:sz w:val="16"/>
          <w:szCs w:val="16"/>
          <w:color w:val="auto"/>
        </w:rPr>
        <w:t>BEAR, STEARNS &amp; CO. INC.</w:t>
      </w:r>
    </w:p>
    <w:p>
      <w:pPr>
        <w:spacing w:after="0" w:line="2" w:lineRule="exact"/>
        <w:rPr>
          <w:sz w:val="20"/>
          <w:szCs w:val="20"/>
          <w:color w:val="auto"/>
        </w:rPr>
      </w:pPr>
    </w:p>
    <w:p>
      <w:pPr>
        <w:jc w:val="right"/>
        <w:ind w:right="2679"/>
        <w:spacing w:after="0"/>
        <w:rPr>
          <w:sz w:val="20"/>
          <w:szCs w:val="20"/>
          <w:color w:val="auto"/>
        </w:rPr>
      </w:pPr>
      <w:r>
        <w:rPr>
          <w:rFonts w:ascii="Courier New" w:cs="Courier New" w:eastAsia="Courier New" w:hAnsi="Courier New"/>
          <w:sz w:val="16"/>
          <w:szCs w:val="16"/>
          <w:color w:val="auto"/>
        </w:rPr>
        <w:t>DILLON, READ &amp; CO. INC.</w:t>
      </w:r>
    </w:p>
    <w:p>
      <w:pPr>
        <w:spacing w:after="0" w:line="2"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DONALDSON, LUFKIN &amp; JENRETTE</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SECURITIES CORPORATION</w:t>
      </w:r>
    </w:p>
    <w:p>
      <w:pPr>
        <w:spacing w:after="0" w:line="2"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J.P. MORGAN &amp; 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2">
            <w:col w:w="4382" w:space="380"/>
            <w:col w:w="5459"/>
          </w:cols>
          <w:pgMar w:left="238" w:top="481" w:right="1440" w:bottom="1440" w:gutter="0" w:footer="0" w:header="0"/>
        </w:sectPr>
      </w:pPr>
    </w:p>
    <w:bookmarkStart w:id="98" w:name="page99"/>
    <w:bookmarkEnd w:id="98"/>
    <w:p>
      <w:pPr>
        <w:jc w:val="center"/>
        <w:ind w:right="2677"/>
        <w:spacing w:after="0"/>
        <w:rPr>
          <w:sz w:val="20"/>
          <w:szCs w:val="20"/>
          <w:color w:val="auto"/>
        </w:rPr>
      </w:pPr>
      <w:r>
        <w:rPr>
          <w:rFonts w:ascii="Courier New" w:cs="Courier New" w:eastAsia="Courier New" w:hAnsi="Courier New"/>
          <w:sz w:val="16"/>
          <w:szCs w:val="16"/>
          <w:color w:val="auto"/>
        </w:rPr>
        <w:t>PART II</w:t>
      </w:r>
    </w:p>
    <w:p>
      <w:pPr>
        <w:spacing w:after="0" w:line="2" w:lineRule="exact"/>
        <w:rPr>
          <w:sz w:val="20"/>
          <w:szCs w:val="20"/>
          <w:color w:val="auto"/>
        </w:rPr>
      </w:pPr>
    </w:p>
    <w:p>
      <w:pPr>
        <w:jc w:val="center"/>
        <w:ind w:right="2597"/>
        <w:spacing w:after="0"/>
        <w:rPr>
          <w:sz w:val="20"/>
          <w:szCs w:val="20"/>
          <w:color w:val="auto"/>
        </w:rPr>
      </w:pPr>
      <w:r>
        <w:rPr>
          <w:rFonts w:ascii="Courier New" w:cs="Courier New" w:eastAsia="Courier New" w:hAnsi="Courier New"/>
          <w:sz w:val="16"/>
          <w:szCs w:val="16"/>
          <w:color w:val="auto"/>
        </w:rPr>
        <w:t>INFORMATION NOT REQUIRED IN PROSPECTUS</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ITEM 14. OTHER EXPENSES OF ISSUANCE AND DISTRIBUTION.</w:t>
      </w:r>
    </w:p>
    <w:p>
      <w:pPr>
        <w:spacing w:after="0" w:line="188" w:lineRule="exact"/>
        <w:rPr>
          <w:sz w:val="20"/>
          <w:szCs w:val="20"/>
          <w:color w:val="auto"/>
        </w:rPr>
      </w:pPr>
    </w:p>
    <w:p>
      <w:pPr>
        <w:ind w:left="2" w:right="2779" w:firstLine="382"/>
        <w:spacing w:after="0" w:line="241" w:lineRule="auto"/>
        <w:rPr>
          <w:sz w:val="20"/>
          <w:szCs w:val="20"/>
          <w:color w:val="auto"/>
        </w:rPr>
      </w:pPr>
      <w:r>
        <w:rPr>
          <w:rFonts w:ascii="Courier New" w:cs="Courier New" w:eastAsia="Courier New" w:hAnsi="Courier New"/>
          <w:sz w:val="16"/>
          <w:szCs w:val="16"/>
          <w:color w:val="auto"/>
        </w:rPr>
        <w:t>The following is an itemized statement of all estimated amounts of all expenses payable by the Registrant in connection with the registration of the Class B Common Stock offered hereby, other than the underwriting discounts and commissions:</w:t>
      </w:r>
    </w:p>
    <w:p>
      <w:pPr>
        <w:spacing w:after="0" w:line="370"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6060" w:type="dxa"/>
            <w:vAlign w:val="bottom"/>
          </w:tcPr>
          <w:p>
            <w:pPr>
              <w:spacing w:after="0"/>
              <w:rPr>
                <w:sz w:val="20"/>
                <w:szCs w:val="20"/>
                <w:color w:val="auto"/>
              </w:rPr>
            </w:pPr>
            <w:r>
              <w:rPr>
                <w:rFonts w:ascii="Courier New" w:cs="Courier New" w:eastAsia="Courier New" w:hAnsi="Courier New"/>
                <w:sz w:val="16"/>
                <w:szCs w:val="16"/>
                <w:color w:val="auto"/>
              </w:rPr>
              <w:t>Registration Fee--Securities and Exchange Commission..........</w:t>
            </w:r>
          </w:p>
        </w:tc>
        <w:tc>
          <w:tcPr>
            <w:tcW w:w="1280" w:type="dxa"/>
            <w:vAlign w:val="bottom"/>
          </w:tcPr>
          <w:p>
            <w:pPr>
              <w:ind w:left="140"/>
              <w:spacing w:after="0"/>
              <w:rPr>
                <w:sz w:val="20"/>
                <w:szCs w:val="20"/>
                <w:color w:val="auto"/>
              </w:rPr>
            </w:pPr>
            <w:r>
              <w:rPr>
                <w:rFonts w:ascii="Courier New" w:cs="Courier New" w:eastAsia="Courier New" w:hAnsi="Courier New"/>
                <w:sz w:val="16"/>
                <w:szCs w:val="16"/>
                <w:color w:val="auto"/>
              </w:rPr>
              <w:t>$ 48,855.17</w:t>
            </w:r>
          </w:p>
        </w:tc>
      </w:tr>
      <w:tr>
        <w:trPr>
          <w:trHeight w:val="183"/>
        </w:trPr>
        <w:tc>
          <w:tcPr>
            <w:tcW w:w="6060" w:type="dxa"/>
            <w:vAlign w:val="bottom"/>
          </w:tcPr>
          <w:p>
            <w:pPr>
              <w:spacing w:after="0"/>
              <w:rPr>
                <w:sz w:val="20"/>
                <w:szCs w:val="20"/>
                <w:color w:val="auto"/>
              </w:rPr>
            </w:pPr>
            <w:r>
              <w:rPr>
                <w:rFonts w:ascii="Courier New" w:cs="Courier New" w:eastAsia="Courier New" w:hAnsi="Courier New"/>
                <w:sz w:val="16"/>
                <w:szCs w:val="16"/>
                <w:color w:val="auto"/>
              </w:rPr>
              <w:t>Registration Fee--National Association of Securities Dealers,</w:t>
            </w:r>
          </w:p>
        </w:tc>
        <w:tc>
          <w:tcPr>
            <w:tcW w:w="1280" w:type="dxa"/>
            <w:vAlign w:val="bottom"/>
          </w:tcPr>
          <w:p>
            <w:pPr>
              <w:spacing w:after="0"/>
              <w:rPr>
                <w:sz w:val="15"/>
                <w:szCs w:val="15"/>
                <w:color w:val="auto"/>
              </w:rPr>
            </w:pPr>
          </w:p>
        </w:tc>
      </w:tr>
      <w:tr>
        <w:trPr>
          <w:trHeight w:val="183"/>
        </w:trPr>
        <w:tc>
          <w:tcPr>
            <w:tcW w:w="6060" w:type="dxa"/>
            <w:vAlign w:val="bottom"/>
          </w:tcPr>
          <w:p>
            <w:pPr>
              <w:spacing w:after="0"/>
              <w:rPr>
                <w:sz w:val="20"/>
                <w:szCs w:val="20"/>
                <w:color w:val="auto"/>
              </w:rPr>
            </w:pPr>
            <w:r>
              <w:rPr>
                <w:rFonts w:ascii="Courier New" w:cs="Courier New" w:eastAsia="Courier New" w:hAnsi="Courier New"/>
                <w:sz w:val="16"/>
                <w:szCs w:val="16"/>
                <w:color w:val="auto"/>
              </w:rPr>
              <w:t>Inc...........................................................</w:t>
            </w:r>
          </w:p>
        </w:tc>
        <w:tc>
          <w:tcPr>
            <w:tcW w:w="1280" w:type="dxa"/>
            <w:vAlign w:val="bottom"/>
          </w:tcPr>
          <w:p>
            <w:pPr>
              <w:ind w:left="140"/>
              <w:spacing w:after="0"/>
              <w:rPr>
                <w:sz w:val="20"/>
                <w:szCs w:val="20"/>
                <w:color w:val="auto"/>
              </w:rPr>
            </w:pPr>
            <w:r>
              <w:rPr>
                <w:rFonts w:ascii="Courier New" w:cs="Courier New" w:eastAsia="Courier New" w:hAnsi="Courier New"/>
                <w:sz w:val="16"/>
                <w:szCs w:val="16"/>
                <w:color w:val="auto"/>
              </w:rPr>
              <w:t>$ 14,669.00</w:t>
            </w:r>
          </w:p>
        </w:tc>
      </w:tr>
      <w:tr>
        <w:trPr>
          <w:trHeight w:val="183"/>
        </w:trPr>
        <w:tc>
          <w:tcPr>
            <w:tcW w:w="6060" w:type="dxa"/>
            <w:vAlign w:val="bottom"/>
          </w:tcPr>
          <w:p>
            <w:pPr>
              <w:spacing w:after="0"/>
              <w:rPr>
                <w:sz w:val="20"/>
                <w:szCs w:val="20"/>
                <w:color w:val="auto"/>
              </w:rPr>
            </w:pPr>
            <w:r>
              <w:rPr>
                <w:rFonts w:ascii="Courier New" w:cs="Courier New" w:eastAsia="Courier New" w:hAnsi="Courier New"/>
                <w:sz w:val="16"/>
                <w:szCs w:val="16"/>
                <w:color w:val="auto"/>
              </w:rPr>
              <w:t>Listing Fee--New York Stock Exchange..........................</w:t>
            </w:r>
          </w:p>
        </w:tc>
        <w:tc>
          <w:tcPr>
            <w:tcW w:w="1280" w:type="dxa"/>
            <w:vAlign w:val="bottom"/>
          </w:tcPr>
          <w:p>
            <w:pPr>
              <w:ind w:left="140"/>
              <w:spacing w:after="0"/>
              <w:rPr>
                <w:sz w:val="20"/>
                <w:szCs w:val="20"/>
                <w:color w:val="auto"/>
              </w:rPr>
            </w:pPr>
            <w:r>
              <w:rPr>
                <w:rFonts w:ascii="Courier New" w:cs="Courier New" w:eastAsia="Courier New" w:hAnsi="Courier New"/>
                <w:sz w:val="16"/>
                <w:szCs w:val="16"/>
                <w:color w:val="auto"/>
              </w:rPr>
              <w:t>$ 47,800.00</w:t>
            </w:r>
          </w:p>
        </w:tc>
      </w:tr>
      <w:tr>
        <w:trPr>
          <w:trHeight w:val="183"/>
        </w:trPr>
        <w:tc>
          <w:tcPr>
            <w:tcW w:w="6060" w:type="dxa"/>
            <w:vAlign w:val="bottom"/>
          </w:tcPr>
          <w:p>
            <w:pPr>
              <w:spacing w:after="0"/>
              <w:rPr>
                <w:sz w:val="20"/>
                <w:szCs w:val="20"/>
                <w:color w:val="auto"/>
              </w:rPr>
            </w:pPr>
            <w:r>
              <w:rPr>
                <w:rFonts w:ascii="Courier New" w:cs="Courier New" w:eastAsia="Courier New" w:hAnsi="Courier New"/>
                <w:sz w:val="16"/>
                <w:szCs w:val="16"/>
                <w:color w:val="auto"/>
              </w:rPr>
              <w:t>Blue Sky fees and expenses....................................</w:t>
            </w:r>
          </w:p>
        </w:tc>
        <w:tc>
          <w:tcPr>
            <w:tcW w:w="1280" w:type="dxa"/>
            <w:vAlign w:val="bottom"/>
          </w:tcPr>
          <w:p>
            <w:pPr>
              <w:ind w:left="140"/>
              <w:spacing w:after="0"/>
              <w:rPr>
                <w:sz w:val="20"/>
                <w:szCs w:val="20"/>
                <w:color w:val="auto"/>
              </w:rPr>
            </w:pPr>
            <w:r>
              <w:rPr>
                <w:rFonts w:ascii="Courier New" w:cs="Courier New" w:eastAsia="Courier New" w:hAnsi="Courier New"/>
                <w:sz w:val="16"/>
                <w:szCs w:val="16"/>
                <w:color w:val="auto"/>
                <w:w w:val="97"/>
              </w:rPr>
              <w:t>$ 15,000.00*</w:t>
            </w:r>
          </w:p>
        </w:tc>
      </w:tr>
      <w:tr>
        <w:trPr>
          <w:trHeight w:val="183"/>
        </w:trPr>
        <w:tc>
          <w:tcPr>
            <w:tcW w:w="6060" w:type="dxa"/>
            <w:vAlign w:val="bottom"/>
          </w:tcPr>
          <w:p>
            <w:pPr>
              <w:spacing w:after="0"/>
              <w:rPr>
                <w:sz w:val="20"/>
                <w:szCs w:val="20"/>
                <w:color w:val="auto"/>
              </w:rPr>
            </w:pPr>
            <w:r>
              <w:rPr>
                <w:rFonts w:ascii="Courier New" w:cs="Courier New" w:eastAsia="Courier New" w:hAnsi="Courier New"/>
                <w:sz w:val="16"/>
                <w:szCs w:val="16"/>
                <w:color w:val="auto"/>
              </w:rPr>
              <w:t>Accountants' fees and expenses................................</w:t>
            </w:r>
          </w:p>
        </w:tc>
        <w:tc>
          <w:tcPr>
            <w:tcW w:w="1280" w:type="dxa"/>
            <w:vAlign w:val="bottom"/>
          </w:tcPr>
          <w:p>
            <w:pPr>
              <w:ind w:left="140"/>
              <w:spacing w:after="0"/>
              <w:rPr>
                <w:sz w:val="20"/>
                <w:szCs w:val="20"/>
                <w:color w:val="auto"/>
              </w:rPr>
            </w:pPr>
            <w:r>
              <w:rPr>
                <w:rFonts w:ascii="Courier New" w:cs="Courier New" w:eastAsia="Courier New" w:hAnsi="Courier New"/>
                <w:sz w:val="16"/>
                <w:szCs w:val="16"/>
                <w:color w:val="auto"/>
                <w:w w:val="97"/>
              </w:rPr>
              <w:t>$125,000.00*</w:t>
            </w:r>
          </w:p>
        </w:tc>
      </w:tr>
      <w:tr>
        <w:trPr>
          <w:trHeight w:val="183"/>
        </w:trPr>
        <w:tc>
          <w:tcPr>
            <w:tcW w:w="6060" w:type="dxa"/>
            <w:vAlign w:val="bottom"/>
          </w:tcPr>
          <w:p>
            <w:pPr>
              <w:spacing w:after="0"/>
              <w:rPr>
                <w:sz w:val="20"/>
                <w:szCs w:val="20"/>
                <w:color w:val="auto"/>
              </w:rPr>
            </w:pPr>
            <w:r>
              <w:rPr>
                <w:rFonts w:ascii="Courier New" w:cs="Courier New" w:eastAsia="Courier New" w:hAnsi="Courier New"/>
                <w:sz w:val="16"/>
                <w:szCs w:val="16"/>
                <w:color w:val="auto"/>
              </w:rPr>
              <w:t>Legal fees and expenses.......................................</w:t>
            </w:r>
          </w:p>
        </w:tc>
        <w:tc>
          <w:tcPr>
            <w:tcW w:w="1280" w:type="dxa"/>
            <w:vAlign w:val="bottom"/>
          </w:tcPr>
          <w:p>
            <w:pPr>
              <w:ind w:left="140"/>
              <w:spacing w:after="0"/>
              <w:rPr>
                <w:sz w:val="20"/>
                <w:szCs w:val="20"/>
                <w:color w:val="auto"/>
              </w:rPr>
            </w:pPr>
            <w:r>
              <w:rPr>
                <w:rFonts w:ascii="Courier New" w:cs="Courier New" w:eastAsia="Courier New" w:hAnsi="Courier New"/>
                <w:sz w:val="16"/>
                <w:szCs w:val="16"/>
                <w:color w:val="auto"/>
                <w:w w:val="97"/>
              </w:rPr>
              <w:t>$ 75,000.00*</w:t>
            </w:r>
          </w:p>
        </w:tc>
      </w:tr>
      <w:tr>
        <w:trPr>
          <w:trHeight w:val="183"/>
        </w:trPr>
        <w:tc>
          <w:tcPr>
            <w:tcW w:w="6060" w:type="dxa"/>
            <w:vAlign w:val="bottom"/>
          </w:tcPr>
          <w:p>
            <w:pPr>
              <w:spacing w:after="0"/>
              <w:rPr>
                <w:sz w:val="20"/>
                <w:szCs w:val="20"/>
                <w:color w:val="auto"/>
              </w:rPr>
            </w:pPr>
            <w:r>
              <w:rPr>
                <w:rFonts w:ascii="Courier New" w:cs="Courier New" w:eastAsia="Courier New" w:hAnsi="Courier New"/>
                <w:sz w:val="16"/>
                <w:szCs w:val="16"/>
                <w:color w:val="auto"/>
              </w:rPr>
              <w:t>Printing and engraving expenses...............................</w:t>
            </w:r>
          </w:p>
        </w:tc>
        <w:tc>
          <w:tcPr>
            <w:tcW w:w="1280" w:type="dxa"/>
            <w:vAlign w:val="bottom"/>
          </w:tcPr>
          <w:p>
            <w:pPr>
              <w:ind w:left="140"/>
              <w:spacing w:after="0"/>
              <w:rPr>
                <w:sz w:val="20"/>
                <w:szCs w:val="20"/>
                <w:color w:val="auto"/>
              </w:rPr>
            </w:pPr>
            <w:r>
              <w:rPr>
                <w:rFonts w:ascii="Courier New" w:cs="Courier New" w:eastAsia="Courier New" w:hAnsi="Courier New"/>
                <w:sz w:val="16"/>
                <w:szCs w:val="16"/>
                <w:color w:val="auto"/>
              </w:rPr>
              <w:t>$ 50,000.00</w:t>
            </w:r>
          </w:p>
        </w:tc>
      </w:tr>
      <w:tr>
        <w:trPr>
          <w:trHeight w:val="183"/>
        </w:trPr>
        <w:tc>
          <w:tcPr>
            <w:tcW w:w="6060" w:type="dxa"/>
            <w:vAlign w:val="bottom"/>
          </w:tcPr>
          <w:p>
            <w:pPr>
              <w:spacing w:after="0"/>
              <w:rPr>
                <w:sz w:val="20"/>
                <w:szCs w:val="20"/>
                <w:color w:val="auto"/>
              </w:rPr>
            </w:pPr>
            <w:r>
              <w:rPr>
                <w:rFonts w:ascii="Courier New" w:cs="Courier New" w:eastAsia="Courier New" w:hAnsi="Courier New"/>
                <w:sz w:val="16"/>
                <w:szCs w:val="16"/>
                <w:color w:val="auto"/>
              </w:rPr>
              <w:t>Miscellaneous.................................................</w:t>
            </w:r>
          </w:p>
        </w:tc>
        <w:tc>
          <w:tcPr>
            <w:tcW w:w="1280" w:type="dxa"/>
            <w:vAlign w:val="bottom"/>
          </w:tcPr>
          <w:p>
            <w:pPr>
              <w:ind w:left="140"/>
              <w:spacing w:after="0"/>
              <w:rPr>
                <w:sz w:val="20"/>
                <w:szCs w:val="20"/>
                <w:color w:val="auto"/>
              </w:rPr>
            </w:pPr>
            <w:r>
              <w:rPr>
                <w:rFonts w:ascii="Courier New" w:cs="Courier New" w:eastAsia="Courier New" w:hAnsi="Courier New"/>
                <w:sz w:val="16"/>
                <w:szCs w:val="16"/>
                <w:color w:val="auto"/>
              </w:rPr>
              <w:t>$ 13,675.83</w:t>
            </w:r>
          </w:p>
        </w:tc>
      </w:tr>
      <w:tr>
        <w:trPr>
          <w:trHeight w:val="183"/>
        </w:trPr>
        <w:tc>
          <w:tcPr>
            <w:tcW w:w="6060" w:type="dxa"/>
            <w:vAlign w:val="bottom"/>
          </w:tcPr>
          <w:p>
            <w:pPr>
              <w:spacing w:after="0"/>
              <w:rPr>
                <w:sz w:val="15"/>
                <w:szCs w:val="15"/>
                <w:color w:val="auto"/>
              </w:rPr>
            </w:pPr>
          </w:p>
        </w:tc>
        <w:tc>
          <w:tcPr>
            <w:tcW w:w="12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r>
      <w:tr>
        <w:trPr>
          <w:trHeight w:val="183"/>
        </w:trPr>
        <w:tc>
          <w:tcPr>
            <w:tcW w:w="6060" w:type="dxa"/>
            <w:vAlign w:val="bottom"/>
          </w:tcPr>
          <w:p>
            <w:pPr>
              <w:ind w:left="180"/>
              <w:spacing w:after="0"/>
              <w:rPr>
                <w:sz w:val="20"/>
                <w:szCs w:val="20"/>
                <w:color w:val="auto"/>
              </w:rPr>
            </w:pPr>
            <w:r>
              <w:rPr>
                <w:rFonts w:ascii="Courier New" w:cs="Courier New" w:eastAsia="Courier New" w:hAnsi="Courier New"/>
                <w:sz w:val="16"/>
                <w:szCs w:val="16"/>
                <w:color w:val="auto"/>
              </w:rPr>
              <w:t>Total.......................................................</w:t>
            </w:r>
          </w:p>
        </w:tc>
        <w:tc>
          <w:tcPr>
            <w:tcW w:w="1280" w:type="dxa"/>
            <w:vAlign w:val="bottom"/>
          </w:tcPr>
          <w:p>
            <w:pPr>
              <w:ind w:left="140"/>
              <w:spacing w:after="0"/>
              <w:rPr>
                <w:sz w:val="20"/>
                <w:szCs w:val="20"/>
                <w:color w:val="auto"/>
              </w:rPr>
            </w:pPr>
            <w:r>
              <w:rPr>
                <w:rFonts w:ascii="Courier New" w:cs="Courier New" w:eastAsia="Courier New" w:hAnsi="Courier New"/>
                <w:sz w:val="16"/>
                <w:szCs w:val="16"/>
                <w:color w:val="auto"/>
              </w:rPr>
              <w:t>$390,000.00</w:t>
            </w:r>
          </w:p>
        </w:tc>
      </w:tr>
      <w:tr>
        <w:trPr>
          <w:trHeight w:val="183"/>
        </w:trPr>
        <w:tc>
          <w:tcPr>
            <w:tcW w:w="6060" w:type="dxa"/>
            <w:vAlign w:val="bottom"/>
          </w:tcPr>
          <w:p>
            <w:pPr>
              <w:spacing w:after="0"/>
              <w:rPr>
                <w:sz w:val="15"/>
                <w:szCs w:val="15"/>
                <w:color w:val="auto"/>
              </w:rPr>
            </w:pPr>
          </w:p>
        </w:tc>
        <w:tc>
          <w:tcPr>
            <w:tcW w:w="12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r>
      <w:tr>
        <w:trPr>
          <w:trHeight w:val="183"/>
        </w:trPr>
        <w:tc>
          <w:tcPr>
            <w:tcW w:w="6060" w:type="dxa"/>
            <w:vAlign w:val="bottom"/>
          </w:tcPr>
          <w:p>
            <w:pPr>
              <w:spacing w:after="0"/>
              <w:rPr>
                <w:sz w:val="15"/>
                <w:szCs w:val="15"/>
                <w:color w:val="auto"/>
              </w:rPr>
            </w:pPr>
          </w:p>
        </w:tc>
        <w:tc>
          <w:tcPr>
            <w:tcW w:w="12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r>
    </w:tbl>
    <w:p>
      <w:pPr>
        <w:spacing w:after="0" w:line="369"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Estimated</w:t>
      </w:r>
    </w:p>
    <w:p>
      <w:pPr>
        <w:spacing w:after="0" w:line="186" w:lineRule="exact"/>
        <w:rPr>
          <w:sz w:val="20"/>
          <w:szCs w:val="20"/>
          <w:color w:val="auto"/>
        </w:rPr>
      </w:pPr>
    </w:p>
    <w:p>
      <w:pPr>
        <w:ind w:left="2"/>
        <w:spacing w:after="0"/>
        <w:tabs>
          <w:tab w:leader="none" w:pos="942" w:val="left"/>
        </w:tabs>
        <w:rPr>
          <w:sz w:val="20"/>
          <w:szCs w:val="20"/>
          <w:color w:val="auto"/>
        </w:rPr>
      </w:pPr>
      <w:r>
        <w:rPr>
          <w:rFonts w:ascii="Courier New" w:cs="Courier New" w:eastAsia="Courier New" w:hAnsi="Courier New"/>
          <w:sz w:val="16"/>
          <w:szCs w:val="16"/>
          <w:color w:val="auto"/>
        </w:rPr>
        <w:t>ITEM 15.</w:t>
      </w:r>
      <w:r>
        <w:rPr>
          <w:sz w:val="20"/>
          <w:szCs w:val="20"/>
          <w:color w:val="auto"/>
        </w:rPr>
        <w:tab/>
      </w:r>
      <w:r>
        <w:rPr>
          <w:rFonts w:ascii="Courier New" w:cs="Courier New" w:eastAsia="Courier New" w:hAnsi="Courier New"/>
          <w:sz w:val="15"/>
          <w:szCs w:val="15"/>
          <w:color w:val="auto"/>
        </w:rPr>
        <w:t>INDEMNIFICATION OF DIRECTORS AND OFFICERS.</w:t>
      </w:r>
    </w:p>
    <w:p>
      <w:pPr>
        <w:spacing w:after="0" w:line="188" w:lineRule="exact"/>
        <w:rPr>
          <w:sz w:val="20"/>
          <w:szCs w:val="20"/>
          <w:color w:val="auto"/>
        </w:rPr>
      </w:pPr>
    </w:p>
    <w:p>
      <w:pPr>
        <w:ind w:left="2" w:right="2679" w:firstLine="382"/>
        <w:spacing w:after="0" w:line="241" w:lineRule="auto"/>
        <w:rPr>
          <w:sz w:val="20"/>
          <w:szCs w:val="20"/>
          <w:color w:val="auto"/>
        </w:rPr>
      </w:pPr>
      <w:r>
        <w:rPr>
          <w:rFonts w:ascii="Courier New" w:cs="Courier New" w:eastAsia="Courier New" w:hAnsi="Courier New"/>
          <w:sz w:val="16"/>
          <w:szCs w:val="16"/>
          <w:color w:val="auto"/>
        </w:rPr>
        <w:t>Section 145 of the General Corporation Law of Delaware permits indemnification of directors, officers and employees of a corporation under certain conditions and subject to certain limitations. Section 7 of the By-Laws of the Company contains provisions for the indemnification of directors and officers of the Company.</w:t>
      </w:r>
    </w:p>
    <w:p>
      <w:pPr>
        <w:spacing w:after="0" w:line="188" w:lineRule="exact"/>
        <w:rPr>
          <w:sz w:val="20"/>
          <w:szCs w:val="20"/>
          <w:color w:val="auto"/>
        </w:rPr>
      </w:pPr>
    </w:p>
    <w:p>
      <w:pPr>
        <w:ind w:left="2"/>
        <w:spacing w:after="0"/>
        <w:tabs>
          <w:tab w:leader="none" w:pos="942" w:val="left"/>
        </w:tabs>
        <w:rPr>
          <w:sz w:val="20"/>
          <w:szCs w:val="20"/>
          <w:color w:val="auto"/>
        </w:rPr>
      </w:pPr>
      <w:r>
        <w:rPr>
          <w:rFonts w:ascii="Courier New" w:cs="Courier New" w:eastAsia="Courier New" w:hAnsi="Courier New"/>
          <w:sz w:val="16"/>
          <w:szCs w:val="16"/>
          <w:color w:val="auto"/>
        </w:rPr>
        <w:t>ITEM 16.</w:t>
      </w:r>
      <w:r>
        <w:rPr>
          <w:sz w:val="20"/>
          <w:szCs w:val="20"/>
          <w:color w:val="auto"/>
        </w:rPr>
        <w:tab/>
      </w:r>
      <w:r>
        <w:rPr>
          <w:rFonts w:ascii="Courier New" w:cs="Courier New" w:eastAsia="Courier New" w:hAnsi="Courier New"/>
          <w:sz w:val="15"/>
          <w:szCs w:val="15"/>
          <w:color w:val="auto"/>
        </w:rPr>
        <w:t>EXHIBITS.</w:t>
      </w:r>
    </w:p>
    <w:p>
      <w:pPr>
        <w:spacing w:after="0" w:line="369" w:lineRule="exact"/>
        <w:rPr>
          <w:sz w:val="20"/>
          <w:szCs w:val="20"/>
          <w:color w:val="auto"/>
        </w:rPr>
      </w:pPr>
    </w:p>
    <w:p>
      <w:pPr>
        <w:ind w:left="662" w:hanging="567"/>
        <w:spacing w:after="0"/>
        <w:tabs>
          <w:tab w:leader="none" w:pos="662"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of Underwriting Agreement.</w:t>
      </w:r>
    </w:p>
    <w:p>
      <w:pPr>
        <w:spacing w:after="0" w:line="5" w:lineRule="exact"/>
        <w:rPr>
          <w:sz w:val="20"/>
          <w:szCs w:val="20"/>
          <w:color w:val="auto"/>
        </w:rPr>
      </w:pPr>
    </w:p>
    <w:p>
      <w:pPr>
        <w:ind w:left="2" w:right="5639" w:firstLine="93"/>
        <w:spacing w:after="0" w:line="239" w:lineRule="auto"/>
        <w:tabs>
          <w:tab w:leader="none" w:pos="670"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--Opinion of Fulbright &amp; Jaworski L.L.P.* 23.1 --Consent of Arthur Andersen LLP*</w:t>
      </w:r>
    </w:p>
    <w:p>
      <w:pPr>
        <w:spacing w:after="0" w:line="2"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23.2   --Consent of Ernst &amp; Young L.L.P.</w:t>
      </w:r>
    </w:p>
    <w:p>
      <w:pPr>
        <w:spacing w:after="0" w:line="2"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23.3   --Consent of Clifton, Gunderson &amp; Co.*</w:t>
      </w:r>
    </w:p>
    <w:p>
      <w:pPr>
        <w:spacing w:after="0" w:line="2"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23.4   --Consent of KPMG Peat Marwick LLP*</w:t>
      </w:r>
    </w:p>
    <w:p>
      <w:pPr>
        <w:spacing w:after="0" w:line="2"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23.5   --Consent of Fulbright &amp; Jaworski L.L.P. (included in Exhibit 5.)</w:t>
      </w:r>
    </w:p>
    <w:p>
      <w:pPr>
        <w:spacing w:after="0" w:line="2"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24</w:t>
      </w:r>
      <w:r>
        <w:rPr>
          <w:rFonts w:ascii="Courier New" w:cs="Courier New" w:eastAsia="Courier New" w:hAnsi="Courier New"/>
          <w:sz w:val="15"/>
          <w:szCs w:val="15"/>
          <w:color w:val="auto"/>
        </w:rPr>
        <w:t>--Power of Attorney (included on signature page).</w:t>
      </w:r>
    </w:p>
    <w:p>
      <w:pPr>
        <w:spacing w:after="0" w:line="368" w:lineRule="exact"/>
        <w:rPr>
          <w:rFonts w:ascii="Courier New" w:cs="Courier New" w:eastAsia="Courier New" w:hAnsi="Courier New"/>
          <w:sz w:val="16"/>
          <w:szCs w:val="16"/>
          <w:color w:val="auto"/>
        </w:rPr>
      </w:pPr>
    </w:p>
    <w:p>
      <w:pPr>
        <w:ind w:left="182" w:hanging="182"/>
        <w:spacing w:after="0"/>
        <w:tabs>
          <w:tab w:leader="none" w:pos="182"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69"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Previously filed.</w:t>
      </w:r>
    </w:p>
    <w:p>
      <w:pPr>
        <w:spacing w:after="0" w:line="369"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ITEM 17. UNDERTAKINGS.</w:t>
      </w:r>
    </w:p>
    <w:p>
      <w:pPr>
        <w:spacing w:after="0" w:line="186" w:lineRule="exact"/>
        <w:rPr>
          <w:sz w:val="20"/>
          <w:szCs w:val="20"/>
          <w:color w:val="auto"/>
        </w:rPr>
      </w:pPr>
    </w:p>
    <w:p>
      <w:pPr>
        <w:ind w:left="762" w:hanging="381"/>
        <w:spacing w:after="0"/>
        <w:tabs>
          <w:tab w:leader="none" w:pos="762"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w:t>
      </w:r>
    </w:p>
    <w:p>
      <w:pPr>
        <w:spacing w:after="0" w:line="188" w:lineRule="exact"/>
        <w:rPr>
          <w:rFonts w:ascii="Courier New" w:cs="Courier New" w:eastAsia="Courier New" w:hAnsi="Courier New"/>
          <w:sz w:val="16"/>
          <w:szCs w:val="16"/>
          <w:color w:val="auto"/>
        </w:rPr>
      </w:pPr>
    </w:p>
    <w:p>
      <w:pPr>
        <w:ind w:left="382" w:right="2679" w:firstLine="381"/>
        <w:spacing w:after="0" w:line="239" w:lineRule="auto"/>
        <w:tabs>
          <w:tab w:leader="none" w:pos="1145"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during any period in which offers or sales are being made, a post-effective amendment of this registration statement:</w:t>
      </w:r>
    </w:p>
    <w:p>
      <w:pPr>
        <w:spacing w:after="0" w:line="189" w:lineRule="exact"/>
        <w:rPr>
          <w:rFonts w:ascii="Courier New" w:cs="Courier New" w:eastAsia="Courier New" w:hAnsi="Courier New"/>
          <w:sz w:val="16"/>
          <w:szCs w:val="16"/>
          <w:color w:val="auto"/>
        </w:rPr>
      </w:pPr>
    </w:p>
    <w:p>
      <w:pPr>
        <w:ind w:left="662" w:right="2979" w:firstLine="387"/>
        <w:spacing w:after="0" w:line="239" w:lineRule="auto"/>
        <w:tabs>
          <w:tab w:leader="none" w:pos="1425" w:val="left"/>
        </w:tabs>
        <w:numPr>
          <w:ilvl w:val="2"/>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prospectus required by Section 10(a)(3) of the Securities Act of 1933;</w:t>
      </w:r>
    </w:p>
    <w:p>
      <w:pPr>
        <w:spacing w:after="0" w:line="189" w:lineRule="exact"/>
        <w:rPr>
          <w:rFonts w:ascii="Courier New" w:cs="Courier New" w:eastAsia="Courier New" w:hAnsi="Courier New"/>
          <w:sz w:val="16"/>
          <w:szCs w:val="16"/>
          <w:color w:val="auto"/>
        </w:rPr>
      </w:pPr>
    </w:p>
    <w:p>
      <w:pPr>
        <w:ind w:left="662" w:right="2599" w:firstLine="387"/>
        <w:spacing w:after="0" w:line="260" w:lineRule="auto"/>
        <w:tabs>
          <w:tab w:leader="none" w:pos="1521" w:val="left"/>
        </w:tabs>
        <w:numPr>
          <w:ilvl w:val="2"/>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w:t>
      </w:r>
    </w:p>
    <w:p>
      <w:pPr>
        <w:spacing w:after="0" w:line="175"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II-1</w:t>
      </w:r>
    </w:p>
    <w:p>
      <w:pPr>
        <w:sectPr>
          <w:pgSz w:w="11900" w:h="16838" w:orient="portrait"/>
          <w:cols w:equalWidth="0" w:num="1">
            <w:col w:w="10221"/>
          </w:cols>
          <w:pgMar w:left="238" w:top="481" w:right="1440" w:bottom="1440" w:gutter="0" w:footer="0" w:header="0"/>
        </w:sectPr>
      </w:pPr>
    </w:p>
    <w:bookmarkStart w:id="99" w:name="page100"/>
    <w:bookmarkEnd w:id="99"/>
    <w:p>
      <w:pPr>
        <w:ind w:left="660" w:right="2779"/>
        <w:spacing w:after="0" w:line="241" w:lineRule="auto"/>
        <w:rPr>
          <w:sz w:val="20"/>
          <w:szCs w:val="20"/>
          <w:color w:val="auto"/>
        </w:rPr>
      </w:pPr>
      <w:r>
        <w:rPr>
          <w:rFonts w:ascii="Courier New" w:cs="Courier New" w:eastAsia="Courier New" w:hAnsi="Courier New"/>
          <w:sz w:val="16"/>
          <w:szCs w:val="16"/>
          <w:color w:val="auto"/>
        </w:rPr>
        <w:t>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190" w:lineRule="exact"/>
        <w:rPr>
          <w:sz w:val="20"/>
          <w:szCs w:val="20"/>
          <w:color w:val="auto"/>
        </w:rPr>
      </w:pPr>
    </w:p>
    <w:p>
      <w:pPr>
        <w:ind w:left="660" w:right="2599" w:firstLine="387"/>
        <w:spacing w:after="0" w:line="265" w:lineRule="auto"/>
        <w:tabs>
          <w:tab w:leader="none" w:pos="1614"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material information with respect to the plan of distribution not previously disclosed in the registration statement of any material change to such information in the registration statement;</w:t>
      </w:r>
    </w:p>
    <w:p>
      <w:pPr>
        <w:spacing w:after="0" w:line="171"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Provided, however, that paragraphs (1)(i) and (1)(ii) do not apply if the registration statement is on Form S-3 or Form S-8 and the information required to be included in a post-effective amendment by those paragraphs is contained in periodic reports filed by the registrant pursuant to Section 13 or Section 15(d) of the Securities Exchange Act of 1934 that are incorporated by reference in the registration statement.</w:t>
      </w:r>
    </w:p>
    <w:p>
      <w:pPr>
        <w:spacing w:after="0" w:line="187" w:lineRule="exact"/>
        <w:rPr>
          <w:sz w:val="20"/>
          <w:szCs w:val="20"/>
          <w:color w:val="auto"/>
        </w:rPr>
      </w:pPr>
    </w:p>
    <w:p>
      <w:pPr>
        <w:ind w:left="380" w:right="2599" w:firstLine="381"/>
        <w:spacing w:after="0" w:line="241" w:lineRule="auto"/>
        <w:tabs>
          <w:tab w:leader="none" w:pos="1143"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90" w:lineRule="exact"/>
        <w:rPr>
          <w:rFonts w:ascii="Courier New" w:cs="Courier New" w:eastAsia="Courier New" w:hAnsi="Courier New"/>
          <w:sz w:val="16"/>
          <w:szCs w:val="16"/>
          <w:color w:val="auto"/>
        </w:rPr>
      </w:pPr>
    </w:p>
    <w:p>
      <w:pPr>
        <w:ind w:left="380" w:right="2779" w:firstLine="381"/>
        <w:spacing w:after="0"/>
        <w:tabs>
          <w:tab w:leader="none" w:pos="1143"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remove from registration by means of a post-effective amendment any of the securities being registered which remain unsold at the termination of the offering.</w:t>
      </w:r>
    </w:p>
    <w:p>
      <w:pPr>
        <w:spacing w:after="0" w:line="189" w:lineRule="exact"/>
        <w:rPr>
          <w:rFonts w:ascii="Courier New" w:cs="Courier New" w:eastAsia="Courier New" w:hAnsi="Courier New"/>
          <w:sz w:val="16"/>
          <w:szCs w:val="16"/>
          <w:color w:val="auto"/>
        </w:rPr>
      </w:pPr>
    </w:p>
    <w:p>
      <w:pPr>
        <w:ind w:right="2679" w:firstLine="379"/>
        <w:spacing w:after="0" w:line="260" w:lineRule="auto"/>
        <w:tabs>
          <w:tab w:leader="none" w:pos="763"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77" w:lineRule="exact"/>
        <w:rPr>
          <w:rFonts w:ascii="Courier New" w:cs="Courier New" w:eastAsia="Courier New" w:hAnsi="Courier New"/>
          <w:sz w:val="15"/>
          <w:szCs w:val="15"/>
          <w:color w:val="auto"/>
        </w:rPr>
      </w:pPr>
    </w:p>
    <w:p>
      <w:pPr>
        <w:ind w:right="2599" w:firstLine="379"/>
        <w:spacing w:after="0" w:line="242" w:lineRule="auto"/>
        <w:tabs>
          <w:tab w:leader="none" w:pos="763"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90" w:lineRule="exact"/>
        <w:rPr>
          <w:rFonts w:ascii="Courier New" w:cs="Courier New" w:eastAsia="Courier New" w:hAnsi="Courier New"/>
          <w:sz w:val="16"/>
          <w:szCs w:val="16"/>
          <w:color w:val="auto"/>
        </w:rPr>
      </w:pPr>
    </w:p>
    <w:p>
      <w:pPr>
        <w:ind w:left="760" w:hanging="381"/>
        <w:spacing w:after="0"/>
        <w:tabs>
          <w:tab w:leader="none" w:pos="76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hereby undertakes that:</w:t>
      </w:r>
    </w:p>
    <w:p>
      <w:pPr>
        <w:spacing w:after="0" w:line="188" w:lineRule="exact"/>
        <w:rPr>
          <w:rFonts w:ascii="Courier New" w:cs="Courier New" w:eastAsia="Courier New" w:hAnsi="Courier New"/>
          <w:sz w:val="16"/>
          <w:szCs w:val="16"/>
          <w:color w:val="auto"/>
        </w:rPr>
      </w:pPr>
    </w:p>
    <w:p>
      <w:pPr>
        <w:ind w:left="380" w:right="2599" w:firstLine="381"/>
        <w:spacing w:after="0" w:line="242" w:lineRule="auto"/>
        <w:tabs>
          <w:tab w:leader="none" w:pos="1143" w:val="left"/>
        </w:tabs>
        <w:numPr>
          <w:ilvl w:val="1"/>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87" w:lineRule="exact"/>
        <w:rPr>
          <w:rFonts w:ascii="Courier New" w:cs="Courier New" w:eastAsia="Courier New" w:hAnsi="Courier New"/>
          <w:sz w:val="16"/>
          <w:szCs w:val="16"/>
          <w:color w:val="auto"/>
        </w:rPr>
      </w:pPr>
    </w:p>
    <w:p>
      <w:pPr>
        <w:ind w:left="380" w:right="2679" w:firstLine="381"/>
        <w:spacing w:after="0" w:line="241" w:lineRule="auto"/>
        <w:tabs>
          <w:tab w:leader="none" w:pos="1143" w:val="left"/>
        </w:tabs>
        <w:numPr>
          <w:ilvl w:val="1"/>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8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II-2</w:t>
      </w:r>
    </w:p>
    <w:p>
      <w:pPr>
        <w:sectPr>
          <w:pgSz w:w="11900" w:h="16838" w:orient="portrait"/>
          <w:cols w:equalWidth="0" w:num="1">
            <w:col w:w="10219"/>
          </w:cols>
          <w:pgMar w:left="240" w:top="484" w:right="1440" w:bottom="1440" w:gutter="0" w:footer="0" w:header="0"/>
        </w:sectPr>
      </w:pPr>
    </w:p>
    <w:bookmarkStart w:id="100" w:name="page101"/>
    <w:bookmarkEnd w:id="100"/>
    <w:p>
      <w:pPr>
        <w:ind w:left="3340"/>
        <w:spacing w:after="0"/>
        <w:rPr>
          <w:sz w:val="20"/>
          <w:szCs w:val="20"/>
          <w:color w:val="auto"/>
        </w:rPr>
      </w:pPr>
      <w:r>
        <w:rPr>
          <w:rFonts w:ascii="Courier New" w:cs="Courier New" w:eastAsia="Courier New" w:hAnsi="Courier New"/>
          <w:sz w:val="16"/>
          <w:szCs w:val="16"/>
          <w:color w:val="auto"/>
        </w:rPr>
        <w:t>SIGNATURES</w:t>
      </w:r>
    </w:p>
    <w:p>
      <w:pPr>
        <w:spacing w:after="0" w:line="200" w:lineRule="exact"/>
        <w:rPr>
          <w:sz w:val="20"/>
          <w:szCs w:val="20"/>
          <w:color w:val="auto"/>
        </w:rPr>
      </w:pPr>
    </w:p>
    <w:p>
      <w:pPr>
        <w:spacing w:after="0" w:line="355" w:lineRule="exact"/>
        <w:rPr>
          <w:sz w:val="20"/>
          <w:szCs w:val="20"/>
          <w:color w:val="auto"/>
        </w:rPr>
      </w:pPr>
    </w:p>
    <w:p>
      <w:pPr>
        <w:ind w:right="2599" w:firstLine="382"/>
        <w:spacing w:after="0" w:line="241" w:lineRule="auto"/>
        <w:rPr>
          <w:sz w:val="20"/>
          <w:szCs w:val="20"/>
          <w:color w:val="auto"/>
        </w:rPr>
      </w:pPr>
      <w:r>
        <w:rPr>
          <w:rFonts w:ascii="Courier New" w:cs="Courier New" w:eastAsia="Courier New" w:hAnsi="Courier New"/>
          <w:sz w:val="16"/>
          <w:szCs w:val="16"/>
          <w:color w:val="auto"/>
        </w:rPr>
        <w:t>Pursuant to the requirements of the Securities Act of 1933, the Registrant certifies that it has reasonable grounds to believe that it meets all of the requirements for filing on Form S-3 and has caused this Registration Statement to be signed on its behalf by the undersigned, thereunto duly authorized, in the City of King of Prussia, Commonwealth of Pennsylvania, on May 30, 1996.</w:t>
      </w:r>
    </w:p>
    <w:p>
      <w:pPr>
        <w:spacing w:after="0" w:line="371"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UNIVERSAL HEALTH SERVICES, INC.</w:t>
      </w:r>
    </w:p>
    <w:p>
      <w:pPr>
        <w:spacing w:after="0" w:line="186" w:lineRule="exact"/>
        <w:rPr>
          <w:sz w:val="20"/>
          <w:szCs w:val="20"/>
          <w:color w:val="auto"/>
        </w:rPr>
      </w:pPr>
    </w:p>
    <w:p>
      <w:pPr>
        <w:jc w:val="center"/>
        <w:ind w:right="-1400"/>
        <w:spacing w:after="0"/>
        <w:tabs>
          <w:tab w:leader="none" w:pos="28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ALAN B. MILLER</w:t>
      </w:r>
    </w:p>
    <w:p>
      <w:pPr>
        <w:spacing w:after="0" w:line="5" w:lineRule="exact"/>
        <w:rPr>
          <w:sz w:val="20"/>
          <w:szCs w:val="20"/>
          <w:color w:val="auto"/>
        </w:rPr>
      </w:pPr>
    </w:p>
    <w:p>
      <w:pPr>
        <w:ind w:left="438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jc w:val="center"/>
        <w:ind w:right="119"/>
        <w:spacing w:after="0"/>
        <w:rPr>
          <w:sz w:val="20"/>
          <w:szCs w:val="20"/>
          <w:color w:val="auto"/>
        </w:rPr>
      </w:pPr>
      <w:r>
        <w:rPr>
          <w:rFonts w:ascii="Courier New" w:cs="Courier New" w:eastAsia="Courier New" w:hAnsi="Courier New"/>
          <w:sz w:val="16"/>
          <w:szCs w:val="16"/>
          <w:color w:val="auto"/>
        </w:rPr>
        <w:t>Alan B. Miller</w:t>
      </w:r>
    </w:p>
    <w:p>
      <w:pPr>
        <w:spacing w:after="0" w:line="2" w:lineRule="exact"/>
        <w:rPr>
          <w:sz w:val="20"/>
          <w:szCs w:val="20"/>
          <w:color w:val="auto"/>
        </w:rPr>
      </w:pPr>
    </w:p>
    <w:p>
      <w:pPr>
        <w:ind w:left="4280"/>
        <w:spacing w:after="0"/>
        <w:rPr>
          <w:sz w:val="20"/>
          <w:szCs w:val="20"/>
          <w:color w:val="auto"/>
        </w:rPr>
      </w:pPr>
      <w:r>
        <w:rPr>
          <w:rFonts w:ascii="Courier New" w:cs="Courier New" w:eastAsia="Courier New" w:hAnsi="Courier New"/>
          <w:sz w:val="16"/>
          <w:szCs w:val="16"/>
          <w:color w:val="auto"/>
        </w:rPr>
        <w:t>Chairman of the Board, President</w:t>
      </w:r>
    </w:p>
    <w:p>
      <w:pPr>
        <w:spacing w:after="0" w:line="2" w:lineRule="exact"/>
        <w:rPr>
          <w:sz w:val="20"/>
          <w:szCs w:val="20"/>
          <w:color w:val="auto"/>
        </w:rPr>
      </w:pPr>
    </w:p>
    <w:p>
      <w:pPr>
        <w:ind w:left="4380"/>
        <w:spacing w:after="0"/>
        <w:rPr>
          <w:sz w:val="20"/>
          <w:szCs w:val="20"/>
          <w:color w:val="auto"/>
        </w:rPr>
      </w:pPr>
      <w:r>
        <w:rPr>
          <w:rFonts w:ascii="Courier New" w:cs="Courier New" w:eastAsia="Courier New" w:hAnsi="Courier New"/>
          <w:sz w:val="16"/>
          <w:szCs w:val="16"/>
          <w:color w:val="auto"/>
        </w:rPr>
        <w:t>&amp; Chief Executive Officer</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II-3</w:t>
      </w:r>
    </w:p>
    <w:p>
      <w:pPr>
        <w:sectPr>
          <w:pgSz w:w="11900" w:h="16838" w:orient="portrait"/>
          <w:cols w:equalWidth="0" w:num="1">
            <w:col w:w="10219"/>
          </w:cols>
          <w:pgMar w:left="240" w:top="664" w:right="1440" w:bottom="1440" w:gutter="0" w:footer="0" w:header="0"/>
        </w:sectPr>
      </w:pPr>
    </w:p>
    <w:bookmarkStart w:id="101" w:name="page102"/>
    <w:bookmarkEnd w:id="101"/>
    <w:p>
      <w:pPr>
        <w:ind w:right="2599" w:firstLine="382"/>
        <w:spacing w:after="0"/>
        <w:rPr>
          <w:sz w:val="20"/>
          <w:szCs w:val="20"/>
          <w:color w:val="auto"/>
        </w:rPr>
      </w:pPr>
      <w:r>
        <w:rPr>
          <w:rFonts w:ascii="Courier New" w:cs="Courier New" w:eastAsia="Courier New" w:hAnsi="Courier New"/>
          <w:sz w:val="16"/>
          <w:szCs w:val="16"/>
          <w:color w:val="auto"/>
        </w:rPr>
        <w:t>PURSUANT TO THE REQUIREMENTS OF THE SECURITIES ACT OF 1933, AS AMENDED, THIS REGISTRATION STATEMENT HAS BEEN SIGNED BY THE FOLLOWING PERSONS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760" w:type="dxa"/>
            <w:vAlign w:val="bottom"/>
          </w:tcPr>
          <w:p>
            <w:pPr>
              <w:jc w:val="center"/>
              <w:ind w:right="141"/>
              <w:spacing w:after="0"/>
              <w:rPr>
                <w:sz w:val="20"/>
                <w:szCs w:val="20"/>
                <w:color w:val="auto"/>
              </w:rPr>
            </w:pPr>
            <w:r>
              <w:rPr>
                <w:rFonts w:ascii="Courier New" w:cs="Courier New" w:eastAsia="Courier New" w:hAnsi="Courier New"/>
                <w:sz w:val="16"/>
                <w:szCs w:val="16"/>
                <w:color w:val="auto"/>
                <w:w w:val="99"/>
              </w:rPr>
              <w:t>SIGNATURE</w:t>
            </w:r>
          </w:p>
        </w:tc>
        <w:tc>
          <w:tcPr>
            <w:tcW w:w="3100" w:type="dxa"/>
            <w:vAlign w:val="bottom"/>
          </w:tcPr>
          <w:p>
            <w:pPr>
              <w:ind w:left="1200"/>
              <w:spacing w:after="0"/>
              <w:rPr>
                <w:sz w:val="20"/>
                <w:szCs w:val="20"/>
                <w:color w:val="auto"/>
              </w:rPr>
            </w:pPr>
            <w:r>
              <w:rPr>
                <w:rFonts w:ascii="Courier New" w:cs="Courier New" w:eastAsia="Courier New" w:hAnsi="Courier New"/>
                <w:sz w:val="16"/>
                <w:szCs w:val="16"/>
                <w:color w:val="auto"/>
              </w:rPr>
              <w:t>TITLE</w:t>
            </w:r>
          </w:p>
        </w:tc>
        <w:tc>
          <w:tcPr>
            <w:tcW w:w="1440" w:type="dxa"/>
            <w:vAlign w:val="bottom"/>
          </w:tcPr>
          <w:p>
            <w:pPr>
              <w:jc w:val="center"/>
              <w:ind w:left="221"/>
              <w:spacing w:after="0"/>
              <w:rPr>
                <w:sz w:val="20"/>
                <w:szCs w:val="20"/>
                <w:color w:val="auto"/>
              </w:rPr>
            </w:pPr>
            <w:r>
              <w:rPr>
                <w:rFonts w:ascii="Courier New" w:cs="Courier New" w:eastAsia="Courier New" w:hAnsi="Courier New"/>
                <w:sz w:val="16"/>
                <w:szCs w:val="16"/>
                <w:color w:val="auto"/>
                <w:w w:val="98"/>
              </w:rPr>
              <w:t>DATE</w:t>
            </w:r>
          </w:p>
        </w:tc>
      </w:tr>
      <w:tr>
        <w:trPr>
          <w:trHeight w:val="183"/>
        </w:trPr>
        <w:tc>
          <w:tcPr>
            <w:tcW w:w="3760" w:type="dxa"/>
            <w:vAlign w:val="bottom"/>
          </w:tcPr>
          <w:p>
            <w:pPr>
              <w:jc w:val="center"/>
              <w:ind w:right="141"/>
              <w:spacing w:after="0"/>
              <w:rPr>
                <w:sz w:val="20"/>
                <w:szCs w:val="20"/>
                <w:color w:val="auto"/>
              </w:rPr>
            </w:pPr>
            <w:r>
              <w:rPr>
                <w:rFonts w:ascii="Courier New" w:cs="Courier New" w:eastAsia="Courier New" w:hAnsi="Courier New"/>
                <w:sz w:val="16"/>
                <w:szCs w:val="16"/>
                <w:color w:val="auto"/>
                <w:w w:val="99"/>
              </w:rPr>
              <w:t>---------</w:t>
            </w:r>
          </w:p>
        </w:tc>
        <w:tc>
          <w:tcPr>
            <w:tcW w:w="3100" w:type="dxa"/>
            <w:vAlign w:val="bottom"/>
          </w:tcPr>
          <w:p>
            <w:pPr>
              <w:ind w:left="120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center"/>
              <w:ind w:left="221"/>
              <w:spacing w:after="0"/>
              <w:rPr>
                <w:sz w:val="20"/>
                <w:szCs w:val="20"/>
                <w:color w:val="auto"/>
              </w:rPr>
            </w:pPr>
            <w:r>
              <w:rPr>
                <w:rFonts w:ascii="Courier New" w:cs="Courier New" w:eastAsia="Courier New" w:hAnsi="Courier New"/>
                <w:sz w:val="16"/>
                <w:szCs w:val="16"/>
                <w:color w:val="auto"/>
                <w:w w:val="98"/>
              </w:rPr>
              <w:t>----</w:t>
            </w:r>
          </w:p>
        </w:tc>
      </w:tr>
      <w:tr>
        <w:trPr>
          <w:trHeight w:val="367"/>
        </w:trPr>
        <w:tc>
          <w:tcPr>
            <w:tcW w:w="3760" w:type="dxa"/>
            <w:vAlign w:val="bottom"/>
          </w:tcPr>
          <w:p>
            <w:pPr>
              <w:jc w:val="center"/>
              <w:ind w:right="161"/>
              <w:spacing w:after="0"/>
              <w:rPr>
                <w:sz w:val="20"/>
                <w:szCs w:val="20"/>
                <w:color w:val="auto"/>
              </w:rPr>
            </w:pPr>
            <w:r>
              <w:rPr>
                <w:rFonts w:ascii="Courier New" w:cs="Courier New" w:eastAsia="Courier New" w:hAnsi="Courier New"/>
                <w:sz w:val="16"/>
                <w:szCs w:val="16"/>
                <w:color w:val="auto"/>
                <w:w w:val="82"/>
              </w:rPr>
              <w:t>*</w:t>
            </w:r>
          </w:p>
        </w:tc>
        <w:tc>
          <w:tcPr>
            <w:tcW w:w="3100" w:type="dxa"/>
            <w:vAlign w:val="bottom"/>
          </w:tcPr>
          <w:p>
            <w:pPr>
              <w:ind w:left="60"/>
              <w:spacing w:after="0"/>
              <w:rPr>
                <w:sz w:val="20"/>
                <w:szCs w:val="20"/>
                <w:color w:val="auto"/>
              </w:rPr>
            </w:pPr>
            <w:r>
              <w:rPr>
                <w:rFonts w:ascii="Courier New" w:cs="Courier New" w:eastAsia="Courier New" w:hAnsi="Courier New"/>
                <w:sz w:val="16"/>
                <w:szCs w:val="16"/>
                <w:color w:val="auto"/>
              </w:rPr>
              <w:t>Chairman of the Board,</w:t>
            </w:r>
          </w:p>
        </w:tc>
        <w:tc>
          <w:tcPr>
            <w:tcW w:w="1440" w:type="dxa"/>
            <w:vAlign w:val="bottom"/>
          </w:tcPr>
          <w:p>
            <w:pPr>
              <w:jc w:val="center"/>
              <w:ind w:left="221"/>
              <w:spacing w:after="0"/>
              <w:rPr>
                <w:sz w:val="20"/>
                <w:szCs w:val="20"/>
                <w:color w:val="auto"/>
              </w:rPr>
            </w:pPr>
            <w:r>
              <w:rPr>
                <w:rFonts w:ascii="Courier New" w:cs="Courier New" w:eastAsia="Courier New" w:hAnsi="Courier New"/>
                <w:sz w:val="16"/>
                <w:szCs w:val="16"/>
                <w:color w:val="auto"/>
                <w:w w:val="98"/>
              </w:rPr>
              <w:t>May 30, 1996</w:t>
            </w:r>
          </w:p>
        </w:tc>
      </w:tr>
      <w:tr>
        <w:trPr>
          <w:trHeight w:val="183"/>
        </w:trPr>
        <w:tc>
          <w:tcPr>
            <w:tcW w:w="3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3100" w:type="dxa"/>
            <w:vAlign w:val="bottom"/>
          </w:tcPr>
          <w:p>
            <w:pPr>
              <w:ind w:left="340"/>
              <w:spacing w:after="0"/>
              <w:rPr>
                <w:sz w:val="20"/>
                <w:szCs w:val="20"/>
                <w:color w:val="auto"/>
              </w:rPr>
            </w:pPr>
            <w:r>
              <w:rPr>
                <w:rFonts w:ascii="Courier New" w:cs="Courier New" w:eastAsia="Courier New" w:hAnsi="Courier New"/>
                <w:sz w:val="16"/>
                <w:szCs w:val="16"/>
                <w:color w:val="auto"/>
              </w:rPr>
              <w:t>President, Chief Executive</w:t>
            </w:r>
          </w:p>
        </w:tc>
        <w:tc>
          <w:tcPr>
            <w:tcW w:w="1440" w:type="dxa"/>
            <w:vAlign w:val="bottom"/>
          </w:tcPr>
          <w:p>
            <w:pPr>
              <w:spacing w:after="0"/>
              <w:rPr>
                <w:sz w:val="15"/>
                <w:szCs w:val="15"/>
                <w:color w:val="auto"/>
              </w:rPr>
            </w:pPr>
          </w:p>
        </w:tc>
      </w:tr>
      <w:tr>
        <w:trPr>
          <w:trHeight w:val="183"/>
        </w:trPr>
        <w:tc>
          <w:tcPr>
            <w:tcW w:w="3760" w:type="dxa"/>
            <w:vAlign w:val="bottom"/>
          </w:tcPr>
          <w:p>
            <w:pPr>
              <w:jc w:val="center"/>
              <w:ind w:right="61"/>
              <w:spacing w:after="0"/>
              <w:rPr>
                <w:sz w:val="20"/>
                <w:szCs w:val="20"/>
                <w:color w:val="auto"/>
              </w:rPr>
            </w:pPr>
            <w:r>
              <w:rPr>
                <w:rFonts w:ascii="Courier New" w:cs="Courier New" w:eastAsia="Courier New" w:hAnsi="Courier New"/>
                <w:sz w:val="16"/>
                <w:szCs w:val="16"/>
                <w:color w:val="auto"/>
                <w:w w:val="99"/>
              </w:rPr>
              <w:t>Alan B. Miller</w:t>
            </w:r>
          </w:p>
        </w:tc>
        <w:tc>
          <w:tcPr>
            <w:tcW w:w="3100" w:type="dxa"/>
            <w:vAlign w:val="bottom"/>
          </w:tcPr>
          <w:p>
            <w:pPr>
              <w:ind w:left="240"/>
              <w:spacing w:after="0"/>
              <w:rPr>
                <w:sz w:val="20"/>
                <w:szCs w:val="20"/>
                <w:color w:val="auto"/>
              </w:rPr>
            </w:pPr>
            <w:r>
              <w:rPr>
                <w:rFonts w:ascii="Courier New" w:cs="Courier New" w:eastAsia="Courier New" w:hAnsi="Courier New"/>
                <w:sz w:val="16"/>
                <w:szCs w:val="16"/>
                <w:color w:val="auto"/>
              </w:rPr>
              <w:t>Officer and Director</w:t>
            </w:r>
          </w:p>
        </w:tc>
        <w:tc>
          <w:tcPr>
            <w:tcW w:w="1440" w:type="dxa"/>
            <w:vAlign w:val="bottom"/>
          </w:tcPr>
          <w:p>
            <w:pPr>
              <w:spacing w:after="0"/>
              <w:rPr>
                <w:sz w:val="15"/>
                <w:szCs w:val="15"/>
                <w:color w:val="auto"/>
              </w:rPr>
            </w:pPr>
          </w:p>
        </w:tc>
      </w:tr>
      <w:tr>
        <w:trPr>
          <w:trHeight w:val="183"/>
        </w:trPr>
        <w:tc>
          <w:tcPr>
            <w:tcW w:w="3760" w:type="dxa"/>
            <w:vAlign w:val="bottom"/>
          </w:tcPr>
          <w:p>
            <w:pPr>
              <w:spacing w:after="0"/>
              <w:rPr>
                <w:sz w:val="15"/>
                <w:szCs w:val="15"/>
                <w:color w:val="auto"/>
              </w:rPr>
            </w:pPr>
          </w:p>
        </w:tc>
        <w:tc>
          <w:tcPr>
            <w:tcW w:w="3100" w:type="dxa"/>
            <w:vAlign w:val="bottom"/>
          </w:tcPr>
          <w:p>
            <w:pPr>
              <w:ind w:left="240"/>
              <w:spacing w:after="0"/>
              <w:rPr>
                <w:sz w:val="20"/>
                <w:szCs w:val="20"/>
                <w:color w:val="auto"/>
              </w:rPr>
            </w:pPr>
            <w:r>
              <w:rPr>
                <w:rFonts w:ascii="Courier New" w:cs="Courier New" w:eastAsia="Courier New" w:hAnsi="Courier New"/>
                <w:sz w:val="16"/>
                <w:szCs w:val="16"/>
                <w:color w:val="auto"/>
              </w:rPr>
              <w:t>(Principal Executive</w:t>
            </w:r>
          </w:p>
        </w:tc>
        <w:tc>
          <w:tcPr>
            <w:tcW w:w="1440" w:type="dxa"/>
            <w:vAlign w:val="bottom"/>
          </w:tcPr>
          <w:p>
            <w:pPr>
              <w:spacing w:after="0"/>
              <w:rPr>
                <w:sz w:val="15"/>
                <w:szCs w:val="15"/>
                <w:color w:val="auto"/>
              </w:rPr>
            </w:pPr>
          </w:p>
        </w:tc>
      </w:tr>
      <w:tr>
        <w:trPr>
          <w:trHeight w:val="183"/>
        </w:trPr>
        <w:tc>
          <w:tcPr>
            <w:tcW w:w="3760" w:type="dxa"/>
            <w:vAlign w:val="bottom"/>
          </w:tcPr>
          <w:p>
            <w:pPr>
              <w:spacing w:after="0"/>
              <w:rPr>
                <w:sz w:val="15"/>
                <w:szCs w:val="15"/>
                <w:color w:val="auto"/>
              </w:rPr>
            </w:pPr>
          </w:p>
        </w:tc>
        <w:tc>
          <w:tcPr>
            <w:tcW w:w="3100" w:type="dxa"/>
            <w:vAlign w:val="bottom"/>
          </w:tcPr>
          <w:p>
            <w:pPr>
              <w:ind w:left="240"/>
              <w:spacing w:after="0"/>
              <w:rPr>
                <w:sz w:val="20"/>
                <w:szCs w:val="20"/>
                <w:color w:val="auto"/>
              </w:rPr>
            </w:pPr>
            <w:r>
              <w:rPr>
                <w:rFonts w:ascii="Courier New" w:cs="Courier New" w:eastAsia="Courier New" w:hAnsi="Courier New"/>
                <w:sz w:val="16"/>
                <w:szCs w:val="16"/>
                <w:color w:val="auto"/>
              </w:rPr>
              <w:t>Officer)</w:t>
            </w:r>
          </w:p>
        </w:tc>
        <w:tc>
          <w:tcPr>
            <w:tcW w:w="1440" w:type="dxa"/>
            <w:vAlign w:val="bottom"/>
          </w:tcPr>
          <w:p>
            <w:pPr>
              <w:spacing w:after="0"/>
              <w:rPr>
                <w:sz w:val="15"/>
                <w:szCs w:val="15"/>
                <w:color w:val="auto"/>
              </w:rPr>
            </w:pPr>
          </w:p>
        </w:tc>
      </w:tr>
      <w:tr>
        <w:trPr>
          <w:trHeight w:val="367"/>
        </w:trPr>
        <w:tc>
          <w:tcPr>
            <w:tcW w:w="3760" w:type="dxa"/>
            <w:vAlign w:val="bottom"/>
          </w:tcPr>
          <w:p>
            <w:pPr>
              <w:jc w:val="center"/>
              <w:ind w:right="161"/>
              <w:spacing w:after="0"/>
              <w:rPr>
                <w:sz w:val="20"/>
                <w:szCs w:val="20"/>
                <w:color w:val="auto"/>
              </w:rPr>
            </w:pPr>
            <w:r>
              <w:rPr>
                <w:rFonts w:ascii="Courier New" w:cs="Courier New" w:eastAsia="Courier New" w:hAnsi="Courier New"/>
                <w:sz w:val="16"/>
                <w:szCs w:val="16"/>
                <w:color w:val="auto"/>
                <w:w w:val="82"/>
              </w:rPr>
              <w:t>*</w:t>
            </w:r>
          </w:p>
        </w:tc>
        <w:tc>
          <w:tcPr>
            <w:tcW w:w="3100" w:type="dxa"/>
            <w:vAlign w:val="bottom"/>
          </w:tcPr>
          <w:p>
            <w:pPr>
              <w:ind w:left="60"/>
              <w:spacing w:after="0"/>
              <w:rPr>
                <w:sz w:val="20"/>
                <w:szCs w:val="20"/>
                <w:color w:val="auto"/>
              </w:rPr>
            </w:pPr>
            <w:r>
              <w:rPr>
                <w:rFonts w:ascii="Courier New" w:cs="Courier New" w:eastAsia="Courier New" w:hAnsi="Courier New"/>
                <w:sz w:val="16"/>
                <w:szCs w:val="16"/>
                <w:color w:val="auto"/>
              </w:rPr>
              <w:t>Director</w:t>
            </w:r>
          </w:p>
        </w:tc>
        <w:tc>
          <w:tcPr>
            <w:tcW w:w="1440" w:type="dxa"/>
            <w:vAlign w:val="bottom"/>
          </w:tcPr>
          <w:p>
            <w:pPr>
              <w:jc w:val="center"/>
              <w:ind w:left="221"/>
              <w:spacing w:after="0"/>
              <w:rPr>
                <w:sz w:val="20"/>
                <w:szCs w:val="20"/>
                <w:color w:val="auto"/>
              </w:rPr>
            </w:pPr>
            <w:r>
              <w:rPr>
                <w:rFonts w:ascii="Courier New" w:cs="Courier New" w:eastAsia="Courier New" w:hAnsi="Courier New"/>
                <w:sz w:val="16"/>
                <w:szCs w:val="16"/>
                <w:color w:val="auto"/>
                <w:w w:val="98"/>
              </w:rPr>
              <w:t>May 30, 1996</w:t>
            </w:r>
          </w:p>
        </w:tc>
      </w:tr>
      <w:tr>
        <w:trPr>
          <w:trHeight w:val="183"/>
        </w:trPr>
        <w:tc>
          <w:tcPr>
            <w:tcW w:w="3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310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3"/>
        </w:trPr>
        <w:tc>
          <w:tcPr>
            <w:tcW w:w="3760" w:type="dxa"/>
            <w:vAlign w:val="bottom"/>
          </w:tcPr>
          <w:p>
            <w:pPr>
              <w:jc w:val="center"/>
              <w:ind w:right="161"/>
              <w:spacing w:after="0"/>
              <w:rPr>
                <w:sz w:val="20"/>
                <w:szCs w:val="20"/>
                <w:color w:val="auto"/>
              </w:rPr>
            </w:pPr>
            <w:r>
              <w:rPr>
                <w:rFonts w:ascii="Courier New" w:cs="Courier New" w:eastAsia="Courier New" w:hAnsi="Courier New"/>
                <w:sz w:val="16"/>
                <w:szCs w:val="16"/>
                <w:color w:val="auto"/>
                <w:w w:val="99"/>
              </w:rPr>
              <w:t>John H. Herrell</w:t>
            </w:r>
          </w:p>
        </w:tc>
        <w:tc>
          <w:tcPr>
            <w:tcW w:w="310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367"/>
        </w:trPr>
        <w:tc>
          <w:tcPr>
            <w:tcW w:w="3760" w:type="dxa"/>
            <w:vAlign w:val="bottom"/>
          </w:tcPr>
          <w:p>
            <w:pPr>
              <w:jc w:val="center"/>
              <w:ind w:right="161"/>
              <w:spacing w:after="0"/>
              <w:rPr>
                <w:sz w:val="20"/>
                <w:szCs w:val="20"/>
                <w:color w:val="auto"/>
              </w:rPr>
            </w:pPr>
            <w:r>
              <w:rPr>
                <w:rFonts w:ascii="Courier New" w:cs="Courier New" w:eastAsia="Courier New" w:hAnsi="Courier New"/>
                <w:sz w:val="16"/>
                <w:szCs w:val="16"/>
                <w:color w:val="auto"/>
                <w:w w:val="82"/>
              </w:rPr>
              <w:t>*</w:t>
            </w:r>
          </w:p>
        </w:tc>
        <w:tc>
          <w:tcPr>
            <w:tcW w:w="3100" w:type="dxa"/>
            <w:vAlign w:val="bottom"/>
          </w:tcPr>
          <w:p>
            <w:pPr>
              <w:ind w:left="60"/>
              <w:spacing w:after="0"/>
              <w:rPr>
                <w:sz w:val="20"/>
                <w:szCs w:val="20"/>
                <w:color w:val="auto"/>
              </w:rPr>
            </w:pPr>
            <w:r>
              <w:rPr>
                <w:rFonts w:ascii="Courier New" w:cs="Courier New" w:eastAsia="Courier New" w:hAnsi="Courier New"/>
                <w:sz w:val="16"/>
                <w:szCs w:val="16"/>
                <w:color w:val="auto"/>
              </w:rPr>
              <w:t>Director</w:t>
            </w:r>
          </w:p>
        </w:tc>
        <w:tc>
          <w:tcPr>
            <w:tcW w:w="1440" w:type="dxa"/>
            <w:vAlign w:val="bottom"/>
          </w:tcPr>
          <w:p>
            <w:pPr>
              <w:jc w:val="center"/>
              <w:ind w:left="221"/>
              <w:spacing w:after="0"/>
              <w:rPr>
                <w:sz w:val="20"/>
                <w:szCs w:val="20"/>
                <w:color w:val="auto"/>
              </w:rPr>
            </w:pPr>
            <w:r>
              <w:rPr>
                <w:rFonts w:ascii="Courier New" w:cs="Courier New" w:eastAsia="Courier New" w:hAnsi="Courier New"/>
                <w:sz w:val="16"/>
                <w:szCs w:val="16"/>
                <w:color w:val="auto"/>
                <w:w w:val="98"/>
              </w:rPr>
              <w:t>May 30, 1996</w:t>
            </w:r>
          </w:p>
        </w:tc>
      </w:tr>
      <w:tr>
        <w:trPr>
          <w:trHeight w:val="183"/>
        </w:trPr>
        <w:tc>
          <w:tcPr>
            <w:tcW w:w="3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310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3"/>
        </w:trPr>
        <w:tc>
          <w:tcPr>
            <w:tcW w:w="3760" w:type="dxa"/>
            <w:vAlign w:val="bottom"/>
          </w:tcPr>
          <w:p>
            <w:pPr>
              <w:jc w:val="center"/>
              <w:ind w:right="61"/>
              <w:spacing w:after="0"/>
              <w:rPr>
                <w:sz w:val="20"/>
                <w:szCs w:val="20"/>
                <w:color w:val="auto"/>
              </w:rPr>
            </w:pPr>
            <w:r>
              <w:rPr>
                <w:rFonts w:ascii="Courier New" w:cs="Courier New" w:eastAsia="Courier New" w:hAnsi="Courier New"/>
                <w:sz w:val="16"/>
                <w:szCs w:val="16"/>
                <w:color w:val="auto"/>
                <w:w w:val="99"/>
              </w:rPr>
              <w:t>Robert H. Hotz</w:t>
            </w:r>
          </w:p>
        </w:tc>
        <w:tc>
          <w:tcPr>
            <w:tcW w:w="310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367"/>
        </w:trPr>
        <w:tc>
          <w:tcPr>
            <w:tcW w:w="3760" w:type="dxa"/>
            <w:vAlign w:val="bottom"/>
          </w:tcPr>
          <w:p>
            <w:pPr>
              <w:jc w:val="center"/>
              <w:ind w:right="161"/>
              <w:spacing w:after="0"/>
              <w:rPr>
                <w:sz w:val="20"/>
                <w:szCs w:val="20"/>
                <w:color w:val="auto"/>
              </w:rPr>
            </w:pPr>
            <w:r>
              <w:rPr>
                <w:rFonts w:ascii="Courier New" w:cs="Courier New" w:eastAsia="Courier New" w:hAnsi="Courier New"/>
                <w:sz w:val="16"/>
                <w:szCs w:val="16"/>
                <w:color w:val="auto"/>
                <w:w w:val="82"/>
              </w:rPr>
              <w:t>*</w:t>
            </w:r>
          </w:p>
        </w:tc>
        <w:tc>
          <w:tcPr>
            <w:tcW w:w="3100" w:type="dxa"/>
            <w:vAlign w:val="bottom"/>
          </w:tcPr>
          <w:p>
            <w:pPr>
              <w:ind w:left="60"/>
              <w:spacing w:after="0"/>
              <w:rPr>
                <w:sz w:val="20"/>
                <w:szCs w:val="20"/>
                <w:color w:val="auto"/>
              </w:rPr>
            </w:pPr>
            <w:r>
              <w:rPr>
                <w:rFonts w:ascii="Courier New" w:cs="Courier New" w:eastAsia="Courier New" w:hAnsi="Courier New"/>
                <w:sz w:val="16"/>
                <w:szCs w:val="16"/>
                <w:color w:val="auto"/>
              </w:rPr>
              <w:t>Director</w:t>
            </w:r>
          </w:p>
        </w:tc>
        <w:tc>
          <w:tcPr>
            <w:tcW w:w="1440" w:type="dxa"/>
            <w:vAlign w:val="bottom"/>
          </w:tcPr>
          <w:p>
            <w:pPr>
              <w:jc w:val="center"/>
              <w:ind w:left="221"/>
              <w:spacing w:after="0"/>
              <w:rPr>
                <w:sz w:val="20"/>
                <w:szCs w:val="20"/>
                <w:color w:val="auto"/>
              </w:rPr>
            </w:pPr>
            <w:r>
              <w:rPr>
                <w:rFonts w:ascii="Courier New" w:cs="Courier New" w:eastAsia="Courier New" w:hAnsi="Courier New"/>
                <w:sz w:val="16"/>
                <w:szCs w:val="16"/>
                <w:color w:val="auto"/>
                <w:w w:val="98"/>
              </w:rPr>
              <w:t>May 30, 1996</w:t>
            </w:r>
          </w:p>
        </w:tc>
      </w:tr>
      <w:tr>
        <w:trPr>
          <w:trHeight w:val="183"/>
        </w:trPr>
        <w:tc>
          <w:tcPr>
            <w:tcW w:w="3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310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3"/>
        </w:trPr>
        <w:tc>
          <w:tcPr>
            <w:tcW w:w="3760" w:type="dxa"/>
            <w:vAlign w:val="bottom"/>
          </w:tcPr>
          <w:p>
            <w:pPr>
              <w:jc w:val="center"/>
              <w:ind w:right="61"/>
              <w:spacing w:after="0"/>
              <w:rPr>
                <w:sz w:val="20"/>
                <w:szCs w:val="20"/>
                <w:color w:val="auto"/>
              </w:rPr>
            </w:pPr>
            <w:r>
              <w:rPr>
                <w:rFonts w:ascii="Courier New" w:cs="Courier New" w:eastAsia="Courier New" w:hAnsi="Courier New"/>
                <w:sz w:val="16"/>
                <w:szCs w:val="16"/>
                <w:color w:val="auto"/>
                <w:w w:val="99"/>
              </w:rPr>
              <w:t>Martin Myerson</w:t>
            </w:r>
          </w:p>
        </w:tc>
        <w:tc>
          <w:tcPr>
            <w:tcW w:w="310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367"/>
        </w:trPr>
        <w:tc>
          <w:tcPr>
            <w:tcW w:w="3760" w:type="dxa"/>
            <w:vAlign w:val="bottom"/>
          </w:tcPr>
          <w:p>
            <w:pPr>
              <w:jc w:val="center"/>
              <w:ind w:right="161"/>
              <w:spacing w:after="0"/>
              <w:rPr>
                <w:sz w:val="20"/>
                <w:szCs w:val="20"/>
                <w:color w:val="auto"/>
              </w:rPr>
            </w:pPr>
            <w:r>
              <w:rPr>
                <w:rFonts w:ascii="Courier New" w:cs="Courier New" w:eastAsia="Courier New" w:hAnsi="Courier New"/>
                <w:sz w:val="16"/>
                <w:szCs w:val="16"/>
                <w:color w:val="auto"/>
                <w:w w:val="82"/>
              </w:rPr>
              <w:t>*</w:t>
            </w:r>
          </w:p>
        </w:tc>
        <w:tc>
          <w:tcPr>
            <w:tcW w:w="3100" w:type="dxa"/>
            <w:vAlign w:val="bottom"/>
          </w:tcPr>
          <w:p>
            <w:pPr>
              <w:ind w:left="60"/>
              <w:spacing w:after="0"/>
              <w:rPr>
                <w:sz w:val="20"/>
                <w:szCs w:val="20"/>
                <w:color w:val="auto"/>
              </w:rPr>
            </w:pPr>
            <w:r>
              <w:rPr>
                <w:rFonts w:ascii="Courier New" w:cs="Courier New" w:eastAsia="Courier New" w:hAnsi="Courier New"/>
                <w:sz w:val="16"/>
                <w:szCs w:val="16"/>
                <w:color w:val="auto"/>
              </w:rPr>
              <w:t>Director</w:t>
            </w:r>
          </w:p>
        </w:tc>
        <w:tc>
          <w:tcPr>
            <w:tcW w:w="1440" w:type="dxa"/>
            <w:vAlign w:val="bottom"/>
          </w:tcPr>
          <w:p>
            <w:pPr>
              <w:jc w:val="center"/>
              <w:ind w:left="221"/>
              <w:spacing w:after="0"/>
              <w:rPr>
                <w:sz w:val="20"/>
                <w:szCs w:val="20"/>
                <w:color w:val="auto"/>
              </w:rPr>
            </w:pPr>
            <w:r>
              <w:rPr>
                <w:rFonts w:ascii="Courier New" w:cs="Courier New" w:eastAsia="Courier New" w:hAnsi="Courier New"/>
                <w:sz w:val="16"/>
                <w:szCs w:val="16"/>
                <w:color w:val="auto"/>
                <w:w w:val="98"/>
              </w:rPr>
              <w:t>May 30, 1996</w:t>
            </w:r>
          </w:p>
        </w:tc>
      </w:tr>
      <w:tr>
        <w:trPr>
          <w:trHeight w:val="183"/>
        </w:trPr>
        <w:tc>
          <w:tcPr>
            <w:tcW w:w="3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310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3"/>
        </w:trPr>
        <w:tc>
          <w:tcPr>
            <w:tcW w:w="3760" w:type="dxa"/>
            <w:vAlign w:val="bottom"/>
          </w:tcPr>
          <w:p>
            <w:pPr>
              <w:jc w:val="center"/>
              <w:ind w:right="161"/>
              <w:spacing w:after="0"/>
              <w:rPr>
                <w:sz w:val="20"/>
                <w:szCs w:val="20"/>
                <w:color w:val="auto"/>
              </w:rPr>
            </w:pPr>
            <w:r>
              <w:rPr>
                <w:rFonts w:ascii="Courier New" w:cs="Courier New" w:eastAsia="Courier New" w:hAnsi="Courier New"/>
                <w:sz w:val="16"/>
                <w:szCs w:val="16"/>
                <w:color w:val="auto"/>
                <w:w w:val="99"/>
              </w:rPr>
              <w:t>Sidney Miller</w:t>
            </w:r>
          </w:p>
        </w:tc>
        <w:tc>
          <w:tcPr>
            <w:tcW w:w="310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367"/>
        </w:trPr>
        <w:tc>
          <w:tcPr>
            <w:tcW w:w="3760" w:type="dxa"/>
            <w:vAlign w:val="bottom"/>
          </w:tcPr>
          <w:p>
            <w:pPr>
              <w:jc w:val="center"/>
              <w:ind w:right="161"/>
              <w:spacing w:after="0"/>
              <w:rPr>
                <w:sz w:val="20"/>
                <w:szCs w:val="20"/>
                <w:color w:val="auto"/>
              </w:rPr>
            </w:pPr>
            <w:r>
              <w:rPr>
                <w:rFonts w:ascii="Courier New" w:cs="Courier New" w:eastAsia="Courier New" w:hAnsi="Courier New"/>
                <w:sz w:val="16"/>
                <w:szCs w:val="16"/>
                <w:color w:val="auto"/>
                <w:w w:val="82"/>
              </w:rPr>
              <w:t>*</w:t>
            </w:r>
          </w:p>
        </w:tc>
        <w:tc>
          <w:tcPr>
            <w:tcW w:w="3100" w:type="dxa"/>
            <w:vAlign w:val="bottom"/>
          </w:tcPr>
          <w:p>
            <w:pPr>
              <w:ind w:left="60"/>
              <w:spacing w:after="0"/>
              <w:rPr>
                <w:sz w:val="20"/>
                <w:szCs w:val="20"/>
                <w:color w:val="auto"/>
              </w:rPr>
            </w:pPr>
            <w:r>
              <w:rPr>
                <w:rFonts w:ascii="Courier New" w:cs="Courier New" w:eastAsia="Courier New" w:hAnsi="Courier New"/>
                <w:sz w:val="16"/>
                <w:szCs w:val="16"/>
                <w:color w:val="auto"/>
              </w:rPr>
              <w:t>Director</w:t>
            </w:r>
          </w:p>
        </w:tc>
        <w:tc>
          <w:tcPr>
            <w:tcW w:w="1440" w:type="dxa"/>
            <w:vAlign w:val="bottom"/>
          </w:tcPr>
          <w:p>
            <w:pPr>
              <w:jc w:val="center"/>
              <w:ind w:left="221"/>
              <w:spacing w:after="0"/>
              <w:rPr>
                <w:sz w:val="20"/>
                <w:szCs w:val="20"/>
                <w:color w:val="auto"/>
              </w:rPr>
            </w:pPr>
            <w:r>
              <w:rPr>
                <w:rFonts w:ascii="Courier New" w:cs="Courier New" w:eastAsia="Courier New" w:hAnsi="Courier New"/>
                <w:sz w:val="16"/>
                <w:szCs w:val="16"/>
                <w:color w:val="auto"/>
                <w:w w:val="98"/>
              </w:rPr>
              <w:t>May 30, 1996</w:t>
            </w:r>
          </w:p>
        </w:tc>
      </w:tr>
      <w:tr>
        <w:trPr>
          <w:trHeight w:val="183"/>
        </w:trPr>
        <w:tc>
          <w:tcPr>
            <w:tcW w:w="3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310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3"/>
        </w:trPr>
        <w:tc>
          <w:tcPr>
            <w:tcW w:w="3760" w:type="dxa"/>
            <w:vAlign w:val="bottom"/>
          </w:tcPr>
          <w:p>
            <w:pPr>
              <w:jc w:val="center"/>
              <w:ind w:right="61"/>
              <w:spacing w:after="0"/>
              <w:rPr>
                <w:sz w:val="20"/>
                <w:szCs w:val="20"/>
                <w:color w:val="auto"/>
              </w:rPr>
            </w:pPr>
            <w:r>
              <w:rPr>
                <w:rFonts w:ascii="Courier New" w:cs="Courier New" w:eastAsia="Courier New" w:hAnsi="Courier New"/>
                <w:sz w:val="16"/>
                <w:szCs w:val="16"/>
                <w:color w:val="auto"/>
                <w:w w:val="98"/>
              </w:rPr>
              <w:t>Anthony Pantaleoni</w:t>
            </w:r>
          </w:p>
        </w:tc>
        <w:tc>
          <w:tcPr>
            <w:tcW w:w="310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367"/>
        </w:trPr>
        <w:tc>
          <w:tcPr>
            <w:tcW w:w="3760" w:type="dxa"/>
            <w:vAlign w:val="bottom"/>
          </w:tcPr>
          <w:p>
            <w:pPr>
              <w:jc w:val="center"/>
              <w:ind w:right="161"/>
              <w:spacing w:after="0"/>
              <w:rPr>
                <w:sz w:val="20"/>
                <w:szCs w:val="20"/>
                <w:color w:val="auto"/>
              </w:rPr>
            </w:pPr>
            <w:r>
              <w:rPr>
                <w:rFonts w:ascii="Courier New" w:cs="Courier New" w:eastAsia="Courier New" w:hAnsi="Courier New"/>
                <w:sz w:val="16"/>
                <w:szCs w:val="16"/>
                <w:color w:val="auto"/>
                <w:w w:val="82"/>
              </w:rPr>
              <w:t>*</w:t>
            </w:r>
          </w:p>
        </w:tc>
        <w:tc>
          <w:tcPr>
            <w:tcW w:w="3100" w:type="dxa"/>
            <w:vAlign w:val="bottom"/>
          </w:tcPr>
          <w:p>
            <w:pPr>
              <w:ind w:left="60"/>
              <w:spacing w:after="0"/>
              <w:rPr>
                <w:sz w:val="20"/>
                <w:szCs w:val="20"/>
                <w:color w:val="auto"/>
              </w:rPr>
            </w:pPr>
            <w:r>
              <w:rPr>
                <w:rFonts w:ascii="Courier New" w:cs="Courier New" w:eastAsia="Courier New" w:hAnsi="Courier New"/>
                <w:sz w:val="16"/>
                <w:szCs w:val="16"/>
                <w:color w:val="auto"/>
              </w:rPr>
              <w:t>Director</w:t>
            </w:r>
          </w:p>
        </w:tc>
        <w:tc>
          <w:tcPr>
            <w:tcW w:w="1440" w:type="dxa"/>
            <w:vAlign w:val="bottom"/>
          </w:tcPr>
          <w:p>
            <w:pPr>
              <w:jc w:val="center"/>
              <w:ind w:left="221"/>
              <w:spacing w:after="0"/>
              <w:rPr>
                <w:sz w:val="20"/>
                <w:szCs w:val="20"/>
                <w:color w:val="auto"/>
              </w:rPr>
            </w:pPr>
            <w:r>
              <w:rPr>
                <w:rFonts w:ascii="Courier New" w:cs="Courier New" w:eastAsia="Courier New" w:hAnsi="Courier New"/>
                <w:sz w:val="16"/>
                <w:szCs w:val="16"/>
                <w:color w:val="auto"/>
                <w:w w:val="98"/>
              </w:rPr>
              <w:t>May 30, 1996</w:t>
            </w:r>
          </w:p>
        </w:tc>
      </w:tr>
      <w:tr>
        <w:trPr>
          <w:trHeight w:val="183"/>
        </w:trPr>
        <w:tc>
          <w:tcPr>
            <w:tcW w:w="3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310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3"/>
        </w:trPr>
        <w:tc>
          <w:tcPr>
            <w:tcW w:w="3760" w:type="dxa"/>
            <w:vAlign w:val="bottom"/>
          </w:tcPr>
          <w:p>
            <w:pPr>
              <w:jc w:val="center"/>
              <w:ind w:right="61"/>
              <w:spacing w:after="0"/>
              <w:rPr>
                <w:sz w:val="20"/>
                <w:szCs w:val="20"/>
                <w:color w:val="auto"/>
              </w:rPr>
            </w:pPr>
            <w:r>
              <w:rPr>
                <w:rFonts w:ascii="Courier New" w:cs="Courier New" w:eastAsia="Courier New" w:hAnsi="Courier New"/>
                <w:sz w:val="16"/>
                <w:szCs w:val="16"/>
                <w:color w:val="auto"/>
                <w:w w:val="98"/>
              </w:rPr>
              <w:t>Paul Verkuil</w:t>
            </w:r>
          </w:p>
        </w:tc>
        <w:tc>
          <w:tcPr>
            <w:tcW w:w="310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367"/>
        </w:trPr>
        <w:tc>
          <w:tcPr>
            <w:tcW w:w="3760" w:type="dxa"/>
            <w:vAlign w:val="bottom"/>
          </w:tcPr>
          <w:p>
            <w:pPr>
              <w:jc w:val="center"/>
              <w:ind w:right="61"/>
              <w:spacing w:after="0"/>
              <w:rPr>
                <w:sz w:val="20"/>
                <w:szCs w:val="20"/>
                <w:color w:val="auto"/>
              </w:rPr>
            </w:pPr>
            <w:r>
              <w:rPr>
                <w:rFonts w:ascii="Courier New" w:cs="Courier New" w:eastAsia="Courier New" w:hAnsi="Courier New"/>
                <w:sz w:val="16"/>
                <w:szCs w:val="16"/>
                <w:color w:val="auto"/>
                <w:w w:val="98"/>
              </w:rPr>
              <w:t>/s/ KIRK E. GORMAN</w:t>
            </w:r>
          </w:p>
        </w:tc>
        <w:tc>
          <w:tcPr>
            <w:tcW w:w="3100" w:type="dxa"/>
            <w:vAlign w:val="bottom"/>
          </w:tcPr>
          <w:p>
            <w:pPr>
              <w:ind w:left="60"/>
              <w:spacing w:after="0"/>
              <w:rPr>
                <w:sz w:val="20"/>
                <w:szCs w:val="20"/>
                <w:color w:val="auto"/>
              </w:rPr>
            </w:pPr>
            <w:r>
              <w:rPr>
                <w:rFonts w:ascii="Courier New" w:cs="Courier New" w:eastAsia="Courier New" w:hAnsi="Courier New"/>
                <w:sz w:val="16"/>
                <w:szCs w:val="16"/>
                <w:color w:val="auto"/>
              </w:rPr>
              <w:t>Senior Vice President and</w:t>
            </w:r>
          </w:p>
        </w:tc>
        <w:tc>
          <w:tcPr>
            <w:tcW w:w="1440" w:type="dxa"/>
            <w:vAlign w:val="bottom"/>
          </w:tcPr>
          <w:p>
            <w:pPr>
              <w:jc w:val="center"/>
              <w:ind w:left="221"/>
              <w:spacing w:after="0"/>
              <w:rPr>
                <w:sz w:val="20"/>
                <w:szCs w:val="20"/>
                <w:color w:val="auto"/>
              </w:rPr>
            </w:pPr>
            <w:r>
              <w:rPr>
                <w:rFonts w:ascii="Courier New" w:cs="Courier New" w:eastAsia="Courier New" w:hAnsi="Courier New"/>
                <w:sz w:val="16"/>
                <w:szCs w:val="16"/>
                <w:color w:val="auto"/>
                <w:w w:val="98"/>
              </w:rPr>
              <w:t>May 30, 1996</w:t>
            </w:r>
          </w:p>
        </w:tc>
      </w:tr>
      <w:tr>
        <w:trPr>
          <w:trHeight w:val="183"/>
        </w:trPr>
        <w:tc>
          <w:tcPr>
            <w:tcW w:w="3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3100" w:type="dxa"/>
            <w:vAlign w:val="bottom"/>
          </w:tcPr>
          <w:p>
            <w:pPr>
              <w:ind w:left="340"/>
              <w:spacing w:after="0"/>
              <w:rPr>
                <w:sz w:val="20"/>
                <w:szCs w:val="20"/>
                <w:color w:val="auto"/>
              </w:rPr>
            </w:pPr>
            <w:r>
              <w:rPr>
                <w:rFonts w:ascii="Courier New" w:cs="Courier New" w:eastAsia="Courier New" w:hAnsi="Courier New"/>
                <w:sz w:val="16"/>
                <w:szCs w:val="16"/>
                <w:color w:val="auto"/>
              </w:rPr>
              <w:t>Chief Financial Officer</w:t>
            </w:r>
          </w:p>
        </w:tc>
        <w:tc>
          <w:tcPr>
            <w:tcW w:w="1440" w:type="dxa"/>
            <w:vAlign w:val="bottom"/>
          </w:tcPr>
          <w:p>
            <w:pPr>
              <w:spacing w:after="0"/>
              <w:rPr>
                <w:sz w:val="15"/>
                <w:szCs w:val="15"/>
                <w:color w:val="auto"/>
              </w:rPr>
            </w:pPr>
          </w:p>
        </w:tc>
      </w:tr>
      <w:tr>
        <w:trPr>
          <w:trHeight w:val="183"/>
        </w:trPr>
        <w:tc>
          <w:tcPr>
            <w:tcW w:w="3760" w:type="dxa"/>
            <w:vAlign w:val="bottom"/>
          </w:tcPr>
          <w:p>
            <w:pPr>
              <w:jc w:val="center"/>
              <w:ind w:right="61"/>
              <w:spacing w:after="0"/>
              <w:rPr>
                <w:sz w:val="20"/>
                <w:szCs w:val="20"/>
                <w:color w:val="auto"/>
              </w:rPr>
            </w:pPr>
            <w:r>
              <w:rPr>
                <w:rFonts w:ascii="Courier New" w:cs="Courier New" w:eastAsia="Courier New" w:hAnsi="Courier New"/>
                <w:sz w:val="16"/>
                <w:szCs w:val="16"/>
                <w:color w:val="auto"/>
                <w:w w:val="99"/>
              </w:rPr>
              <w:t>Kirk E. Gorman</w:t>
            </w:r>
          </w:p>
        </w:tc>
        <w:tc>
          <w:tcPr>
            <w:tcW w:w="3100" w:type="dxa"/>
            <w:vAlign w:val="bottom"/>
          </w:tcPr>
          <w:p>
            <w:pPr>
              <w:ind w:left="240"/>
              <w:spacing w:after="0"/>
              <w:rPr>
                <w:sz w:val="20"/>
                <w:szCs w:val="20"/>
                <w:color w:val="auto"/>
              </w:rPr>
            </w:pPr>
            <w:r>
              <w:rPr>
                <w:rFonts w:ascii="Courier New" w:cs="Courier New" w:eastAsia="Courier New" w:hAnsi="Courier New"/>
                <w:sz w:val="16"/>
                <w:szCs w:val="16"/>
                <w:color w:val="auto"/>
              </w:rPr>
              <w:t>(Principal Financial and</w:t>
            </w:r>
          </w:p>
        </w:tc>
        <w:tc>
          <w:tcPr>
            <w:tcW w:w="1440" w:type="dxa"/>
            <w:vAlign w:val="bottom"/>
          </w:tcPr>
          <w:p>
            <w:pPr>
              <w:spacing w:after="0"/>
              <w:rPr>
                <w:sz w:val="15"/>
                <w:szCs w:val="15"/>
                <w:color w:val="auto"/>
              </w:rPr>
            </w:pPr>
          </w:p>
        </w:tc>
      </w:tr>
      <w:tr>
        <w:trPr>
          <w:trHeight w:val="183"/>
        </w:trPr>
        <w:tc>
          <w:tcPr>
            <w:tcW w:w="3760" w:type="dxa"/>
            <w:vAlign w:val="bottom"/>
          </w:tcPr>
          <w:p>
            <w:pPr>
              <w:spacing w:after="0"/>
              <w:rPr>
                <w:sz w:val="15"/>
                <w:szCs w:val="15"/>
                <w:color w:val="auto"/>
              </w:rPr>
            </w:pPr>
          </w:p>
        </w:tc>
        <w:tc>
          <w:tcPr>
            <w:tcW w:w="3100" w:type="dxa"/>
            <w:vAlign w:val="bottom"/>
          </w:tcPr>
          <w:p>
            <w:pPr>
              <w:ind w:left="240"/>
              <w:spacing w:after="0"/>
              <w:rPr>
                <w:sz w:val="20"/>
                <w:szCs w:val="20"/>
                <w:color w:val="auto"/>
              </w:rPr>
            </w:pPr>
            <w:r>
              <w:rPr>
                <w:rFonts w:ascii="Courier New" w:cs="Courier New" w:eastAsia="Courier New" w:hAnsi="Courier New"/>
                <w:sz w:val="16"/>
                <w:szCs w:val="16"/>
                <w:color w:val="auto"/>
              </w:rPr>
              <w:t>Accounting Officer)</w:t>
            </w:r>
          </w:p>
        </w:tc>
        <w:tc>
          <w:tcPr>
            <w:tcW w:w="1440" w:type="dxa"/>
            <w:vAlign w:val="bottom"/>
          </w:tcPr>
          <w:p>
            <w:pPr>
              <w:spacing w:after="0"/>
              <w:rPr>
                <w:sz w:val="15"/>
                <w:szCs w:val="15"/>
                <w:color w:val="auto"/>
              </w:rPr>
            </w:pPr>
          </w:p>
        </w:tc>
      </w:tr>
      <w:tr>
        <w:trPr>
          <w:trHeight w:val="367"/>
        </w:trPr>
        <w:tc>
          <w:tcPr>
            <w:tcW w:w="3760" w:type="dxa"/>
            <w:vAlign w:val="bottom"/>
          </w:tcPr>
          <w:p>
            <w:pPr>
              <w:jc w:val="center"/>
              <w:ind w:right="161"/>
              <w:spacing w:after="0"/>
              <w:rPr>
                <w:sz w:val="20"/>
                <w:szCs w:val="20"/>
                <w:color w:val="auto"/>
              </w:rPr>
            </w:pPr>
            <w:r>
              <w:rPr>
                <w:rFonts w:ascii="Courier New" w:cs="Courier New" w:eastAsia="Courier New" w:hAnsi="Courier New"/>
                <w:sz w:val="16"/>
                <w:szCs w:val="16"/>
                <w:color w:val="auto"/>
                <w:w w:val="98"/>
              </w:rPr>
              <w:t>/s/ STEVE G. FILTON</w:t>
            </w:r>
          </w:p>
        </w:tc>
        <w:tc>
          <w:tcPr>
            <w:tcW w:w="3100" w:type="dxa"/>
            <w:vAlign w:val="bottom"/>
          </w:tcPr>
          <w:p>
            <w:pPr>
              <w:ind w:left="60"/>
              <w:spacing w:after="0"/>
              <w:rPr>
                <w:sz w:val="20"/>
                <w:szCs w:val="20"/>
                <w:color w:val="auto"/>
              </w:rPr>
            </w:pPr>
            <w:r>
              <w:rPr>
                <w:rFonts w:ascii="Courier New" w:cs="Courier New" w:eastAsia="Courier New" w:hAnsi="Courier New"/>
                <w:sz w:val="16"/>
                <w:szCs w:val="16"/>
                <w:color w:val="auto"/>
              </w:rPr>
              <w:t>Vice President and Controller</w:t>
            </w:r>
          </w:p>
        </w:tc>
        <w:tc>
          <w:tcPr>
            <w:tcW w:w="1440" w:type="dxa"/>
            <w:vAlign w:val="bottom"/>
          </w:tcPr>
          <w:p>
            <w:pPr>
              <w:jc w:val="center"/>
              <w:ind w:left="221"/>
              <w:spacing w:after="0"/>
              <w:rPr>
                <w:sz w:val="20"/>
                <w:szCs w:val="20"/>
                <w:color w:val="auto"/>
              </w:rPr>
            </w:pPr>
            <w:r>
              <w:rPr>
                <w:rFonts w:ascii="Courier New" w:cs="Courier New" w:eastAsia="Courier New" w:hAnsi="Courier New"/>
                <w:sz w:val="16"/>
                <w:szCs w:val="16"/>
                <w:color w:val="auto"/>
                <w:w w:val="98"/>
              </w:rPr>
              <w:t>May 30, 1996</w:t>
            </w:r>
          </w:p>
        </w:tc>
      </w:tr>
      <w:tr>
        <w:trPr>
          <w:trHeight w:val="183"/>
        </w:trPr>
        <w:tc>
          <w:tcPr>
            <w:tcW w:w="3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3100" w:type="dxa"/>
            <w:vAlign w:val="bottom"/>
          </w:tcPr>
          <w:p>
            <w:pPr>
              <w:ind w:left="340"/>
              <w:spacing w:after="0"/>
              <w:rPr>
                <w:sz w:val="20"/>
                <w:szCs w:val="20"/>
                <w:color w:val="auto"/>
              </w:rPr>
            </w:pPr>
            <w:r>
              <w:rPr>
                <w:rFonts w:ascii="Courier New" w:cs="Courier New" w:eastAsia="Courier New" w:hAnsi="Courier New"/>
                <w:sz w:val="16"/>
                <w:szCs w:val="16"/>
                <w:color w:val="auto"/>
              </w:rPr>
              <w:t>(Principal Accounting</w:t>
            </w:r>
          </w:p>
        </w:tc>
        <w:tc>
          <w:tcPr>
            <w:tcW w:w="1440" w:type="dxa"/>
            <w:vAlign w:val="bottom"/>
          </w:tcPr>
          <w:p>
            <w:pPr>
              <w:spacing w:after="0"/>
              <w:rPr>
                <w:sz w:val="15"/>
                <w:szCs w:val="15"/>
                <w:color w:val="auto"/>
              </w:rPr>
            </w:pPr>
          </w:p>
        </w:tc>
      </w:tr>
      <w:tr>
        <w:trPr>
          <w:trHeight w:val="183"/>
        </w:trPr>
        <w:tc>
          <w:tcPr>
            <w:tcW w:w="3760" w:type="dxa"/>
            <w:vAlign w:val="bottom"/>
          </w:tcPr>
          <w:p>
            <w:pPr>
              <w:jc w:val="center"/>
              <w:ind w:right="161"/>
              <w:spacing w:after="0"/>
              <w:rPr>
                <w:sz w:val="20"/>
                <w:szCs w:val="20"/>
                <w:color w:val="auto"/>
              </w:rPr>
            </w:pPr>
            <w:r>
              <w:rPr>
                <w:rFonts w:ascii="Courier New" w:cs="Courier New" w:eastAsia="Courier New" w:hAnsi="Courier New"/>
                <w:sz w:val="16"/>
                <w:szCs w:val="16"/>
                <w:color w:val="auto"/>
                <w:w w:val="99"/>
              </w:rPr>
              <w:t>Steve G. Filton</w:t>
            </w:r>
          </w:p>
        </w:tc>
        <w:tc>
          <w:tcPr>
            <w:tcW w:w="3100" w:type="dxa"/>
            <w:vAlign w:val="bottom"/>
          </w:tcPr>
          <w:p>
            <w:pPr>
              <w:ind w:left="240"/>
              <w:spacing w:after="0"/>
              <w:rPr>
                <w:sz w:val="20"/>
                <w:szCs w:val="20"/>
                <w:color w:val="auto"/>
              </w:rPr>
            </w:pPr>
            <w:r>
              <w:rPr>
                <w:rFonts w:ascii="Courier New" w:cs="Courier New" w:eastAsia="Courier New" w:hAnsi="Courier New"/>
                <w:sz w:val="16"/>
                <w:szCs w:val="16"/>
                <w:color w:val="auto"/>
              </w:rPr>
              <w:t>Officer)</w:t>
            </w:r>
          </w:p>
        </w:tc>
        <w:tc>
          <w:tcPr>
            <w:tcW w:w="1440" w:type="dxa"/>
            <w:vAlign w:val="bottom"/>
          </w:tcPr>
          <w:p>
            <w:pPr>
              <w:spacing w:after="0"/>
              <w:rPr>
                <w:sz w:val="15"/>
                <w:szCs w:val="15"/>
                <w:color w:val="auto"/>
              </w:rPr>
            </w:pPr>
          </w:p>
        </w:tc>
      </w:tr>
      <w:tr>
        <w:trPr>
          <w:trHeight w:val="917"/>
        </w:trPr>
        <w:tc>
          <w:tcPr>
            <w:tcW w:w="3760" w:type="dxa"/>
            <w:vAlign w:val="bottom"/>
          </w:tcPr>
          <w:p>
            <w:pPr>
              <w:jc w:val="center"/>
              <w:ind w:right="61"/>
              <w:spacing w:after="0"/>
              <w:rPr>
                <w:sz w:val="20"/>
                <w:szCs w:val="20"/>
                <w:color w:val="auto"/>
              </w:rPr>
            </w:pPr>
            <w:r>
              <w:rPr>
                <w:rFonts w:ascii="Courier New" w:cs="Courier New" w:eastAsia="Courier New" w:hAnsi="Courier New"/>
                <w:sz w:val="16"/>
                <w:szCs w:val="16"/>
                <w:color w:val="auto"/>
                <w:w w:val="99"/>
              </w:rPr>
              <w:t>*By Kirk E. Gorman as Attorney-in-Fact</w:t>
            </w:r>
          </w:p>
        </w:tc>
        <w:tc>
          <w:tcPr>
            <w:tcW w:w="31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67"/>
        </w:trPr>
        <w:tc>
          <w:tcPr>
            <w:tcW w:w="3760" w:type="dxa"/>
            <w:vAlign w:val="bottom"/>
          </w:tcPr>
          <w:p>
            <w:pPr>
              <w:jc w:val="center"/>
              <w:ind w:right="61"/>
              <w:spacing w:after="0"/>
              <w:rPr>
                <w:sz w:val="20"/>
                <w:szCs w:val="20"/>
                <w:color w:val="auto"/>
              </w:rPr>
            </w:pPr>
            <w:r>
              <w:rPr>
                <w:rFonts w:ascii="Courier New" w:cs="Courier New" w:eastAsia="Courier New" w:hAnsi="Courier New"/>
                <w:sz w:val="16"/>
                <w:szCs w:val="16"/>
                <w:color w:val="auto"/>
                <w:w w:val="98"/>
              </w:rPr>
              <w:t>/s/ KIRK E. GORMAN</w:t>
            </w:r>
          </w:p>
        </w:tc>
        <w:tc>
          <w:tcPr>
            <w:tcW w:w="3100" w:type="dxa"/>
            <w:vAlign w:val="bottom"/>
          </w:tcPr>
          <w:p>
            <w:pPr>
              <w:spacing w:after="0"/>
              <w:rPr>
                <w:sz w:val="24"/>
                <w:szCs w:val="24"/>
                <w:color w:val="auto"/>
              </w:rPr>
            </w:pPr>
          </w:p>
        </w:tc>
        <w:tc>
          <w:tcPr>
            <w:tcW w:w="1440" w:type="dxa"/>
            <w:vAlign w:val="bottom"/>
          </w:tcPr>
          <w:p>
            <w:pPr>
              <w:jc w:val="center"/>
              <w:ind w:left="221"/>
              <w:spacing w:after="0"/>
              <w:rPr>
                <w:sz w:val="20"/>
                <w:szCs w:val="20"/>
                <w:color w:val="auto"/>
              </w:rPr>
            </w:pPr>
            <w:r>
              <w:rPr>
                <w:rFonts w:ascii="Courier New" w:cs="Courier New" w:eastAsia="Courier New" w:hAnsi="Courier New"/>
                <w:sz w:val="16"/>
                <w:szCs w:val="16"/>
                <w:color w:val="auto"/>
                <w:w w:val="98"/>
              </w:rPr>
              <w:t>May 30, 1996</w:t>
            </w:r>
          </w:p>
        </w:tc>
      </w:tr>
      <w:tr>
        <w:trPr>
          <w:trHeight w:val="183"/>
        </w:trPr>
        <w:tc>
          <w:tcPr>
            <w:tcW w:w="3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310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3"/>
        </w:trPr>
        <w:tc>
          <w:tcPr>
            <w:tcW w:w="3760" w:type="dxa"/>
            <w:vAlign w:val="bottom"/>
          </w:tcPr>
          <w:p>
            <w:pPr>
              <w:jc w:val="center"/>
              <w:ind w:right="61"/>
              <w:spacing w:after="0"/>
              <w:rPr>
                <w:sz w:val="20"/>
                <w:szCs w:val="20"/>
                <w:color w:val="auto"/>
              </w:rPr>
            </w:pPr>
            <w:r>
              <w:rPr>
                <w:rFonts w:ascii="Courier New" w:cs="Courier New" w:eastAsia="Courier New" w:hAnsi="Courier New"/>
                <w:sz w:val="16"/>
                <w:szCs w:val="16"/>
                <w:color w:val="auto"/>
                <w:w w:val="99"/>
              </w:rPr>
              <w:t>Kirk E. Gorman</w:t>
            </w:r>
          </w:p>
        </w:tc>
        <w:tc>
          <w:tcPr>
            <w:tcW w:w="3100" w:type="dxa"/>
            <w:vAlign w:val="bottom"/>
          </w:tcPr>
          <w:p>
            <w:pPr>
              <w:spacing w:after="0"/>
              <w:rPr>
                <w:sz w:val="15"/>
                <w:szCs w:val="15"/>
                <w:color w:val="auto"/>
              </w:rPr>
            </w:pPr>
          </w:p>
        </w:tc>
        <w:tc>
          <w:tcPr>
            <w:tcW w:w="1440" w:type="dxa"/>
            <w:vAlign w:val="bottom"/>
          </w:tcPr>
          <w:p>
            <w:pPr>
              <w:spacing w:after="0"/>
              <w:rPr>
                <w:sz w:val="15"/>
                <w:szCs w:val="15"/>
                <w:color w:val="auto"/>
              </w:rPr>
            </w:pPr>
          </w:p>
        </w:tc>
      </w:tr>
    </w:tbl>
    <w:p>
      <w:pPr>
        <w:spacing w:after="0" w:line="200" w:lineRule="exact"/>
        <w:rPr>
          <w:sz w:val="20"/>
          <w:szCs w:val="20"/>
          <w:color w:val="auto"/>
        </w:rPr>
      </w:pPr>
    </w:p>
    <w:p>
      <w:pPr>
        <w:spacing w:after="0" w:line="35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II-4</w:t>
      </w:r>
    </w:p>
    <w:p>
      <w:pPr>
        <w:sectPr>
          <w:pgSz w:w="11900" w:h="16838" w:orient="portrait"/>
          <w:cols w:equalWidth="0" w:num="1">
            <w:col w:w="10219"/>
          </w:cols>
          <w:pgMar w:left="240" w:top="484" w:right="1440" w:bottom="1440" w:gutter="0" w:footer="0" w:header="0"/>
        </w:sectPr>
      </w:pPr>
    </w:p>
    <w:bookmarkStart w:id="102" w:name="page103"/>
    <w:bookmarkEnd w:id="102"/>
    <w:p>
      <w:pPr>
        <w:ind w:left="3140"/>
        <w:spacing w:after="0"/>
        <w:rPr>
          <w:sz w:val="20"/>
          <w:szCs w:val="20"/>
          <w:color w:val="auto"/>
        </w:rPr>
      </w:pPr>
      <w:r>
        <w:rPr>
          <w:rFonts w:ascii="Courier New" w:cs="Courier New" w:eastAsia="Courier New" w:hAnsi="Courier New"/>
          <w:sz w:val="15"/>
          <w:szCs w:val="15"/>
          <w:color w:val="auto"/>
        </w:rPr>
        <w:t>EXHIBIT INDEX</w:t>
      </w:r>
    </w:p>
    <w:p>
      <w:pPr>
        <w:sectPr>
          <w:pgSz w:w="11900" w:h="16838" w:orient="portrait"/>
          <w:cols w:equalWidth="0" w:num="1">
            <w:col w:w="10219"/>
          </w:cols>
          <w:pgMar w:left="240" w:top="48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ITEM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PAGE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sectPr>
          <w:pgSz w:w="11900" w:h="16838" w:orient="portrait"/>
          <w:cols w:equalWidth="0" w:num="2">
            <w:col w:w="7580" w:space="720"/>
            <w:col w:w="1919"/>
          </w:cols>
          <w:pgMar w:left="240" w:top="484" w:right="1440" w:bottom="1440" w:gutter="0" w:footer="0" w:header="0"/>
          <w:type w:val="continuous"/>
        </w:sectPr>
      </w:pPr>
    </w:p>
    <w:p>
      <w:pPr>
        <w:jc w:val="both"/>
        <w:ind w:right="6399" w:firstLine="93"/>
        <w:spacing w:after="0" w:line="271" w:lineRule="auto"/>
        <w:tabs>
          <w:tab w:leader="none" w:pos="668"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of Underwriting Agreement. 23.2 --Consent of Ernst &amp; Young L.L.P.</w:t>
      </w:r>
    </w:p>
    <w:p>
      <w:pPr>
        <w:sectPr>
          <w:pgSz w:w="11900" w:h="16838" w:orient="portrait"/>
          <w:cols w:equalWidth="0" w:num="1">
            <w:col w:w="10219"/>
          </w:cols>
          <w:pgMar w:left="240" w:top="484" w:right="1440" w:bottom="1440" w:gutter="0" w:footer="0" w:header="0"/>
          <w:type w:val="continuous"/>
        </w:sectPr>
      </w:pPr>
    </w:p>
    <w:bookmarkStart w:id="103" w:name="page104"/>
    <w:bookmarkEnd w:id="103"/>
    <w:p>
      <w:pPr>
        <w:ind w:left="6380"/>
        <w:spacing w:after="0"/>
        <w:rPr>
          <w:sz w:val="20"/>
          <w:szCs w:val="20"/>
          <w:color w:val="auto"/>
        </w:rPr>
      </w:pPr>
      <w:r>
        <w:rPr>
          <w:rFonts w:ascii="Courier New" w:cs="Courier New" w:eastAsia="Courier New" w:hAnsi="Courier New"/>
          <w:sz w:val="16"/>
          <w:szCs w:val="16"/>
          <w:color w:val="auto"/>
        </w:rPr>
        <w:t>Exhibit 1</w:t>
      </w:r>
    </w:p>
    <w:p>
      <w:pPr>
        <w:spacing w:after="0" w:line="369"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Draft of May 30, 1996</w:t>
      </w:r>
    </w:p>
    <w:p>
      <w:pPr>
        <w:spacing w:after="0" w:line="200" w:lineRule="exact"/>
        <w:rPr>
          <w:sz w:val="20"/>
          <w:szCs w:val="20"/>
          <w:color w:val="auto"/>
        </w:rPr>
      </w:pPr>
    </w:p>
    <w:p>
      <w:pPr>
        <w:spacing w:after="0" w:line="352"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4,400,000 Shares</w:t>
      </w:r>
    </w:p>
    <w:p>
      <w:pPr>
        <w:spacing w:after="0" w:line="186" w:lineRule="exact"/>
        <w:rPr>
          <w:sz w:val="20"/>
          <w:szCs w:val="20"/>
          <w:color w:val="auto"/>
        </w:rPr>
      </w:pPr>
    </w:p>
    <w:p>
      <w:pPr>
        <w:ind w:left="2380"/>
        <w:spacing w:after="0"/>
        <w:rPr>
          <w:sz w:val="20"/>
          <w:szCs w:val="20"/>
          <w:color w:val="auto"/>
        </w:rPr>
      </w:pPr>
      <w:r>
        <w:rPr>
          <w:rFonts w:ascii="Courier New" w:cs="Courier New" w:eastAsia="Courier New" w:hAnsi="Courier New"/>
          <w:sz w:val="16"/>
          <w:szCs w:val="16"/>
          <w:color w:val="auto"/>
        </w:rPr>
        <w:t>UNIVERSAL HEALTH SERVICES, INC.</w:t>
      </w:r>
    </w:p>
    <w:p>
      <w:pPr>
        <w:spacing w:after="0" w:line="186"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Common Stock</w:t>
      </w:r>
    </w:p>
    <w:p>
      <w:pPr>
        <w:spacing w:after="0" w:line="369"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UNDERWRITING AGREEMENT</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w:t>
      </w:r>
    </w:p>
    <w:p>
      <w:pPr>
        <w:spacing w:after="0" w:line="369"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 1996</w:t>
      </w: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SMITH BARNEY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BEAR, STEARNS &amp; CO.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DILLON, READ &amp; CO.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DONALDSON, LUFKIN &amp; JENRETTE</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SECURITIES CORPORATION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J.P. MORGAN &amp; CO.</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As Representatives of the Several Underwriters</w:t>
      </w:r>
    </w:p>
    <w:p>
      <w:pPr>
        <w:spacing w:after="0" w:line="2"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16"/>
          <w:szCs w:val="16"/>
          <w:color w:val="auto"/>
        </w:rPr>
        <w:t>c/o</w:t>
      </w:r>
      <w:r>
        <w:rPr>
          <w:sz w:val="20"/>
          <w:szCs w:val="20"/>
          <w:color w:val="auto"/>
        </w:rPr>
        <w:tab/>
      </w:r>
      <w:r>
        <w:rPr>
          <w:rFonts w:ascii="Courier New" w:cs="Courier New" w:eastAsia="Courier New" w:hAnsi="Courier New"/>
          <w:sz w:val="15"/>
          <w:szCs w:val="15"/>
          <w:color w:val="auto"/>
        </w:rPr>
        <w:t>SMITH BARNEY INC.</w:t>
      </w:r>
    </w:p>
    <w:p>
      <w:pPr>
        <w:spacing w:after="0" w:line="2"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388 Greenwich Street</w:t>
      </w:r>
    </w:p>
    <w:p>
      <w:pPr>
        <w:spacing w:after="0" w:line="2"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New York, New York 10013</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Dear Sirs:</w:t>
      </w:r>
    </w:p>
    <w:p>
      <w:pPr>
        <w:spacing w:after="0" w:line="188"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Universal Health Services, Inc., a Delaware corporation (the "Company"), proposes to issue and sell an aggregate of 4,000,000 shares (the "Firm Shares") of its Class B common stock, par value $0.01 per share (the "Common Stock"), to the several Underwriters named in Schedule I hereto (the "Underwriters"), and Alan B. Miller (the "Selling Stockholder") proposes to sell an aggregate of 400,000 shares of Common Stock. In addition, solely for the purpose of covering over-allotments, the Company proposes to sell to the Underwriters, upon the terms and conditions set forth in Section 2 hereof, up to an additional 660,000 shares (the "Additional Shares") of Common Stock. The Firm Shares and the Additional Shares are hereinafter collectively referred to as the "Shares." The Company and the Selling Stockholders are hereinafter sometimes referred to as the "Sellers."</w:t>
      </w:r>
    </w:p>
    <w:p>
      <w:pPr>
        <w:spacing w:after="0" w:line="191" w:lineRule="exact"/>
        <w:rPr>
          <w:sz w:val="20"/>
          <w:szCs w:val="20"/>
          <w:color w:val="auto"/>
        </w:rPr>
      </w:pPr>
    </w:p>
    <w:p>
      <w:pPr>
        <w:ind w:right="2599" w:firstLine="572"/>
        <w:spacing w:after="0" w:line="241" w:lineRule="auto"/>
        <w:rPr>
          <w:sz w:val="20"/>
          <w:szCs w:val="20"/>
          <w:color w:val="auto"/>
        </w:rPr>
      </w:pPr>
      <w:r>
        <w:rPr>
          <w:rFonts w:ascii="Courier New" w:cs="Courier New" w:eastAsia="Courier New" w:hAnsi="Courier New"/>
          <w:sz w:val="16"/>
          <w:szCs w:val="16"/>
          <w:color w:val="auto"/>
        </w:rPr>
        <w:t>The Company and the Selling Stockholders wish to confirm as follows their agreement with you (the "Representatives") and the other several Underwriters on whose behalf you are acting, in connection with the several purchases of the Shares by the Underwriters.</w:t>
      </w:r>
    </w:p>
    <w:p>
      <w:pPr>
        <w:spacing w:after="0" w:line="189" w:lineRule="exact"/>
        <w:rPr>
          <w:sz w:val="20"/>
          <w:szCs w:val="20"/>
          <w:color w:val="auto"/>
        </w:rPr>
      </w:pPr>
    </w:p>
    <w:p>
      <w:pPr>
        <w:ind w:right="2599" w:firstLine="284"/>
        <w:spacing w:after="0" w:line="241" w:lineRule="auto"/>
        <w:tabs>
          <w:tab w:leader="none" w:pos="572"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Registration Statement and Prospectus. The Company has prepared and filed with the Securities and Exchange Commission (the "Commission") in accordance with the provisions of the Securities Act of 1933, as amended, and the rules and regulations of the Commission thereunder (collectively, the "Act"), a registration statement on Form S-3 under the Act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2599"/>
        <w:spacing w:after="0" w:line="259" w:lineRule="auto"/>
        <w:rPr>
          <w:sz w:val="20"/>
          <w:szCs w:val="20"/>
          <w:color w:val="auto"/>
        </w:rPr>
      </w:pPr>
      <w:r>
        <w:rPr>
          <w:rFonts w:ascii="Courier New" w:cs="Courier New" w:eastAsia="Courier New" w:hAnsi="Courier New"/>
          <w:sz w:val="15"/>
          <w:szCs w:val="15"/>
          <w:color w:val="auto"/>
        </w:rPr>
        <w:t>"registration statement"), including a prospectus subject to completion, relating to the Shares. The term "Registration Statement" as used in this Agreement means the registration statement (including all financial schedules and exhibits) as amended at the time it becomes effective or, if the registration statement became effective prior to the execution of this Agreement, as supplemented or amended prior to the execution of this Agreement. If it is contemplated, at the time this Agreement is executed, that a post-effective amendment to the registration statement will be filed and must be declared effective before the offering of the Shares may commence, the term "Registration Statement" as used in this Agreement means the registration statement as amended by said post-effective amendment. If an abbreviated registration statement is prepared and filed with the Commission in accordance with Rule 462(b) under the Act (an "Abbreviated Registration Statement"), the term "Registration Statement" as used in this Agreement includes the Abbreviated Registration Statement. The term "Prospectus" as used in this Agreement means the prospectus in the form included in the Registration Statement, or, if the prospectus included in the Registration Statement omits information in reliance on Rule 430A under the Act and such information is included in a prospectus filed with the Commission pursuant to Rule 424(b) under the Act, the term "Prospectus" as used in this Agreement means the prospectus in the form included in the Registration Statement as supplemented by the addition of the Rule 430A information contained in the prospectus filed with the Commission pursuant to</w:t>
      </w:r>
    </w:p>
    <w:p>
      <w:pPr>
        <w:sectPr>
          <w:pgSz w:w="11900" w:h="16838" w:orient="portrait"/>
          <w:cols w:equalWidth="0" w:num="1">
            <w:col w:w="10219"/>
          </w:cols>
          <w:pgMar w:left="240" w:top="689" w:right="1440" w:bottom="0" w:gutter="0" w:footer="0" w:header="0"/>
        </w:sectPr>
      </w:pPr>
    </w:p>
    <w:bookmarkStart w:id="104" w:name="page105"/>
    <w:bookmarkEnd w:id="104"/>
    <w:p>
      <w:pPr>
        <w:ind w:right="2599"/>
        <w:spacing w:after="0" w:line="242" w:lineRule="auto"/>
        <w:rPr>
          <w:sz w:val="20"/>
          <w:szCs w:val="20"/>
          <w:color w:val="auto"/>
        </w:rPr>
      </w:pPr>
      <w:r>
        <w:rPr>
          <w:rFonts w:ascii="Courier New" w:cs="Courier New" w:eastAsia="Courier New" w:hAnsi="Courier New"/>
          <w:sz w:val="16"/>
          <w:szCs w:val="16"/>
          <w:color w:val="auto"/>
        </w:rPr>
        <w:t>Rule 424(b). The term "Prepricing Prospectus" as used in this Agreement means the prospectus subject to completion in the form included in the registration statement at the time of the initial filing of the registration statement with the Commission, and as such prospectus shall have been amended from time to time prior to the date of the Prospectus. Any reference herein to the registration statement, the Registration Statement, any Prepricing Prospectus or the Prospectus shall be deemed to refer to and include the documents incorporated by reference therein pursuant to Form S-3 under the Act, as of the date of the registration statement, the Registration Statement, such Prepricing Prospectus or the Prospectus, as the case may be, and any reference to any amendment or supplement to the registration statement, the Registration Statement, any Prepricing Prospectus or the Prospectus shall be deemed to refer to and include any documents filed after such date under the Securities Act of 1934, as amended, and the rules and regulations of the Commission thereunder (collectively, the "Exchange Act") and so incorporated by reference. As used herein, the term "Incorporated Documents" means the documents which at the time are incorporated by reference in the registration statement, the Registration Statement, any Prepricing Prospectus, the Prospectus or any amendment or supplement thereto.</w:t>
      </w:r>
    </w:p>
    <w:p>
      <w:pPr>
        <w:spacing w:after="0" w:line="196" w:lineRule="exact"/>
        <w:rPr>
          <w:sz w:val="20"/>
          <w:szCs w:val="20"/>
          <w:color w:val="auto"/>
        </w:rPr>
      </w:pPr>
    </w:p>
    <w:p>
      <w:pPr>
        <w:ind w:right="2779" w:firstLine="284"/>
        <w:spacing w:after="0" w:line="259" w:lineRule="auto"/>
        <w:tabs>
          <w:tab w:leader="none" w:pos="572"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Agreements to Sell and Purchase. Subject to such adjustments as you may determine in order to avoid fractional shares, the Company hereby agrees, subject to all the terms and conditions set forth herein, to issue and sell to each Underwriter and, upon the basis of the representations, warranties and agreements of the Sellers herein contained and subject to all the terms and</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conditions set forth herein, each Underwriter agrees, severally and not jointly,</w:t>
      </w:r>
    </w:p>
    <w:p>
      <w:pPr>
        <w:spacing w:after="0" w:line="184" w:lineRule="exact"/>
        <w:rPr>
          <w:sz w:val="20"/>
          <w:szCs w:val="20"/>
          <w:color w:val="auto"/>
        </w:rPr>
      </w:pPr>
    </w:p>
    <w:p>
      <w:pPr>
        <w:ind w:right="3059"/>
        <w:spacing w:after="0" w:line="259" w:lineRule="auto"/>
        <w:rPr>
          <w:sz w:val="20"/>
          <w:szCs w:val="20"/>
          <w:color w:val="auto"/>
        </w:rPr>
      </w:pPr>
      <w:r>
        <w:rPr>
          <w:rFonts w:ascii="Courier New" w:cs="Courier New" w:eastAsia="Courier New" w:hAnsi="Courier New"/>
          <w:sz w:val="15"/>
          <w:szCs w:val="15"/>
          <w:color w:val="auto"/>
        </w:rPr>
        <w:t>to purchase from the Company, at a purchase price of $ per share (the "purchase price per share"), the number of Firm Shares which bears the same</w:t>
      </w:r>
    </w:p>
    <w:p>
      <w:pPr>
        <w:ind w:right="2599"/>
        <w:spacing w:after="0" w:line="241" w:lineRule="auto"/>
        <w:rPr>
          <w:sz w:val="20"/>
          <w:szCs w:val="20"/>
          <w:color w:val="auto"/>
        </w:rPr>
      </w:pPr>
      <w:r>
        <w:rPr>
          <w:rFonts w:ascii="Courier New" w:cs="Courier New" w:eastAsia="Courier New" w:hAnsi="Courier New"/>
          <w:sz w:val="16"/>
          <w:szCs w:val="16"/>
          <w:color w:val="auto"/>
        </w:rPr>
        <w:t>proportion to the aggregate number of Firm Shares to be issued and sold by the Company as the number of Firm Shares set forth opposite the name of such Underwriter in Schedule I hereto (or such number of Firm Shares increased as set forth in Section 12 hereof) bears to the aggregate number of Firm Shares to be sold by the Sellers.</w:t>
      </w:r>
    </w:p>
    <w:p>
      <w:pPr>
        <w:spacing w:after="0" w:line="190" w:lineRule="exact"/>
        <w:rPr>
          <w:sz w:val="20"/>
          <w:szCs w:val="20"/>
          <w:color w:val="auto"/>
        </w:rPr>
      </w:pPr>
    </w:p>
    <w:p>
      <w:pPr>
        <w:ind w:right="2679" w:firstLine="572"/>
        <w:spacing w:after="0" w:line="241" w:lineRule="auto"/>
        <w:rPr>
          <w:sz w:val="20"/>
          <w:szCs w:val="20"/>
          <w:color w:val="auto"/>
        </w:rPr>
      </w:pPr>
      <w:r>
        <w:rPr>
          <w:rFonts w:ascii="Courier New" w:cs="Courier New" w:eastAsia="Courier New" w:hAnsi="Courier New"/>
          <w:sz w:val="16"/>
          <w:szCs w:val="16"/>
          <w:color w:val="auto"/>
        </w:rPr>
        <w:t>Subject to such adjustments as you may determine in order to avoid fractional shares, the Selling Shareholder agrees, subject to all the terms and conditions set forth herein, to sell to each Underwriter and, upon the basis of the representations, warranties and agreements of the</w:t>
      </w:r>
    </w:p>
    <w:p>
      <w:pPr>
        <w:spacing w:after="0" w:line="200" w:lineRule="exact"/>
        <w:rPr>
          <w:sz w:val="20"/>
          <w:szCs w:val="20"/>
          <w:color w:val="auto"/>
        </w:rPr>
      </w:pPr>
    </w:p>
    <w:p>
      <w:pPr>
        <w:spacing w:after="0" w:line="35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141" w:right="1440" w:bottom="1440" w:gutter="0" w:footer="0" w:header="0"/>
        </w:sectPr>
      </w:pPr>
    </w:p>
    <w:bookmarkStart w:id="105" w:name="page106"/>
    <w:bookmarkEnd w:id="105"/>
    <w:p>
      <w:pPr>
        <w:ind w:right="2599"/>
        <w:spacing w:after="0" w:line="242" w:lineRule="auto"/>
        <w:rPr>
          <w:sz w:val="20"/>
          <w:szCs w:val="20"/>
          <w:color w:val="auto"/>
        </w:rPr>
      </w:pPr>
      <w:r>
        <w:rPr>
          <w:rFonts w:ascii="Courier New" w:cs="Courier New" w:eastAsia="Courier New" w:hAnsi="Courier New"/>
          <w:sz w:val="16"/>
          <w:szCs w:val="16"/>
          <w:color w:val="auto"/>
        </w:rPr>
        <w:t>Sellers herein contained and subject to all the terms and conditions set forth herein, each Underwriter agrees to purchase from the Selling Shareholder at the purchase price per share that number of Firm Shares which bears the same proportion to the number of Firm Shares to be sold by the Selling Shareholder as the number of Firm Shares set forth opposite the name of such Underwriter in Schedule I hereto (or such number of Firm Shares increased as set forth in Section 12 hereof) bears to the aggregate number of Firm Shares to be sold by the Sellers.</w:t>
      </w:r>
    </w:p>
    <w:p>
      <w:pPr>
        <w:spacing w:after="0" w:line="189"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The Company also agrees, subject to all the terms and conditions set forth herein, to sell to the Underwriters, and, upon the basis of the representations, warranties and agreements of the Company herein contained and subject to all the terms and conditions set forth herein, the Underwriters shall have the right to purchase from the Company, at the purchase price per share, pursuant to an option (the "over-allotment option") which may be exercised at any time and from time to time prior to 9:00 P.M., New York City time, on the 30th day after the date of the Prospectus (or, if such 30th day shall be a Saturday or Sunday or a holiday, on the next business day thereafter when the New York Stock Exchange is open for trading), up to an aggregate of 660,000 Additional Shares. The Additional Shares may be purchased solely to cover over-allotments, if any, incurred by the Underwriters in connection with the offer and sale of the Shares. Upon any exercise of the over-allotment option, each Underwriter, severally and not jointly, agrees to purchase from the Company the number of Additional Shares (subject to such adjustments as you may determine in order to avoid fractional shares) which bears the same proportion to the number of Additional Shares to be purchased by the Underwriters as the number of Firm Shares set forth opposite the name of such Underwriter in Schedule I hereto (or such number of Firm Shares increased as set forth in Section 12 hereof) bears to the aggregate number of Firm Shares.</w:t>
      </w:r>
    </w:p>
    <w:p>
      <w:pPr>
        <w:spacing w:after="0" w:line="196" w:lineRule="exact"/>
        <w:rPr>
          <w:sz w:val="20"/>
          <w:szCs w:val="20"/>
          <w:color w:val="auto"/>
        </w:rPr>
      </w:pPr>
    </w:p>
    <w:p>
      <w:pPr>
        <w:ind w:right="3259" w:firstLine="572"/>
        <w:spacing w:after="0" w:line="259" w:lineRule="auto"/>
        <w:rPr>
          <w:sz w:val="20"/>
          <w:szCs w:val="20"/>
          <w:color w:val="auto"/>
        </w:rPr>
      </w:pPr>
      <w:r>
        <w:rPr>
          <w:rFonts w:ascii="Courier New" w:cs="Courier New" w:eastAsia="Courier New" w:hAnsi="Courier New"/>
          <w:sz w:val="15"/>
          <w:szCs w:val="15"/>
          <w:color w:val="auto"/>
        </w:rPr>
        <w:t>Certificates in transferable form for the Shares that the Selling Stockholder agrees to sell pursuant to this Agreement have been placed in custody with ________________ (the "Custodian") for delivery under this</w:t>
      </w:r>
    </w:p>
    <w:p>
      <w:pPr>
        <w:ind w:right="2879"/>
        <w:spacing w:after="0" w:line="239" w:lineRule="auto"/>
        <w:rPr>
          <w:sz w:val="20"/>
          <w:szCs w:val="20"/>
          <w:color w:val="auto"/>
        </w:rPr>
      </w:pPr>
      <w:r>
        <w:rPr>
          <w:rFonts w:ascii="Courier New" w:cs="Courier New" w:eastAsia="Courier New" w:hAnsi="Courier New"/>
          <w:sz w:val="16"/>
          <w:szCs w:val="16"/>
          <w:color w:val="auto"/>
        </w:rPr>
        <w:t>Agreement pursuant to a Custody Agreement and Power of Attorney (the "Custody Agreement") executed by the Selling Stockholder appointing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 as agents and attorneys-in-fact (the "Attorneys-in-</w:t>
      </w:r>
    </w:p>
    <w:p>
      <w:pPr>
        <w:spacing w:after="0" w:line="5"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Fact"). The Selling Stockholder agrees that (i) the Shares represented by the certificates held in custody pursuant to the Custody Agreement are subject to the interests of the Underwriters and the Company, (ii) the arrangements made by the Selling Stockholder for such custody are, except as specifically provided in the Custody Agreement, irrevocable and (iii) the obligations of the Selling Stockholder hereunder and under the Custody Agreement shall not be terminated by any act of the Selling Stockholder or by operation of law, whether by the death or incapacity of the Selling Stockholder or the occurrence of any other event. If the Selling Stockholder shall die or be incapacitated or if any other event shall occur before the delivery of the Shares hereunder, certificates for the Shares to be sold by such Selling Stockholder shall be delivered to the Underwriters by the Attorneys-in-Fact in accordance with the terms and conditions of this Agreement and the Custody Agreement as if such death or incapacity or other event had not occurred, regardless of whether or not the Attorneys-in-Fact or any Underwriter shall have received notice of such death, incapacity or other event. Each Attorney-in-Fact represents that he is authorized, on behalf of the Selling Stockholder, to execute this Agreement and any other documents necessary or desirable in connection with the Custody Agreement and the sale of the Shares to be sold hereunder by the Selling Stockholder, to make delivery of the certificates for such Shares, to receive the proceeds of the sale of such Shares, to give receipts for such proceeds, to pay therefrom any expenses to be borne by the Selling Stockholder in connection with the sale and public offering of such Shares, to distribute the balance thereof to the Selling Stockholder,</w:t>
      </w:r>
    </w:p>
    <w:p>
      <w:pPr>
        <w:spacing w:after="0" w:line="200" w:lineRule="exact"/>
        <w:rPr>
          <w:sz w:val="20"/>
          <w:szCs w:val="20"/>
          <w:color w:val="auto"/>
        </w:rPr>
      </w:pPr>
    </w:p>
    <w:p>
      <w:pPr>
        <w:spacing w:after="0" w:line="36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1034" w:right="1440" w:bottom="1440" w:gutter="0" w:footer="0" w:header="0"/>
        </w:sectPr>
      </w:pPr>
    </w:p>
    <w:bookmarkStart w:id="106" w:name="page107"/>
    <w:bookmarkEnd w:id="106"/>
    <w:p>
      <w:pPr>
        <w:ind w:right="2879"/>
        <w:spacing w:after="0"/>
        <w:rPr>
          <w:sz w:val="20"/>
          <w:szCs w:val="20"/>
          <w:color w:val="auto"/>
        </w:rPr>
      </w:pPr>
      <w:r>
        <w:rPr>
          <w:rFonts w:ascii="Courier New" w:cs="Courier New" w:eastAsia="Courier New" w:hAnsi="Courier New"/>
          <w:sz w:val="16"/>
          <w:szCs w:val="16"/>
          <w:color w:val="auto"/>
        </w:rPr>
        <w:t>and to take such other actions as may be necessary or desirable in connection with the transactions contemplated by this Agreement. Each Attorney-in-Fact agrees to perform his duties under the Custody Agreement.</w:t>
      </w:r>
    </w:p>
    <w:p>
      <w:pPr>
        <w:spacing w:after="0" w:line="190" w:lineRule="exact"/>
        <w:rPr>
          <w:sz w:val="20"/>
          <w:szCs w:val="20"/>
          <w:color w:val="auto"/>
        </w:rPr>
      </w:pPr>
    </w:p>
    <w:p>
      <w:pPr>
        <w:ind w:right="2779" w:firstLine="284"/>
        <w:spacing w:after="0" w:line="241" w:lineRule="auto"/>
        <w:tabs>
          <w:tab w:leader="none" w:pos="572"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Terms of Public Offering. The Company has been advised by you that the Underwriters propose to make a public offering of their respective portions of the Shares as soon after the Registration Statement and this Agreement have become effective as in your judgment is advisable and initially to offer the Shares upon the terms set forth in the Prospectus.</w:t>
      </w:r>
    </w:p>
    <w:p>
      <w:pPr>
        <w:spacing w:after="0" w:line="190" w:lineRule="exact"/>
        <w:rPr>
          <w:rFonts w:ascii="Courier New" w:cs="Courier New" w:eastAsia="Courier New" w:hAnsi="Courier New"/>
          <w:sz w:val="16"/>
          <w:szCs w:val="16"/>
          <w:color w:val="auto"/>
        </w:rPr>
      </w:pPr>
    </w:p>
    <w:p>
      <w:pPr>
        <w:ind w:right="2599" w:firstLine="284"/>
        <w:spacing w:after="0" w:line="239" w:lineRule="auto"/>
        <w:tabs>
          <w:tab w:leader="none" w:pos="572"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Delivery of the Shares and Payment Therefor. Delivery to the Underwriters of and payment for the Firm Shares shall be made at the office of Smith Barney</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Inc., 388 Greenwich Street, New York, New York 10013, at 10:00 A.M., New York</w:t>
      </w:r>
    </w:p>
    <w:p>
      <w:pPr>
        <w:spacing w:after="0" w:line="189" w:lineRule="exact"/>
        <w:rPr>
          <w:sz w:val="20"/>
          <w:szCs w:val="20"/>
          <w:color w:val="auto"/>
        </w:rPr>
      </w:pPr>
    </w:p>
    <w:p>
      <w:pPr>
        <w:ind w:right="2679"/>
        <w:spacing w:after="0"/>
        <w:rPr>
          <w:sz w:val="20"/>
          <w:szCs w:val="20"/>
          <w:color w:val="auto"/>
        </w:rPr>
      </w:pPr>
      <w:r>
        <w:rPr>
          <w:rFonts w:ascii="Courier New" w:cs="Courier New" w:eastAsia="Courier New" w:hAnsi="Courier New"/>
          <w:sz w:val="16"/>
          <w:szCs w:val="16"/>
          <w:color w:val="auto"/>
        </w:rPr>
        <w:t>City time, on , 1996 (the "Closing Date"). The place of closing for the Firm Shares and the Closing Date may be varied by agreement between you and the Company.</w:t>
      </w:r>
    </w:p>
    <w:p>
      <w:pPr>
        <w:spacing w:after="0" w:line="190"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Delivery to the Underwriters of and payment for any Additional Shares to be purchased by the Underwriters shall be made at the aforementioned office of Smith Barney Inc. at such time on such date (the "Option Closing Date"), which may be the same as the Closing Date but shall in no event be earlier than the Closing Date nor earlier than two nor later than ten business days after the giving of the notice hereinafter referred to, as shall be specified in a written notice from you on behalf of the Underwriters to the Company and the Attorneys-in-Fact of the Underwriters' determination to purchase a number, specified in such notice, of Additional Shares. The place of closing for any Additional Shares and the Option Closing Date for such Shares may be varied by agreement between you and the Company.</w:t>
      </w:r>
    </w:p>
    <w:p>
      <w:pPr>
        <w:spacing w:after="0" w:line="191" w:lineRule="exact"/>
        <w:rPr>
          <w:sz w:val="20"/>
          <w:szCs w:val="20"/>
          <w:color w:val="auto"/>
        </w:rPr>
      </w:pPr>
    </w:p>
    <w:p>
      <w:pPr>
        <w:ind w:right="2599" w:firstLine="572"/>
        <w:spacing w:after="0" w:line="260" w:lineRule="auto"/>
        <w:rPr>
          <w:sz w:val="20"/>
          <w:szCs w:val="20"/>
          <w:color w:val="auto"/>
        </w:rPr>
      </w:pPr>
      <w:r>
        <w:rPr>
          <w:rFonts w:ascii="Courier New" w:cs="Courier New" w:eastAsia="Courier New" w:hAnsi="Courier New"/>
          <w:sz w:val="15"/>
          <w:szCs w:val="15"/>
          <w:color w:val="auto"/>
        </w:rPr>
        <w:t>Certificates for the Firm Shares and for any Additional Shares to be purchased hereunder shall be registered in such names and in such denominations as you shall request by written notice, it being understood that a facsimile transmission shall be deemed written notice, prior to 9:30 A.M., New York City time, on the second business day preceding the Closing Date or any Option Closing Date, as the case may be. Such certificates shall be made available to you in New York City for inspection and packaging not later than 9:30 A.M., New York City time, on the business day next preceding the Closing Date or the Option Closing Date, as the case may be. The certificates evidencing the Firm Shares and any Additional Shares to be purchased hereunder shall be delivered to you on the Closing Date or the Option Closing Date, as the case may be, against payment of the purchase price therefor by certified or official bank check or checks payable in immediately available funds to the order of the Company.</w:t>
      </w:r>
    </w:p>
    <w:p>
      <w:pPr>
        <w:spacing w:after="0" w:line="175" w:lineRule="exact"/>
        <w:rPr>
          <w:sz w:val="20"/>
          <w:szCs w:val="20"/>
          <w:color w:val="auto"/>
        </w:rPr>
      </w:pPr>
    </w:p>
    <w:p>
      <w:pPr>
        <w:ind w:right="3639" w:firstLine="284"/>
        <w:spacing w:after="0" w:line="239" w:lineRule="auto"/>
        <w:tabs>
          <w:tab w:leader="none" w:pos="572"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Agreements of the Company. The Company agrees with the several Underwriters as follows:</w:t>
      </w:r>
    </w:p>
    <w:p>
      <w:pPr>
        <w:spacing w:after="0" w:line="189" w:lineRule="exact"/>
        <w:rPr>
          <w:rFonts w:ascii="Courier New" w:cs="Courier New" w:eastAsia="Courier New" w:hAnsi="Courier New"/>
          <w:sz w:val="16"/>
          <w:szCs w:val="16"/>
          <w:color w:val="auto"/>
        </w:rPr>
      </w:pPr>
    </w:p>
    <w:p>
      <w:pPr>
        <w:ind w:right="2779" w:firstLine="570"/>
        <w:spacing w:after="0" w:line="242" w:lineRule="auto"/>
        <w:tabs>
          <w:tab w:leader="none" w:pos="1144"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at the time this Agreement is executed and delivered, it is necessary for the registration statement or a post-effective amendment thereto or any Abbreviated Registration Statement to be declared effective before the offering of the Shares may commence, the Company will endeavor to cause the Registration Statement or such post-effective amendment to become effective as soon as possible and will advise you promptly and, if requested by you, will confirm such advice in writing, when the Registration Statement or such post-effective amendment has become effective.</w:t>
      </w:r>
    </w:p>
    <w:p>
      <w:pPr>
        <w:spacing w:after="0" w:line="200" w:lineRule="exact"/>
        <w:rPr>
          <w:sz w:val="20"/>
          <w:szCs w:val="20"/>
          <w:color w:val="auto"/>
        </w:rPr>
      </w:pPr>
    </w:p>
    <w:p>
      <w:pPr>
        <w:spacing w:after="0" w:line="35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1034" w:right="1440" w:bottom="1440" w:gutter="0" w:footer="0" w:header="0"/>
        </w:sectPr>
      </w:pPr>
    </w:p>
    <w:bookmarkStart w:id="107" w:name="page108"/>
    <w:bookmarkEnd w:id="107"/>
    <w:p>
      <w:pPr>
        <w:ind w:left="-570" w:right="2599" w:firstLine="570"/>
        <w:spacing w:after="0" w:line="259" w:lineRule="auto"/>
        <w:tabs>
          <w:tab w:leader="none" w:pos="574"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advise you promptly and, if requested by you, will confirm such advice in writing: (i) of any request by the Commission for amendment of or a supplement to the Registration Statement, any Prepricing Prospectus or the Prospectus or for additional information; (ii) of the issuance by the Commission of any stop order suspending the effectiveness of the Registration Statement or of the suspension of qualification of the Shares for offering or sale in any jurisdiction or the initiation of any proceeding for such purpose; and (iii) within the period of time referred to in paragraph (f) below, of any change in the Company's condition (financial or other), business, prospects, properties, net worth or results of operations, or of the happening of any event, which makes any statement of a material fact made in the Registration Statement or the Prospectus (as then amended or supplemented) untrue or which requires the making of any additions to or changes in the Registration Statement or the Prospectus (as then amended or supplemented) in order to state a material fact required by the Act or the regulations thereunder to be stated therein or necessary in order to make the statements therein not misleading, or of the necessity to amend or supplement the Prospectus (as then amended or supplemented) to comply with the Act or any other law. If at any time the Commission shall issue any stop order suspending the effectiveness of the Registration Statement, the Company will make every reasonable effort to obtain the withdrawal of such order at the earliest possible time.</w:t>
      </w:r>
    </w:p>
    <w:p>
      <w:pPr>
        <w:spacing w:after="0" w:line="367" w:lineRule="exact"/>
        <w:rPr>
          <w:rFonts w:ascii="Courier New" w:cs="Courier New" w:eastAsia="Courier New" w:hAnsi="Courier New"/>
          <w:sz w:val="15"/>
          <w:szCs w:val="15"/>
          <w:color w:val="auto"/>
        </w:rPr>
      </w:pPr>
    </w:p>
    <w:p>
      <w:pPr>
        <w:ind w:left="-570" w:right="2599" w:firstLine="570"/>
        <w:spacing w:after="0" w:line="242" w:lineRule="auto"/>
        <w:tabs>
          <w:tab w:leader="none" w:pos="574"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will furnish to you, without charge, six signed copies of the registration statement as originally filed with the Commission and of each amendment thereto, including financial statements and all exhibits to the registration statement and will also furnish to you, without charge, such number of conformed copies of the registration statement as originally filed and of each amendment thereto, but without exhibits, as you may request.</w:t>
      </w:r>
    </w:p>
    <w:p>
      <w:pPr>
        <w:spacing w:after="0" w:line="187" w:lineRule="exact"/>
        <w:rPr>
          <w:rFonts w:ascii="Courier New" w:cs="Courier New" w:eastAsia="Courier New" w:hAnsi="Courier New"/>
          <w:sz w:val="16"/>
          <w:szCs w:val="16"/>
          <w:color w:val="auto"/>
        </w:rPr>
      </w:pPr>
    </w:p>
    <w:p>
      <w:pPr>
        <w:ind w:left="-570" w:right="2599" w:firstLine="570"/>
        <w:spacing w:after="0" w:line="242" w:lineRule="auto"/>
        <w:tabs>
          <w:tab w:leader="none" w:pos="574"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will not (i) file any amendment to the Registration Statement or make any amendment or supplement to the Prospectus of which you shall not previously have been advised or to which you shall object after being so advised or (ii) so long as, in the opinion of counsel for the Underwriters, a prospectus is required to be delivered in connection with sales by any Underwriter or dealer, file any information, documents or reports pursuant to the Exchange Act, without delivering a copy of such information, documents or reports to you, as Representatives of the Underwriters, prior to or concurrently with such filing.</w:t>
      </w:r>
    </w:p>
    <w:p>
      <w:pPr>
        <w:spacing w:after="0" w:line="189" w:lineRule="exact"/>
        <w:rPr>
          <w:rFonts w:ascii="Courier New" w:cs="Courier New" w:eastAsia="Courier New" w:hAnsi="Courier New"/>
          <w:sz w:val="16"/>
          <w:szCs w:val="16"/>
          <w:color w:val="auto"/>
        </w:rPr>
      </w:pPr>
    </w:p>
    <w:p>
      <w:pPr>
        <w:ind w:left="-570" w:right="2599" w:firstLine="570"/>
        <w:spacing w:after="0" w:line="242" w:lineRule="auto"/>
        <w:tabs>
          <w:tab w:leader="none" w:pos="574"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the execution and delivery of this Agreement, the Company has delivered or will deliver to you, without charge, in such quantities as you have requested or may hereafter request, copies of each form of the Prepricing Prospectus. The Company consents to the use, in accordance with the provisions of the Act and with the securities or Blue Sky laws of the jurisdictions in which the Shares are offered by the several Underwriters and by dealers, prior to the date of the Prospectus, of each Prepricing Prospectus so furnished by the Company.</w:t>
      </w:r>
    </w:p>
    <w:p>
      <w:pPr>
        <w:spacing w:after="0" w:line="188" w:lineRule="exact"/>
        <w:rPr>
          <w:rFonts w:ascii="Courier New" w:cs="Courier New" w:eastAsia="Courier New" w:hAnsi="Courier New"/>
          <w:sz w:val="16"/>
          <w:szCs w:val="16"/>
          <w:color w:val="auto"/>
        </w:rPr>
      </w:pPr>
    </w:p>
    <w:p>
      <w:pPr>
        <w:ind w:left="-570" w:right="2599" w:firstLine="570"/>
        <w:spacing w:after="0" w:line="260" w:lineRule="auto"/>
        <w:tabs>
          <w:tab w:leader="none" w:pos="574"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after the execution and delivery of this Agreement as possible and thereafter from time to time for such period as in the opinion of counsel for the Underwriters a prospectus is required by the Act to be delivered in connection with sales by any Underwriter or dealer, the Company will expeditiously deliver to each Underwriter and each dealer, without charge, as many copies of the Prospectus (and of any amendment or supplement thereto) as you may request. The Company consents to the use of the Prospectus (and of any amendment or supplement thereto) in accordance with the provisions of the Act and with the securities or Blue Sky laws of the jurisdictions in which the Shares are offered by the several Underwriters and by all dealers to whom Shares may be sold, both in connection with the offering and sale of the Shares and for such period of time thereafter as the Prospectus is required by the Act to be</w:t>
      </w:r>
    </w:p>
    <w:p>
      <w:pPr>
        <w:spacing w:after="0" w:line="200" w:lineRule="exact"/>
        <w:rPr>
          <w:sz w:val="20"/>
          <w:szCs w:val="20"/>
          <w:color w:val="auto"/>
        </w:rPr>
      </w:pPr>
    </w:p>
    <w:p>
      <w:pPr>
        <w:spacing w:after="0" w:line="339" w:lineRule="exact"/>
        <w:rPr>
          <w:sz w:val="20"/>
          <w:szCs w:val="20"/>
          <w:color w:val="auto"/>
        </w:rPr>
      </w:pPr>
    </w:p>
    <w:p>
      <w:pPr>
        <w:ind w:left="325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9649"/>
          </w:cols>
          <w:pgMar w:left="810" w:top="1034" w:right="1440" w:bottom="1440" w:gutter="0" w:footer="0" w:header="0"/>
        </w:sectPr>
      </w:pPr>
    </w:p>
    <w:bookmarkStart w:id="108" w:name="page109"/>
    <w:bookmarkEnd w:id="108"/>
    <w:p>
      <w:pPr>
        <w:ind w:right="2599"/>
        <w:spacing w:after="0" w:line="242" w:lineRule="auto"/>
        <w:rPr>
          <w:sz w:val="20"/>
          <w:szCs w:val="20"/>
          <w:color w:val="auto"/>
        </w:rPr>
      </w:pPr>
      <w:r>
        <w:rPr>
          <w:rFonts w:ascii="Courier New" w:cs="Courier New" w:eastAsia="Courier New" w:hAnsi="Courier New"/>
          <w:sz w:val="16"/>
          <w:szCs w:val="16"/>
          <w:color w:val="auto"/>
        </w:rPr>
        <w:t>delivered in connection with sales by any Underwriter or dealer. If during such period of time any event shall occur that in the judgment of the Company or in the opinion of counsel for the Underwriters is required to be set forth in the Prospectus (as then amended or supplemented) or should be set forth therein in order to make the statements therein, in the light of the circumstances under which they were made, not misleading, or if it is necessary to supplement or amend the Prospectus to comply with the Act or any other law, the Company will forthwith prepare and, subject to the provisions of paragraph (d) above, file with the Commission an appropriate supplement or amendment thereto and will expeditiously furnish copies thereof to the Underwriters and dealers in such quantities as you shall request. In the event that the Company and you, as Representatives of the several Underwriters, agree that the Prospectus should be amended or supplemented, the Company, if requested by you, will promptly issue a press release announcing or disclosing the matters to be covered by the proposed amendment or supplement.</w:t>
      </w:r>
    </w:p>
    <w:p>
      <w:pPr>
        <w:spacing w:after="0" w:line="193" w:lineRule="exact"/>
        <w:rPr>
          <w:sz w:val="20"/>
          <w:szCs w:val="20"/>
          <w:color w:val="auto"/>
        </w:rPr>
      </w:pPr>
    </w:p>
    <w:p>
      <w:pPr>
        <w:ind w:right="2599" w:firstLine="570"/>
        <w:spacing w:after="0" w:line="242" w:lineRule="auto"/>
        <w:tabs>
          <w:tab w:leader="none" w:pos="1144"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will cooperate with you and with counsel for the Underwriters in connection with the registration or qualification of the Shares for offering and sale by the several Underwriters and by dealers under the securities or Blue Sky laws of such jurisdictions as you may designate and will file such consents to service of process or other documents necessary or appropriate in order to effect such registration or qualification; provided that in no event shall the Company be obligated to qualify to do business in any jurisdiction where it is not now so qualified or to take any action that would subject it to service of process in suits, other than those arising out of the offering or sale of the Shares, in any jurisdiction where it is not now so subject.</w:t>
      </w:r>
    </w:p>
    <w:p>
      <w:pPr>
        <w:spacing w:after="0" w:line="190" w:lineRule="exact"/>
        <w:rPr>
          <w:rFonts w:ascii="Courier New" w:cs="Courier New" w:eastAsia="Courier New" w:hAnsi="Courier New"/>
          <w:sz w:val="16"/>
          <w:szCs w:val="16"/>
          <w:color w:val="auto"/>
        </w:rPr>
      </w:pPr>
    </w:p>
    <w:p>
      <w:pPr>
        <w:ind w:right="2599" w:firstLine="570"/>
        <w:spacing w:after="0" w:line="242" w:lineRule="auto"/>
        <w:tabs>
          <w:tab w:leader="none" w:pos="1144"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will make generally available to its security holders a consolidated earnings statement, which need not be audited, covering a twelve-month period commencing after the effective date of the Registration Statement and ending not later than 15 months thereafter, as soon as practicable after the end of such period, which consolidated earnings statement shall satisfy the provisions of Section 11(a) of the Act.</w:t>
      </w:r>
    </w:p>
    <w:p>
      <w:pPr>
        <w:spacing w:after="0" w:line="187" w:lineRule="exact"/>
        <w:rPr>
          <w:rFonts w:ascii="Courier New" w:cs="Courier New" w:eastAsia="Courier New" w:hAnsi="Courier New"/>
          <w:sz w:val="16"/>
          <w:szCs w:val="16"/>
          <w:color w:val="auto"/>
        </w:rPr>
      </w:pPr>
    </w:p>
    <w:p>
      <w:pPr>
        <w:jc w:val="both"/>
        <w:ind w:right="2599" w:firstLine="570"/>
        <w:spacing w:after="0" w:line="241" w:lineRule="auto"/>
        <w:tabs>
          <w:tab w:leader="none" w:pos="1144"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period of five years hereafter, the Company will furnish to you (i) as soon as available, a copy of each report of the Company mailed to stockholders or filed with the Commission, and (ii) from time to time such other information concerning the Company as you may reasonably request.</w:t>
      </w:r>
    </w:p>
    <w:p>
      <w:pPr>
        <w:spacing w:after="0" w:line="189" w:lineRule="exact"/>
        <w:rPr>
          <w:rFonts w:ascii="Courier New" w:cs="Courier New" w:eastAsia="Courier New" w:hAnsi="Courier New"/>
          <w:sz w:val="16"/>
          <w:szCs w:val="16"/>
          <w:color w:val="auto"/>
        </w:rPr>
      </w:pPr>
    </w:p>
    <w:p>
      <w:pPr>
        <w:ind w:right="2599" w:firstLine="570"/>
        <w:spacing w:after="0" w:line="242" w:lineRule="auto"/>
        <w:tabs>
          <w:tab w:leader="none" w:pos="1144"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this Agreement shall terminate or shall be terminated after execution pursuant to any provisions hereof (otherwise than pursuant to the second paragraph of Section 12 hereof or by notice given by you terminating this Agreement pursuant to Section 12 or Section 13 hereof) or if this Agreement shall be terminated by the Underwriters because of any failure or refusal on the part of the Company to comply with the terms or fulfill any of the conditions of this Agreement, the Company agrees to reimburse the Representatives for all out-of-pocket expenses (including fees and expenses of counsel for the Underwriters) incurred by you in connection herewith.</w:t>
      </w:r>
    </w:p>
    <w:p>
      <w:pPr>
        <w:spacing w:after="0" w:line="189" w:lineRule="exact"/>
        <w:rPr>
          <w:rFonts w:ascii="Courier New" w:cs="Courier New" w:eastAsia="Courier New" w:hAnsi="Courier New"/>
          <w:sz w:val="16"/>
          <w:szCs w:val="16"/>
          <w:color w:val="auto"/>
        </w:rPr>
      </w:pPr>
    </w:p>
    <w:p>
      <w:pPr>
        <w:ind w:right="2679" w:firstLine="570"/>
        <w:spacing w:after="0" w:line="271" w:lineRule="auto"/>
        <w:tabs>
          <w:tab w:leader="none" w:pos="1144"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apply the net proceeds from the sale of the Shares substantially in accordance with the description set forth in the Prospectus.</w:t>
      </w:r>
    </w:p>
    <w:p>
      <w:pPr>
        <w:spacing w:after="0" w:line="166" w:lineRule="exact"/>
        <w:rPr>
          <w:rFonts w:ascii="Courier New" w:cs="Courier New" w:eastAsia="Courier New" w:hAnsi="Courier New"/>
          <w:sz w:val="15"/>
          <w:szCs w:val="15"/>
          <w:color w:val="auto"/>
        </w:rPr>
      </w:pPr>
    </w:p>
    <w:p>
      <w:pPr>
        <w:ind w:right="2679" w:firstLine="570"/>
        <w:spacing w:after="0"/>
        <w:tabs>
          <w:tab w:leader="none" w:pos="1144"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Rule 430A of the Act is employed, the Company will timely file the Prospectus pursuant to Rule 424(b) under the Act and will advise you of the time and manner of such filing.</w:t>
      </w:r>
    </w:p>
    <w:p>
      <w:pPr>
        <w:spacing w:after="0" w:line="200" w:lineRule="exact"/>
        <w:rPr>
          <w:sz w:val="20"/>
          <w:szCs w:val="20"/>
          <w:color w:val="auto"/>
        </w:rPr>
      </w:pPr>
    </w:p>
    <w:p>
      <w:pPr>
        <w:spacing w:after="0" w:line="354"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1034" w:right="1440" w:bottom="1440" w:gutter="0" w:footer="0" w:header="0"/>
        </w:sectPr>
      </w:pPr>
    </w:p>
    <w:bookmarkStart w:id="109" w:name="page110"/>
    <w:bookmarkEnd w:id="109"/>
    <w:p>
      <w:pPr>
        <w:ind w:left="-284" w:right="2679" w:firstLine="570"/>
        <w:spacing w:after="0" w:line="242" w:lineRule="auto"/>
        <w:tabs>
          <w:tab w:leader="none" w:pos="860"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provided in this Agreement, the Company will not sell, offer to sell, contract to sell or otherwise transfer or dispose of any Common Stock (or any securities convertible into or exercisable or exchangeable for Common Stock), or grant any options or warrants to purchase Common Stock, for a period of ___ days after the date of the Prospectus without the prior written consent of Smith Barney Inc.</w:t>
      </w:r>
    </w:p>
    <w:p>
      <w:pPr>
        <w:spacing w:after="0" w:line="187" w:lineRule="exact"/>
        <w:rPr>
          <w:rFonts w:ascii="Courier New" w:cs="Courier New" w:eastAsia="Courier New" w:hAnsi="Courier New"/>
          <w:sz w:val="16"/>
          <w:szCs w:val="16"/>
          <w:color w:val="auto"/>
        </w:rPr>
      </w:pPr>
    </w:p>
    <w:p>
      <w:pPr>
        <w:ind w:left="-284" w:right="2679" w:firstLine="570"/>
        <w:spacing w:after="0"/>
        <w:tabs>
          <w:tab w:leader="none" w:pos="860"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furnished or will furnish to you "lock-up" letters, in form and substance satisfactory to you, signed by each of its current officers and directors and each of its stockholders designated by you.</w:t>
      </w:r>
    </w:p>
    <w:p>
      <w:pPr>
        <w:spacing w:after="0" w:line="189" w:lineRule="exact"/>
        <w:rPr>
          <w:rFonts w:ascii="Courier New" w:cs="Courier New" w:eastAsia="Courier New" w:hAnsi="Courier New"/>
          <w:sz w:val="16"/>
          <w:szCs w:val="16"/>
          <w:color w:val="auto"/>
        </w:rPr>
      </w:pPr>
    </w:p>
    <w:p>
      <w:pPr>
        <w:ind w:left="-284" w:right="2599" w:firstLine="570"/>
        <w:spacing w:after="0" w:line="241" w:lineRule="auto"/>
        <w:tabs>
          <w:tab w:leader="none" w:pos="860"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stated in this Agreement and in the Prepricing Prospectus and Prospectus, the Company has not taken, nor will it take, directly or indirectly, any action designed to or that might reasonably be expected to cause or result in stabilization or manipulation of the price of the Common Stock to facilitate the sale or resale of the Shares.</w:t>
      </w:r>
    </w:p>
    <w:p>
      <w:pPr>
        <w:spacing w:after="0" w:line="190" w:lineRule="exact"/>
        <w:rPr>
          <w:rFonts w:ascii="Courier New" w:cs="Courier New" w:eastAsia="Courier New" w:hAnsi="Courier New"/>
          <w:sz w:val="16"/>
          <w:szCs w:val="16"/>
          <w:color w:val="auto"/>
        </w:rPr>
      </w:pPr>
    </w:p>
    <w:p>
      <w:pPr>
        <w:ind w:left="-284" w:right="2979" w:firstLine="570"/>
        <w:spacing w:after="0"/>
        <w:tabs>
          <w:tab w:leader="none" w:pos="860"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will use its best efforts to have the Shares listed, subject to notice of issuance, on the New York Stock Exchange prior to or concurrently with the effectiveness of the registration statement.</w:t>
      </w:r>
    </w:p>
    <w:p>
      <w:pPr>
        <w:spacing w:after="0" w:line="189" w:lineRule="exact"/>
        <w:rPr>
          <w:rFonts w:ascii="Courier New" w:cs="Courier New" w:eastAsia="Courier New" w:hAnsi="Courier New"/>
          <w:sz w:val="16"/>
          <w:szCs w:val="16"/>
          <w:color w:val="auto"/>
        </w:rPr>
      </w:pPr>
    </w:p>
    <w:p>
      <w:pPr>
        <w:ind w:left="-284" w:right="2979" w:firstLine="284"/>
        <w:spacing w:after="0" w:line="239" w:lineRule="auto"/>
        <w:tabs>
          <w:tab w:leader="none" w:pos="288"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Agreements of the Selling Stockholder. The Selling Stockholder agrees with the several Underwriters as follows:</w:t>
      </w:r>
    </w:p>
    <w:p>
      <w:pPr>
        <w:spacing w:after="0" w:line="189" w:lineRule="exact"/>
        <w:rPr>
          <w:rFonts w:ascii="Courier New" w:cs="Courier New" w:eastAsia="Courier New" w:hAnsi="Courier New"/>
          <w:sz w:val="16"/>
          <w:szCs w:val="16"/>
          <w:color w:val="auto"/>
        </w:rPr>
      </w:pPr>
    </w:p>
    <w:p>
      <w:pPr>
        <w:ind w:left="-284" w:right="2779" w:firstLine="570"/>
        <w:spacing w:after="0"/>
        <w:tabs>
          <w:tab w:leader="none" w:pos="860" w:val="left"/>
        </w:tabs>
        <w:numPr>
          <w:ilvl w:val="1"/>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Selling Stockholder will cooperate to the extent necessary to cause the registration statement or any post-effective amendment thereto to become effective at the earliest possible time.</w:t>
      </w:r>
    </w:p>
    <w:p>
      <w:pPr>
        <w:spacing w:after="0" w:line="189" w:lineRule="exact"/>
        <w:rPr>
          <w:rFonts w:ascii="Courier New" w:cs="Courier New" w:eastAsia="Courier New" w:hAnsi="Courier New"/>
          <w:sz w:val="16"/>
          <w:szCs w:val="16"/>
          <w:color w:val="auto"/>
        </w:rPr>
      </w:pPr>
    </w:p>
    <w:p>
      <w:pPr>
        <w:ind w:left="-284" w:right="2879" w:firstLine="570"/>
        <w:spacing w:after="0"/>
        <w:tabs>
          <w:tab w:leader="none" w:pos="860" w:val="left"/>
        </w:tabs>
        <w:numPr>
          <w:ilvl w:val="1"/>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Selling Stockholder will pay all Federal and other taxes, if any, on the transfer or sale of any Shares that are sold by such Selling Stockholder to the Underwriters.</w:t>
      </w:r>
    </w:p>
    <w:p>
      <w:pPr>
        <w:spacing w:after="0" w:line="189" w:lineRule="exact"/>
        <w:rPr>
          <w:rFonts w:ascii="Courier New" w:cs="Courier New" w:eastAsia="Courier New" w:hAnsi="Courier New"/>
          <w:sz w:val="16"/>
          <w:szCs w:val="16"/>
          <w:color w:val="auto"/>
        </w:rPr>
      </w:pPr>
    </w:p>
    <w:p>
      <w:pPr>
        <w:ind w:left="-284" w:right="2879" w:firstLine="570"/>
        <w:spacing w:after="0" w:line="241" w:lineRule="auto"/>
        <w:tabs>
          <w:tab w:leader="none" w:pos="860" w:val="left"/>
        </w:tabs>
        <w:numPr>
          <w:ilvl w:val="1"/>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Selling Stockholder will do or perform all things reasonably required to be done or performed by such Selling Stockholder prior to the Closing Date and any Option Closing Date, as the case may be, to satisfy all conditions precedent to the delivery of the Shares to be sold by such Selling Stockholder pursuant to this Agreement.</w:t>
      </w:r>
    </w:p>
    <w:p>
      <w:pPr>
        <w:spacing w:after="0" w:line="190" w:lineRule="exact"/>
        <w:rPr>
          <w:rFonts w:ascii="Courier New" w:cs="Courier New" w:eastAsia="Courier New" w:hAnsi="Courier New"/>
          <w:sz w:val="16"/>
          <w:szCs w:val="16"/>
          <w:color w:val="auto"/>
        </w:rPr>
      </w:pPr>
    </w:p>
    <w:p>
      <w:pPr>
        <w:ind w:left="-284" w:right="2779" w:firstLine="570"/>
        <w:spacing w:after="0" w:line="242" w:lineRule="auto"/>
        <w:tabs>
          <w:tab w:leader="none" w:pos="860" w:val="left"/>
        </w:tabs>
        <w:numPr>
          <w:ilvl w:val="1"/>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Selling Stockholder will not offer, sell, contract to sell or otherwise dispose of, or grant any option to purchase, any shares of Common Stock (or any securities convertible into or exercisable or exchangeable for Common Stock) owned by such Selling Stockholder, except for the sale of Shares to the Underwriters pursuant to this Agreement, without the prior written consent of Smith Barney Inc. for a period of ___ days after the date of the Prospectus.</w:t>
      </w:r>
    </w:p>
    <w:p>
      <w:pPr>
        <w:spacing w:after="0" w:line="187" w:lineRule="exact"/>
        <w:rPr>
          <w:rFonts w:ascii="Courier New" w:cs="Courier New" w:eastAsia="Courier New" w:hAnsi="Courier New"/>
          <w:sz w:val="16"/>
          <w:szCs w:val="16"/>
          <w:color w:val="auto"/>
        </w:rPr>
      </w:pPr>
    </w:p>
    <w:p>
      <w:pPr>
        <w:ind w:left="-284" w:right="2599" w:firstLine="570"/>
        <w:spacing w:after="0" w:line="241" w:lineRule="auto"/>
        <w:tabs>
          <w:tab w:leader="none" w:pos="860" w:val="left"/>
        </w:tabs>
        <w:numPr>
          <w:ilvl w:val="1"/>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stated in this Agreement and in the Prepricing Prospectus and the Prospectus, such Selling Stockholder will not take, directly or indirectly, any action designed to or that might reasonably be expected to cause or result in stabilization or manipulation of the price of the Common Stock to facilitate the sale or resale of the Shares.</w:t>
      </w:r>
    </w:p>
    <w:p>
      <w:pPr>
        <w:spacing w:after="0" w:line="190" w:lineRule="exact"/>
        <w:rPr>
          <w:rFonts w:ascii="Courier New" w:cs="Courier New" w:eastAsia="Courier New" w:hAnsi="Courier New"/>
          <w:sz w:val="16"/>
          <w:szCs w:val="16"/>
          <w:color w:val="auto"/>
        </w:rPr>
      </w:pPr>
    </w:p>
    <w:p>
      <w:pPr>
        <w:ind w:left="-284" w:right="2599" w:firstLine="570"/>
        <w:spacing w:after="0" w:line="241" w:lineRule="auto"/>
        <w:tabs>
          <w:tab w:leader="none" w:pos="860" w:val="left"/>
        </w:tabs>
        <w:numPr>
          <w:ilvl w:val="1"/>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Selling Stockholder will advise you promptly, and if requested by you, will confirm such advice in writing, within the period of time referred to in Section 5(f) hereof, of any change in information relating to such Selling Stockholder and of any change in the Company's condition (financial or other), business, prospects, properties, net worth or results of operations</w:t>
      </w:r>
    </w:p>
    <w:p>
      <w:pPr>
        <w:spacing w:after="0" w:line="200" w:lineRule="exact"/>
        <w:rPr>
          <w:sz w:val="20"/>
          <w:szCs w:val="20"/>
          <w:color w:val="auto"/>
        </w:rPr>
      </w:pPr>
    </w:p>
    <w:p>
      <w:pPr>
        <w:spacing w:after="0" w:line="354" w:lineRule="exact"/>
        <w:rPr>
          <w:sz w:val="20"/>
          <w:szCs w:val="20"/>
          <w:color w:val="auto"/>
        </w:rPr>
      </w:pPr>
    </w:p>
    <w:p>
      <w:pPr>
        <w:ind w:left="3536"/>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9935"/>
          </w:cols>
          <w:pgMar w:left="524" w:top="1034" w:right="1440" w:bottom="1440" w:gutter="0" w:footer="0" w:header="0"/>
        </w:sectPr>
      </w:pPr>
    </w:p>
    <w:bookmarkStart w:id="110" w:name="page111"/>
    <w:bookmarkEnd w:id="110"/>
    <w:p>
      <w:pPr>
        <w:ind w:right="2679"/>
        <w:spacing w:after="0" w:line="242" w:lineRule="auto"/>
        <w:rPr>
          <w:sz w:val="20"/>
          <w:szCs w:val="20"/>
          <w:color w:val="auto"/>
        </w:rPr>
      </w:pPr>
      <w:r>
        <w:rPr>
          <w:rFonts w:ascii="Courier New" w:cs="Courier New" w:eastAsia="Courier New" w:hAnsi="Courier New"/>
          <w:sz w:val="16"/>
          <w:szCs w:val="16"/>
          <w:color w:val="auto"/>
        </w:rPr>
        <w:t>or any other information relating to the Company or relating to any matter stated in the Prospectus or any amendment or supplement thereto that comes to the attention of such Selling Stockholder that suggests that any statement of a material fact made in the Registration Statement or the Prospectus (as then amended or supplemented, if amended or supplemented) is or may be untrue in any material respect or that the Registration Statement or Prospectus (as then amended or supplemented, if amended or supplemented) omits or may omit to state a material fact or a fact necessary to be stated therein in order to make the statements therein not misleading in any material respect.</w:t>
      </w:r>
    </w:p>
    <w:p>
      <w:pPr>
        <w:spacing w:after="0" w:line="189" w:lineRule="exact"/>
        <w:rPr>
          <w:sz w:val="20"/>
          <w:szCs w:val="20"/>
          <w:color w:val="auto"/>
        </w:rPr>
      </w:pPr>
    </w:p>
    <w:p>
      <w:pPr>
        <w:ind w:right="2599" w:firstLine="570"/>
        <w:spacing w:after="0" w:line="242" w:lineRule="auto"/>
        <w:tabs>
          <w:tab w:leader="none" w:pos="1144" w:val="left"/>
        </w:tabs>
        <w:numPr>
          <w:ilvl w:val="1"/>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order to document the Underwriters' compliance with the reporting and withholding provisions of the Tax Equity and Fiscal Responsibility Act of 1982, as amended, with respect to the transactions herein contemplated, such Selling Stockholder agrees to deliver to you prior to or on the Option Closing Date a properly completed and executed United States Treasury Department Form W-9 (or other applicable form or statement specified by Treasury Department regulations in lieu thereof).</w:t>
      </w:r>
    </w:p>
    <w:p>
      <w:pPr>
        <w:spacing w:after="0" w:line="187" w:lineRule="exact"/>
        <w:rPr>
          <w:rFonts w:ascii="Courier New" w:cs="Courier New" w:eastAsia="Courier New" w:hAnsi="Courier New"/>
          <w:sz w:val="16"/>
          <w:szCs w:val="16"/>
          <w:color w:val="auto"/>
        </w:rPr>
      </w:pPr>
    </w:p>
    <w:p>
      <w:pPr>
        <w:ind w:right="2599" w:firstLine="284"/>
        <w:spacing w:after="0" w:line="239" w:lineRule="auto"/>
        <w:tabs>
          <w:tab w:leader="none" w:pos="572"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of the Company. The Company represents and warrants to each Underwriter that:</w:t>
      </w:r>
    </w:p>
    <w:p>
      <w:pPr>
        <w:spacing w:after="0" w:line="189" w:lineRule="exact"/>
        <w:rPr>
          <w:rFonts w:ascii="Courier New" w:cs="Courier New" w:eastAsia="Courier New" w:hAnsi="Courier New"/>
          <w:sz w:val="16"/>
          <w:szCs w:val="16"/>
          <w:color w:val="auto"/>
        </w:rPr>
      </w:pPr>
    </w:p>
    <w:p>
      <w:pPr>
        <w:ind w:right="2599" w:firstLine="570"/>
        <w:spacing w:after="0" w:line="241" w:lineRule="auto"/>
        <w:tabs>
          <w:tab w:leader="none" w:pos="1144" w:val="left"/>
        </w:tabs>
        <w:numPr>
          <w:ilvl w:val="1"/>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Prepricing Prospectus included as part of the registration statement as originally filed or as part of any amendment or supplement thereto, or filed pursuant to Rule 424 under the Act, complied when so filed in all material respects with the provisions of the Act. The Commission has not issued any order preventing or suspending the use of any Prepricing Prospectus.</w:t>
      </w:r>
    </w:p>
    <w:p>
      <w:pPr>
        <w:spacing w:after="0" w:line="190" w:lineRule="exact"/>
        <w:rPr>
          <w:rFonts w:ascii="Courier New" w:cs="Courier New" w:eastAsia="Courier New" w:hAnsi="Courier New"/>
          <w:sz w:val="16"/>
          <w:szCs w:val="16"/>
          <w:color w:val="auto"/>
        </w:rPr>
      </w:pPr>
    </w:p>
    <w:p>
      <w:pPr>
        <w:ind w:right="2599" w:firstLine="570"/>
        <w:spacing w:after="0" w:line="242" w:lineRule="auto"/>
        <w:tabs>
          <w:tab w:leader="none" w:pos="1144" w:val="left"/>
        </w:tabs>
        <w:numPr>
          <w:ilvl w:val="1"/>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registration statement in the form in which it became or becomes effective and also in such form as it may be when any post-effective amendment thereto or any Abbreviated Registration Statement shall become effective, and the Prospectus and any supplement or amendment thereto when filed with the Commission under Rule 424(b) under the Act, complied or will comply in all material respects with the provisions of the Act and did not or will not at any such times contain an untrue statement of a material fact or omit to state a material fact required to be stated therein or necessary to make the statements therein not misleading, except that this representation and warranty does not apply to statements in or omissions from the registration statement or the Prospectus made in reliance upon and in conformity with information relating to any Underwriter furnished to the Company in writing by or on behalf of any Underwriter through you expressly for use therein.</w:t>
      </w:r>
    </w:p>
    <w:p>
      <w:pPr>
        <w:spacing w:after="0" w:line="191" w:lineRule="exact"/>
        <w:rPr>
          <w:rFonts w:ascii="Courier New" w:cs="Courier New" w:eastAsia="Courier New" w:hAnsi="Courier New"/>
          <w:sz w:val="16"/>
          <w:szCs w:val="16"/>
          <w:color w:val="auto"/>
        </w:rPr>
      </w:pPr>
    </w:p>
    <w:p>
      <w:pPr>
        <w:ind w:right="2599" w:firstLine="570"/>
        <w:spacing w:after="0" w:line="242" w:lineRule="auto"/>
        <w:tabs>
          <w:tab w:leader="none" w:pos="1144" w:val="left"/>
        </w:tabs>
        <w:numPr>
          <w:ilvl w:val="1"/>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the outstanding shares of capital stock of the Company have been duly authorized and validly issued, are fully paid and nonassessable, are free of any preemptive or similar rights and have been issued and sold in compliance with all Federal and state securities laws; the Shares to be issued and sold by the Company have been duly authorized and, when issued and delivered to the Underwriters against payment therefor in accordance with the terms hereof, will be validly issued, fully paid and nonassessable and free of any preemptive or similar rights. The capital stock of the Company conforms in all material respects to the description thereof in the Registration Statement and the Prospectus.</w:t>
      </w:r>
    </w:p>
    <w:p>
      <w:pPr>
        <w:spacing w:after="0" w:line="189" w:lineRule="exact"/>
        <w:rPr>
          <w:rFonts w:ascii="Courier New" w:cs="Courier New" w:eastAsia="Courier New" w:hAnsi="Courier New"/>
          <w:sz w:val="16"/>
          <w:szCs w:val="16"/>
          <w:color w:val="auto"/>
        </w:rPr>
      </w:pPr>
    </w:p>
    <w:p>
      <w:pPr>
        <w:jc w:val="both"/>
        <w:ind w:right="2679" w:firstLine="570"/>
        <w:spacing w:after="0" w:line="241" w:lineRule="auto"/>
        <w:tabs>
          <w:tab w:leader="none" w:pos="1049" w:val="left"/>
        </w:tabs>
        <w:numPr>
          <w:ilvl w:val="1"/>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a corporation duly organized, validly existing and in good standing under the laws of the State of Delaware with full corporate power and authority to own, lease and operate its properties and to conduct its business as described in the Registration Statement and</w:t>
      </w:r>
    </w:p>
    <w:p>
      <w:pPr>
        <w:spacing w:after="0" w:line="200" w:lineRule="exact"/>
        <w:rPr>
          <w:sz w:val="20"/>
          <w:szCs w:val="20"/>
          <w:color w:val="auto"/>
        </w:rPr>
      </w:pPr>
    </w:p>
    <w:p>
      <w:pPr>
        <w:spacing w:after="0" w:line="35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1034" w:right="1440" w:bottom="1440" w:gutter="0" w:footer="0" w:header="0"/>
        </w:sectPr>
      </w:pPr>
    </w:p>
    <w:bookmarkStart w:id="111" w:name="page112"/>
    <w:bookmarkEnd w:id="111"/>
    <w:p>
      <w:pPr>
        <w:ind w:right="2599"/>
        <w:spacing w:after="0" w:line="242" w:lineRule="auto"/>
        <w:rPr>
          <w:sz w:val="20"/>
          <w:szCs w:val="20"/>
          <w:color w:val="auto"/>
        </w:rPr>
      </w:pPr>
      <w:r>
        <w:rPr>
          <w:rFonts w:ascii="Courier New" w:cs="Courier New" w:eastAsia="Courier New" w:hAnsi="Courier New"/>
          <w:sz w:val="16"/>
          <w:szCs w:val="16"/>
          <w:color w:val="auto"/>
        </w:rPr>
        <w:t>the Prospectus, and is duly registered and qualified to conduct its business and is in good standing in each jurisdiction or place where the nature of its properties or the conduct of its business requires such registration or qualification, except where the failure so to register or qualify would not have a material adverse effect on the condition (financial or other), business, prospects, properties, net worth or results of operations of the Company and the Subsidiaries (as hereinafter defined) taken as a whole (a "Material Adverse Effect").</w:t>
      </w:r>
    </w:p>
    <w:p>
      <w:pPr>
        <w:spacing w:after="0" w:line="189" w:lineRule="exact"/>
        <w:rPr>
          <w:sz w:val="20"/>
          <w:szCs w:val="20"/>
          <w:color w:val="auto"/>
        </w:rPr>
      </w:pPr>
    </w:p>
    <w:p>
      <w:pPr>
        <w:ind w:right="2599" w:firstLine="570"/>
        <w:spacing w:after="0" w:line="242" w:lineRule="auto"/>
        <w:tabs>
          <w:tab w:leader="none" w:pos="1049"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the Company's subsidiaries (as defined in the Act), are listed in an exhibit to the Registration Statement and are referred to herein individually as a "Subsidiary" and collectively as the "Subsidiaries." Each Subsidiary is a corporation duly organized, validly existing and in good standing in the jurisdiction of its incorporation, with full corporate power and authority to own, lease and operate its properties and to conduct its business in all material respects as described in the Registration Statement and the Prospectus and is duly registered and qualified to conduct its business and is in good standing in each jurisdiction or place where the nature of its properties or the conduct of its business requires such registration, except where the failure so to register or qualify would not have a Material Adverse Effect. All the outstanding shares of capital stock of each of the Subsidiaries have been duly authorized and validly issued, are fully paid and nonassessable, and are wholly-owned by the Company directly or indirectly through one of the other Subsidiaries, free and clear of any lien, adverse claim, security interest, equity or other encumbrance, except as disclosed in the Registration Statement and the Prospectus (or any amendment or supplement thereto).</w:t>
      </w:r>
    </w:p>
    <w:p>
      <w:pPr>
        <w:spacing w:after="0" w:line="194" w:lineRule="exact"/>
        <w:rPr>
          <w:rFonts w:ascii="Courier New" w:cs="Courier New" w:eastAsia="Courier New" w:hAnsi="Courier New"/>
          <w:sz w:val="16"/>
          <w:szCs w:val="16"/>
          <w:color w:val="auto"/>
        </w:rPr>
      </w:pPr>
    </w:p>
    <w:p>
      <w:pPr>
        <w:ind w:right="2599" w:firstLine="570"/>
        <w:spacing w:after="0" w:line="242" w:lineRule="auto"/>
        <w:tabs>
          <w:tab w:leader="none" w:pos="1049"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legal or governmental proceedings pending or, to the knowledge of the Company, threatened, against the Company or any of the Subsidiaries, or to which the Company or any of the Subsidiaries or any of their respective properties is subject, that are required to be described in the Registration Statement or the Prospectus but are not described as required. There are no agreements, contracts, indentures, leases or other instruments that are required to be described in the Registration Statement or the Prospectus or to be filed as an exhibit to the Registration Statement that are not described or filed as required by the Act. Neither the Company nor any of the Subsidiaries is involved in any strike, job action or labor dispute, and to the Company's best knowledge no such action or dispute is threatened.</w:t>
      </w:r>
    </w:p>
    <w:p>
      <w:pPr>
        <w:spacing w:after="0" w:line="190" w:lineRule="exact"/>
        <w:rPr>
          <w:rFonts w:ascii="Courier New" w:cs="Courier New" w:eastAsia="Courier New" w:hAnsi="Courier New"/>
          <w:sz w:val="16"/>
          <w:szCs w:val="16"/>
          <w:color w:val="auto"/>
        </w:rPr>
      </w:pPr>
    </w:p>
    <w:p>
      <w:pPr>
        <w:ind w:right="2599" w:firstLine="570"/>
        <w:spacing w:after="0" w:line="242" w:lineRule="auto"/>
        <w:tabs>
          <w:tab w:leader="none" w:pos="1049"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any of the Subsidiaries is (i) in violation of its certificate of incorporation or by-laws or other organizational documents, or of any law, ordinance, administrative or governmental rule or regulation applicable to the Company or any of the Subsidiaries or of any decree of any court or governmental agency or body having jurisdiction over the Company or any of the Subsidiaries, or (ii) in default in any material respect in the performance of any obligation, agreement or condition contained in any bond, debenture, note or any other evidence of indebtedness or in any material agreement, indenture, lease or other instrument to which the Company or any of the Subsidiaries is a party or by which it or any of their respective properties may be bound.</w:t>
      </w:r>
    </w:p>
    <w:p>
      <w:pPr>
        <w:spacing w:after="0" w:line="190" w:lineRule="exact"/>
        <w:rPr>
          <w:rFonts w:ascii="Courier New" w:cs="Courier New" w:eastAsia="Courier New" w:hAnsi="Courier New"/>
          <w:sz w:val="16"/>
          <w:szCs w:val="16"/>
          <w:color w:val="auto"/>
        </w:rPr>
      </w:pPr>
    </w:p>
    <w:p>
      <w:pPr>
        <w:ind w:right="2599" w:firstLine="570"/>
        <w:spacing w:after="0" w:line="242" w:lineRule="auto"/>
        <w:tabs>
          <w:tab w:leader="none" w:pos="1049"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issuance and sale of Shares by the Company, the execution, delivery or performance of this Agreement by the Company nor the consummation by the Company of the transactions contemplated hereby (i) requires any consent, approval, authorization or other order of, or registration or filing with, any court, regulatory body, administrative agency or other governmental body, agency or official (except such as may be required for the registration of the Shares under the Act and the Exchange Act, all of which have been or will be effected in accordance with this Agreement, and compliance with the securities or Blue Sky laws of various</w:t>
      </w:r>
    </w:p>
    <w:p>
      <w:pPr>
        <w:spacing w:after="0" w:line="200" w:lineRule="exact"/>
        <w:rPr>
          <w:sz w:val="20"/>
          <w:szCs w:val="20"/>
          <w:color w:val="auto"/>
        </w:rPr>
      </w:pPr>
    </w:p>
    <w:p>
      <w:pPr>
        <w:spacing w:after="0" w:line="35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1034" w:right="1440" w:bottom="1440" w:gutter="0" w:footer="0" w:header="0"/>
        </w:sectPr>
      </w:pPr>
    </w:p>
    <w:bookmarkStart w:id="112" w:name="page113"/>
    <w:bookmarkEnd w:id="112"/>
    <w:p>
      <w:pPr>
        <w:ind w:right="2599"/>
        <w:spacing w:after="0" w:line="242" w:lineRule="auto"/>
        <w:rPr>
          <w:sz w:val="20"/>
          <w:szCs w:val="20"/>
          <w:color w:val="auto"/>
        </w:rPr>
      </w:pPr>
      <w:r>
        <w:rPr>
          <w:rFonts w:ascii="Courier New" w:cs="Courier New" w:eastAsia="Courier New" w:hAnsi="Courier New"/>
          <w:sz w:val="16"/>
          <w:szCs w:val="16"/>
          <w:color w:val="auto"/>
        </w:rPr>
        <w:t>jurisdictions) or conflicts or will conflict with or constitutes or will constitute a breach of, or a default under, the certificate of incorporation or bylaws or other organizational documents of the Company or any of the Subsidiaries or (ii) conflicts or will conflict with or constitutes or will constitute a breach of, or a default under, any agreement, indenture, lease or other instrument to which the Company or any of the Subsidiaries is a party or by which the Company or any of the Subsidiaries or any of their respective properties may be bound, violates or will violate any statute, law or regulation, filing, judgment, injunction, order or decree applicable to the Company or any of the Subsidiaries or any of their respective properties or will result in the creation or imposition of any lien, charge or encumbrance upon any property or assets of the Company or any of the Subsidiaries pursuant to the terms of any agreement or instrument to which it is a party or by which it may be bound or to which any of the property or assets of it is subject.</w:t>
      </w:r>
    </w:p>
    <w:p>
      <w:pPr>
        <w:spacing w:after="0" w:line="192" w:lineRule="exact"/>
        <w:rPr>
          <w:sz w:val="20"/>
          <w:szCs w:val="20"/>
          <w:color w:val="auto"/>
        </w:rPr>
      </w:pPr>
    </w:p>
    <w:p>
      <w:pPr>
        <w:ind w:right="2779" w:firstLine="570"/>
        <w:spacing w:after="0" w:line="241" w:lineRule="auto"/>
        <w:tabs>
          <w:tab w:leader="none" w:pos="1049"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accountants, Arthur Andersen LLP, Ernst &amp; Young LLP, Clifton, Gunderson &amp; Co. and KPMG Peat Marwick LLP, who have certified or shall certify the financial statements filed or to be filed as part of the Registration Statement or the Prospectus (or any amendment or supplement thereto), are independent public accountants as required by the Act.</w:t>
      </w:r>
    </w:p>
    <w:p>
      <w:pPr>
        <w:spacing w:after="0" w:line="190" w:lineRule="exact"/>
        <w:rPr>
          <w:rFonts w:ascii="Courier New" w:cs="Courier New" w:eastAsia="Courier New" w:hAnsi="Courier New"/>
          <w:sz w:val="16"/>
          <w:szCs w:val="16"/>
          <w:color w:val="auto"/>
        </w:rPr>
      </w:pPr>
    </w:p>
    <w:p>
      <w:pPr>
        <w:ind w:right="2599" w:firstLine="570"/>
        <w:spacing w:after="0" w:line="259" w:lineRule="auto"/>
        <w:tabs>
          <w:tab w:leader="none" w:pos="1049"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financial statements, together with related schedules and notes forming part of the Registration Statement and the Prospectus (and any amendment or supplement thereto), comply with the requirements of the Act and present fairly the consolidated financial position, results of operations and changes in stockholders' equity and cash flows of the Company and the Subsidiaries on the basis stated in the Registration Statement at the respective dates or for the respective periods to which they apply; such statements and related schedules and notes have been prepared in accordance with generally accepted accounting principles consistently applied throughout the periods involved, except as disclosed therein; the pro forma financial information included in the Registration Statement and the Prospectus (and any amendment or supplement thereto) has been prepared in accordance with the applicable published rules and regulations of the Commission with respect to pro forma financial information and the assumptions used in preparing such information are reasonable; and the other financial and statistical information and data set forth in the Registration Statement and the Prospectus (and any amendment or supplement thereto) are accurately presented and prepared on a basis consistent with such financial statements and the books and records of the Company.</w:t>
      </w:r>
    </w:p>
    <w:p>
      <w:pPr>
        <w:spacing w:after="0" w:line="367" w:lineRule="exact"/>
        <w:rPr>
          <w:rFonts w:ascii="Courier New" w:cs="Courier New" w:eastAsia="Courier New" w:hAnsi="Courier New"/>
          <w:sz w:val="15"/>
          <w:szCs w:val="15"/>
          <w:color w:val="auto"/>
        </w:rPr>
      </w:pPr>
    </w:p>
    <w:p>
      <w:pPr>
        <w:ind w:right="2599" w:firstLine="570"/>
        <w:spacing w:after="0" w:line="242" w:lineRule="auto"/>
        <w:tabs>
          <w:tab w:leader="none" w:pos="1049"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all requisite power and authority to execute, deliver and perform its obligations under this Agreement. The execution and delivery of, and the performance by the Company of its obligations under, this Agreement have been duly and validly authorized by the Company. This Agreement has been duly executed and delivered by the Company and constitutes the valid and legally binding agreement of the Company, enforceable against the Company in accordance with its terms, except as rights to indemnity and contribution hereunder may be limited by federal or state securities laws or principles of public policy and subject to the qualification that the enforceability of the Company's obligations hereunder may be limited by bankruptcy, fraudulent conveyance, insolvency, reorganization, moratorium and other laws relating to or affecting creditors' rights generally and by general equitable principles.</w:t>
      </w:r>
    </w:p>
    <w:p>
      <w:pPr>
        <w:spacing w:after="0" w:line="191" w:lineRule="exact"/>
        <w:rPr>
          <w:rFonts w:ascii="Courier New" w:cs="Courier New" w:eastAsia="Courier New" w:hAnsi="Courier New"/>
          <w:sz w:val="16"/>
          <w:szCs w:val="16"/>
          <w:color w:val="auto"/>
        </w:rPr>
      </w:pPr>
    </w:p>
    <w:p>
      <w:pPr>
        <w:ind w:right="2599" w:firstLine="570"/>
        <w:spacing w:after="0" w:line="242" w:lineRule="auto"/>
        <w:tabs>
          <w:tab w:leader="none" w:pos="1049"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disclosed in the Registration Statement and the Prospectus (or any amendment or supplement thereto), subsequent to the respective dates as of which such information is given in the Registration Statement and the Prospectus (or any amendment or supplement thereto), neither the Company nor any of the Subsidiaries has incurred any liability or obligation, direct or contingent, or entered into any transaction that is material to the Company</w:t>
      </w:r>
    </w:p>
    <w:p>
      <w:pPr>
        <w:spacing w:after="0" w:line="200" w:lineRule="exact"/>
        <w:rPr>
          <w:sz w:val="20"/>
          <w:szCs w:val="20"/>
          <w:color w:val="auto"/>
        </w:rPr>
      </w:pPr>
    </w:p>
    <w:p>
      <w:pPr>
        <w:spacing w:after="0" w:line="35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1034" w:right="1440" w:bottom="1440" w:gutter="0" w:footer="0" w:header="0"/>
        </w:sectPr>
      </w:pPr>
    </w:p>
    <w:bookmarkStart w:id="113" w:name="page114"/>
    <w:bookmarkEnd w:id="113"/>
    <w:p>
      <w:pPr>
        <w:ind w:right="2679"/>
        <w:spacing w:after="0" w:line="261" w:lineRule="auto"/>
        <w:rPr>
          <w:sz w:val="20"/>
          <w:szCs w:val="20"/>
          <w:color w:val="auto"/>
        </w:rPr>
      </w:pPr>
      <w:r>
        <w:rPr>
          <w:rFonts w:ascii="Courier New" w:cs="Courier New" w:eastAsia="Courier New" w:hAnsi="Courier New"/>
          <w:sz w:val="15"/>
          <w:szCs w:val="15"/>
          <w:color w:val="auto"/>
        </w:rPr>
        <w:t>and the Subsidiaries taken as a whole, and there has not been any change in the capital stock, or material increase in the short-term or long-term debt, of the Company, or any material adverse change, or any development involving or which may reasonably be expected to involve a prospective material adverse change, in the condition (financial or other), business, prospects, properties, net worth or results of operations of the Company and the Subsidiaries taken as a whole.</w:t>
      </w:r>
    </w:p>
    <w:p>
      <w:pPr>
        <w:spacing w:after="0" w:line="175" w:lineRule="exact"/>
        <w:rPr>
          <w:sz w:val="20"/>
          <w:szCs w:val="20"/>
          <w:color w:val="auto"/>
        </w:rPr>
      </w:pPr>
    </w:p>
    <w:p>
      <w:pPr>
        <w:ind w:right="2599" w:firstLine="570"/>
        <w:spacing w:after="0" w:line="242" w:lineRule="auto"/>
        <w:tabs>
          <w:tab w:leader="none" w:pos="1049"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each of the Subsidiaries has good and marketable title to all property (real and personal) described in the Prospectus as being owned by it, free and clear of all liens, claims, security interests or other encumbrances, except such as are described in the Registration Statement and the Prospectus, and all the property described in the Prospectus as being held under lease by the Company or any of the Subsidiaries is held by it under valid, subsisting and enforceable leases.</w:t>
      </w:r>
    </w:p>
    <w:p>
      <w:pPr>
        <w:spacing w:after="0" w:line="187" w:lineRule="exact"/>
        <w:rPr>
          <w:rFonts w:ascii="Courier New" w:cs="Courier New" w:eastAsia="Courier New" w:hAnsi="Courier New"/>
          <w:sz w:val="16"/>
          <w:szCs w:val="16"/>
          <w:color w:val="auto"/>
        </w:rPr>
      </w:pPr>
    </w:p>
    <w:p>
      <w:pPr>
        <w:ind w:right="2599" w:firstLine="570"/>
        <w:spacing w:after="0" w:line="241" w:lineRule="auto"/>
        <w:tabs>
          <w:tab w:leader="none" w:pos="1049"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not distributed and, prior to the later to occur of the Closing Date and completion of the distribution of the Shares, will not distribute any offering material in connection with the offering and sale of the Shares other than the Registration Statement, the Prepricing Prospectus, the Prospectus or other materials, if any, permitted by the Act.</w:t>
      </w:r>
    </w:p>
    <w:p>
      <w:pPr>
        <w:spacing w:after="0" w:line="190" w:lineRule="exact"/>
        <w:rPr>
          <w:rFonts w:ascii="Courier New" w:cs="Courier New" w:eastAsia="Courier New" w:hAnsi="Courier New"/>
          <w:sz w:val="16"/>
          <w:szCs w:val="16"/>
          <w:color w:val="auto"/>
        </w:rPr>
      </w:pPr>
    </w:p>
    <w:p>
      <w:pPr>
        <w:ind w:right="2599" w:firstLine="570"/>
        <w:spacing w:after="0" w:line="242" w:lineRule="auto"/>
        <w:tabs>
          <w:tab w:leader="none" w:pos="1049"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Company, the Subsidiaries and, to the best of the Company's knowledge, the owners of the facilities managed by the Company or any Subsidiary have such permits, licenses, franchises, certificates of need and other approvals or authorizations ("Permits") of governmental or regulatory authorities as are necessary, except to the extent the failure to have such Permits would not have a Material Adverse Effect, to own, lease or operate their respective properties and to conduct their respective businesses in the manner described in the Prospectus, including, without limitation, such Permits as are required (x) under such federal and state health care laws as are applicable to the Company and the Subsidiaries and their respective businesses and (y) with respect to those facilities that are owned, leased or managed by the Company or any Subsidiary that participate in Medicare and/or Medicaid, to receive reimbursement thereunder, subject to such qualifications as may be set forth in the Prospectus. The Company, each of the Subsidiaries and, to the best of the Company's knowledge, each of the owners of the facilities managed by the Company or any Subsidiary have in all material respects fulfilled and performed all their respective obligations with respect to the Permits, and no event has occurred which allows, or after notice or lapse of time would allow, revocation or termination thereof or results in any other material impairment of the rights of the holder of any such Permit, subject to such qualifications as may be set forth in the Prospectus, which revocation, termination or impairment would have a Material Adverse Effect. Except as described in the Prospectus, none of the Permits contain any restriction that is materially burdensome to the Company or any of the Subsidiaries. The Company's and each Subsidiary's business practices do not violate any federal or state laws regarding physician ownership of (or financial relationship with) and referral to entities providing healthcare related goods or services, or laws requiring disclosure of financial interests held by physicians in entities to which they may refer patients for the provisions of health care related goods or services.</w:t>
      </w:r>
    </w:p>
    <w:p>
      <w:pPr>
        <w:spacing w:after="0" w:line="202" w:lineRule="exact"/>
        <w:rPr>
          <w:rFonts w:ascii="Courier New" w:cs="Courier New" w:eastAsia="Courier New" w:hAnsi="Courier New"/>
          <w:sz w:val="16"/>
          <w:szCs w:val="16"/>
          <w:color w:val="auto"/>
        </w:rPr>
      </w:pPr>
    </w:p>
    <w:p>
      <w:pPr>
        <w:ind w:right="2679" w:firstLine="570"/>
        <w:spacing w:after="0" w:line="242" w:lineRule="auto"/>
        <w:tabs>
          <w:tab w:leader="none" w:pos="1049"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property, assets and operations of the Company and the Subsidiaries comply in all material respects with all applicable federal, state and local laws, rules, orders, decrees, judgments, injunctions, licenses, permits or regulations relating to environmental matters (the "Environmental Laws"). To the Company's best knowledge, none of the Company's nor any of the Subsidiaries' property, assets or operations is the subject of any federal, state or local</w:t>
      </w:r>
    </w:p>
    <w:p>
      <w:pPr>
        <w:spacing w:after="0" w:line="200" w:lineRule="exact"/>
        <w:rPr>
          <w:sz w:val="20"/>
          <w:szCs w:val="20"/>
          <w:color w:val="auto"/>
        </w:rPr>
      </w:pPr>
    </w:p>
    <w:p>
      <w:pPr>
        <w:spacing w:after="0" w:line="35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1034" w:right="1440" w:bottom="1440" w:gutter="0" w:footer="0" w:header="0"/>
        </w:sectPr>
      </w:pPr>
    </w:p>
    <w:bookmarkStart w:id="114" w:name="page115"/>
    <w:bookmarkEnd w:id="114"/>
    <w:p>
      <w:pPr>
        <w:ind w:right="2679"/>
        <w:spacing w:after="0" w:line="242" w:lineRule="auto"/>
        <w:rPr>
          <w:sz w:val="20"/>
          <w:szCs w:val="20"/>
          <w:color w:val="auto"/>
        </w:rPr>
      </w:pPr>
      <w:r>
        <w:rPr>
          <w:rFonts w:ascii="Courier New" w:cs="Courier New" w:eastAsia="Courier New" w:hAnsi="Courier New"/>
          <w:sz w:val="16"/>
          <w:szCs w:val="16"/>
          <w:color w:val="auto"/>
        </w:rPr>
        <w:t>investigation evaluating whether any remedial action is needed to respond to a release of any substance regulated by or form the basis of liability under any Environmental Laws (a "Hazardous Material") into the environment. Neither the Company nor any of the Subsidiaries has received any notice or claim, nor are there any pending or, to the Company's best knowledge, threatened or reasonably anticipated lawsuits against it with respect to violations of an Environmental Law or in connection with the release of any Hazardous Material into the environment. Neither the Company nor any of the Subsidiaries has any material contingent liability in connection with any release of Hazardous Material into the environment.</w:t>
      </w:r>
    </w:p>
    <w:p>
      <w:pPr>
        <w:spacing w:after="0" w:line="190" w:lineRule="exact"/>
        <w:rPr>
          <w:sz w:val="20"/>
          <w:szCs w:val="20"/>
          <w:color w:val="auto"/>
        </w:rPr>
      </w:pPr>
    </w:p>
    <w:p>
      <w:pPr>
        <w:ind w:right="2679" w:firstLine="570"/>
        <w:spacing w:after="0" w:line="242" w:lineRule="auto"/>
        <w:tabs>
          <w:tab w:leader="none" w:pos="1049"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the Subsidiaries are insured by insurers of recognized financial responsibility against such losses and risks and in such amounts as are customary in the businesses in which they are engaged; (ii) all policies of insurance insuring the Company or any of the Subsidiaries or their respective businesses, assets, employees, officers and directors are in full force and effect; (iii) the Company and the Subsidiaries are in compliance with the terms of such policies and instruments in all material respects; and (iv) there are no claims by the Company or any of the Subsidiaries under any such policy or instrument as to which any insurance company is denying liability or defending under a reservation of rights clause.</w:t>
      </w:r>
    </w:p>
    <w:p>
      <w:pPr>
        <w:spacing w:after="0" w:line="189" w:lineRule="exact"/>
        <w:rPr>
          <w:rFonts w:ascii="Courier New" w:cs="Courier New" w:eastAsia="Courier New" w:hAnsi="Courier New"/>
          <w:sz w:val="16"/>
          <w:szCs w:val="16"/>
          <w:color w:val="auto"/>
        </w:rPr>
      </w:pPr>
    </w:p>
    <w:p>
      <w:pPr>
        <w:ind w:right="2679" w:firstLine="570"/>
        <w:spacing w:after="0" w:line="242" w:lineRule="auto"/>
        <w:tabs>
          <w:tab w:leader="none" w:pos="1049"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maintains a system of internal accounting controls sufficient to provide reasonable assurances that (i) transactions are executed in accordance with management's general or specific authorization; (ii) transactions are recorded as necessary to permit preparation of financial statements in conformity with generally accepted accounting principles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189" w:lineRule="exact"/>
        <w:rPr>
          <w:rFonts w:ascii="Courier New" w:cs="Courier New" w:eastAsia="Courier New" w:hAnsi="Courier New"/>
          <w:sz w:val="16"/>
          <w:szCs w:val="16"/>
          <w:color w:val="auto"/>
        </w:rPr>
      </w:pPr>
    </w:p>
    <w:p>
      <w:pPr>
        <w:ind w:right="2599" w:firstLine="570"/>
        <w:spacing w:after="0" w:line="262" w:lineRule="auto"/>
        <w:tabs>
          <w:tab w:leader="none" w:pos="1049"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of the Subsidiaries nor, to the Company's best knowledge, any employee or agent of the Company or any of the Subsidiaries has made any payment of funds of the Company or received or retained any funds in violation of any law, rule or regulation, which payment, receipt or retention of funds is of a character required to be disclosed in the Prospectus.</w:t>
      </w:r>
    </w:p>
    <w:p>
      <w:pPr>
        <w:spacing w:after="0" w:line="172" w:lineRule="exact"/>
        <w:rPr>
          <w:rFonts w:ascii="Courier New" w:cs="Courier New" w:eastAsia="Courier New" w:hAnsi="Courier New"/>
          <w:sz w:val="15"/>
          <w:szCs w:val="15"/>
          <w:color w:val="auto"/>
        </w:rPr>
      </w:pPr>
    </w:p>
    <w:p>
      <w:pPr>
        <w:ind w:right="2599" w:firstLine="570"/>
        <w:spacing w:after="0" w:line="242" w:lineRule="auto"/>
        <w:tabs>
          <w:tab w:leader="none" w:pos="1049"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the Subsidiaries have filed all federal, state, local and foreign tax returns and tax forms required to be filed; such returns and forms are complete and correct in all material respects; and all taxes shown by such returns or otherwise assessed that are due or payable have been paid, except such taxes as are being contested in good faith and as to which adequate reserves have been provided. All payroll withholdings required to be made by the Company with respect to employees have been made. The charges, accruals and reserves on the books of the Company and the Subsidiaries in respect of any tax liability for any year not finally determined are adequate to meet any assessments or reassessments for additional taxes; and there have been no tax deficiencies asserted and, to the best knowledge of the Company, no tax deficiency might be reasonably asserted or threatened against the Company or any of the Subsidiaries that could, singularly or in the aggregate, have a Material Adverse Effect.</w:t>
      </w:r>
    </w:p>
    <w:p>
      <w:pPr>
        <w:spacing w:after="0" w:line="192" w:lineRule="exact"/>
        <w:rPr>
          <w:rFonts w:ascii="Courier New" w:cs="Courier New" w:eastAsia="Courier New" w:hAnsi="Courier New"/>
          <w:sz w:val="16"/>
          <w:szCs w:val="16"/>
          <w:color w:val="auto"/>
        </w:rPr>
      </w:pPr>
    </w:p>
    <w:p>
      <w:pPr>
        <w:ind w:right="2599" w:firstLine="570"/>
        <w:spacing w:after="0" w:line="241" w:lineRule="auto"/>
        <w:tabs>
          <w:tab w:leader="none" w:pos="1049"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holder of any security of the Company has any right (other than rights validly waived) to require registration of shares of Common Stock or any other security of the Company because of the filing of the registration statement or the consummation of the transactions contemplated by this Agreement and, except as disclosed in the Prospectus, no person has the</w:t>
      </w:r>
    </w:p>
    <w:p>
      <w:pPr>
        <w:spacing w:after="0" w:line="200" w:lineRule="exact"/>
        <w:rPr>
          <w:sz w:val="20"/>
          <w:szCs w:val="20"/>
          <w:color w:val="auto"/>
        </w:rPr>
      </w:pPr>
    </w:p>
    <w:p>
      <w:pPr>
        <w:spacing w:after="0" w:line="35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1034" w:right="1440" w:bottom="1440" w:gutter="0" w:footer="0" w:header="0"/>
        </w:sectPr>
      </w:pPr>
    </w:p>
    <w:bookmarkStart w:id="115" w:name="page116"/>
    <w:bookmarkEnd w:id="115"/>
    <w:p>
      <w:pPr>
        <w:ind w:right="2679"/>
        <w:spacing w:after="0" w:line="242" w:lineRule="auto"/>
        <w:rPr>
          <w:sz w:val="20"/>
          <w:szCs w:val="20"/>
          <w:color w:val="auto"/>
        </w:rPr>
      </w:pPr>
      <w:r>
        <w:rPr>
          <w:rFonts w:ascii="Courier New" w:cs="Courier New" w:eastAsia="Courier New" w:hAnsi="Courier New"/>
          <w:sz w:val="16"/>
          <w:szCs w:val="16"/>
          <w:color w:val="auto"/>
        </w:rPr>
        <w:t>right to require registration under the Act of any shares of Common Stock or other securities of the Company. No person has the right, contractual or otherwise, to cause the Company to permit such person to underwrite the sale of any of the Shares. Except as described in or contemplated by the Prospectus, there are no outstanding options, warrants or other rights calling for the issuance of, and there are no commitments, plans or arrangements to issue, any shares of capital stock of the Company or any security convertible into or exchangeable or exercisable for capital stock of the Company or any of the Subsidiaries.</w:t>
      </w:r>
    </w:p>
    <w:p>
      <w:pPr>
        <w:spacing w:after="0" w:line="189" w:lineRule="exact"/>
        <w:rPr>
          <w:sz w:val="20"/>
          <w:szCs w:val="20"/>
          <w:color w:val="auto"/>
        </w:rPr>
      </w:pPr>
    </w:p>
    <w:p>
      <w:pPr>
        <w:ind w:right="2679" w:firstLine="570"/>
        <w:spacing w:after="0" w:line="261" w:lineRule="auto"/>
        <w:tabs>
          <w:tab w:leader="none" w:pos="1049"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the Subsidiaries own or possess all patents, trademarks, trademark registrations, service marks, service mark registrations, trade names, copyrights, licenses, inventions, trade secrets and rights described in the Prospectus as being owned by any of them or necessary for the conduct of their respective businesses, and the Company is not infringing upon the rights of any other person with respect to the foregoing.</w:t>
      </w:r>
    </w:p>
    <w:p>
      <w:pPr>
        <w:spacing w:after="0" w:line="175" w:lineRule="exact"/>
        <w:rPr>
          <w:rFonts w:ascii="Courier New" w:cs="Courier New" w:eastAsia="Courier New" w:hAnsi="Courier New"/>
          <w:sz w:val="15"/>
          <w:szCs w:val="15"/>
          <w:color w:val="auto"/>
        </w:rPr>
      </w:pPr>
    </w:p>
    <w:p>
      <w:pPr>
        <w:ind w:right="2679" w:firstLine="570"/>
        <w:spacing w:after="0" w:line="261" w:lineRule="auto"/>
        <w:tabs>
          <w:tab w:leader="none" w:pos="1049"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filed in a timely manner with the Commission each document required to be filed by it pursuant to the Exchange Act, each such document at the time it was filed conformed in all material respects to the requirements of the Exchange Act and none of such documents contained an untrue statement of a material fact or omitted to state a material fact required to be stated therein or necessary to make the statements therein not misleading.</w:t>
      </w:r>
    </w:p>
    <w:p>
      <w:pPr>
        <w:spacing w:after="0" w:line="175" w:lineRule="exact"/>
        <w:rPr>
          <w:rFonts w:ascii="Courier New" w:cs="Courier New" w:eastAsia="Courier New" w:hAnsi="Courier New"/>
          <w:sz w:val="15"/>
          <w:szCs w:val="15"/>
          <w:color w:val="auto"/>
        </w:rPr>
      </w:pPr>
    </w:p>
    <w:p>
      <w:pPr>
        <w:ind w:right="2599" w:firstLine="570"/>
        <w:spacing w:after="0" w:line="241" w:lineRule="auto"/>
        <w:tabs>
          <w:tab w:leader="none" w:pos="1049"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not, and, upon the sale of the Shares to be issued and sold by it hereunder and application of the net proceeds from such sale as described in the Prospectus under the caption "Use of Proceeds," will not be an "investment company" within the meaning of the Investment Company Act of 1940, as amended.</w:t>
      </w:r>
    </w:p>
    <w:p>
      <w:pPr>
        <w:spacing w:after="0" w:line="190" w:lineRule="exact"/>
        <w:rPr>
          <w:rFonts w:ascii="Courier New" w:cs="Courier New" w:eastAsia="Courier New" w:hAnsi="Courier New"/>
          <w:sz w:val="16"/>
          <w:szCs w:val="16"/>
          <w:color w:val="auto"/>
        </w:rPr>
      </w:pPr>
    </w:p>
    <w:p>
      <w:pPr>
        <w:ind w:right="2879" w:firstLine="570"/>
        <w:spacing w:after="0"/>
        <w:tabs>
          <w:tab w:leader="none" w:pos="1049"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each of the Subsidiaries is in compliance with all provisions of Florida Statutes Sec.517.075 and the regulations thereunder, relating to issuers doing business with Cuba.</w:t>
      </w:r>
    </w:p>
    <w:p>
      <w:pPr>
        <w:spacing w:after="0" w:line="189" w:lineRule="exact"/>
        <w:rPr>
          <w:rFonts w:ascii="Courier New" w:cs="Courier New" w:eastAsia="Courier New" w:hAnsi="Courier New"/>
          <w:sz w:val="16"/>
          <w:szCs w:val="16"/>
          <w:color w:val="auto"/>
        </w:rPr>
      </w:pPr>
    </w:p>
    <w:p>
      <w:pPr>
        <w:ind w:right="2599" w:firstLine="570"/>
        <w:spacing w:after="0" w:line="242" w:lineRule="auto"/>
        <w:tabs>
          <w:tab w:leader="none" w:pos="1049"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execution, delivery or performance of the Asset Purchase Agreement by and among the Company, UHS of Pennsylvania, Inc., UHS of Delaware, Inc., Wellington Regional Medical Center, Inc., First Hospital Corporation, FHC Management Services, Inc., Health Services Management, Inc., Horsham Clinic, Inc., Centre Valley Management, Inc., Clarion FHC, Inc., Westcare, Inc. and First Hospital Corporation of Florida dated April 19, 1996 (the "First Hospital Acquisition Agreement") by the Company nor the consummation by the Company of the transactions contemplated thereby (i) requires or required any consent, approval, authorization or other order of, or registration with, any court, regulatory body, administrative agency or other governmental body, agency or official (except such as have been obtained by the Company or the Subsidiaries in a timely fashion) or conflicted, conflicts or will conflict with or constituted, constitutes or will constitute a breach of, or a default under the certificate or articles of incorporation or bylaws or other organizational documents of the Company or any of the Subsidiaries or (ii) conflicted, conflicts or will conflict with or constituted, constitutes or will constitute a breach of, or a default under, any agreement, indenture, lease or other instrument to which the Company or any of the Subsidiaries is a party or by which any of them or any of their respective properties may be bound, or violates or will violate any statute, law, regulation or filing or judgment, injunction, order or decree applicable to the Company or any of the Subsidiaries or any of their respective properties, or will result in the creation or imposition of any lien, charge or incumbrance upon any property or assets of the Company or any of the Subsidiaries pursuant</w:t>
      </w:r>
    </w:p>
    <w:p>
      <w:pPr>
        <w:spacing w:after="0" w:line="200" w:lineRule="exact"/>
        <w:rPr>
          <w:sz w:val="20"/>
          <w:szCs w:val="20"/>
          <w:color w:val="auto"/>
        </w:rPr>
      </w:pPr>
    </w:p>
    <w:p>
      <w:pPr>
        <w:spacing w:after="0" w:line="36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1034" w:right="1440" w:bottom="1440" w:gutter="0" w:footer="0" w:header="0"/>
        </w:sectPr>
      </w:pPr>
    </w:p>
    <w:bookmarkStart w:id="116" w:name="page117"/>
    <w:bookmarkEnd w:id="116"/>
    <w:p>
      <w:pPr>
        <w:jc w:val="both"/>
        <w:ind w:right="2779"/>
        <w:spacing w:after="0"/>
        <w:rPr>
          <w:sz w:val="20"/>
          <w:szCs w:val="20"/>
          <w:color w:val="auto"/>
        </w:rPr>
      </w:pPr>
      <w:r>
        <w:rPr>
          <w:rFonts w:ascii="Courier New" w:cs="Courier New" w:eastAsia="Courier New" w:hAnsi="Courier New"/>
          <w:sz w:val="16"/>
          <w:szCs w:val="16"/>
          <w:color w:val="auto"/>
        </w:rPr>
        <w:t>to the terms of any agreement or instrument to which any of them is a party or by which any of them may be bound or to which any of the property or assets of any of them is subject.</w:t>
      </w:r>
    </w:p>
    <w:p>
      <w:pPr>
        <w:spacing w:after="0" w:line="190" w:lineRule="exact"/>
        <w:rPr>
          <w:sz w:val="20"/>
          <w:szCs w:val="20"/>
          <w:color w:val="auto"/>
        </w:rPr>
      </w:pPr>
    </w:p>
    <w:p>
      <w:pPr>
        <w:ind w:right="2879" w:firstLine="284"/>
        <w:spacing w:after="0" w:line="239" w:lineRule="auto"/>
        <w:tabs>
          <w:tab w:leader="none" w:pos="572"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of the Selling Stockholder. The Selling Stockholder represents and warrants to each Underwriter that:</w:t>
      </w:r>
    </w:p>
    <w:p>
      <w:pPr>
        <w:spacing w:after="0" w:line="189" w:lineRule="exact"/>
        <w:rPr>
          <w:rFonts w:ascii="Courier New" w:cs="Courier New" w:eastAsia="Courier New" w:hAnsi="Courier New"/>
          <w:sz w:val="16"/>
          <w:szCs w:val="16"/>
          <w:color w:val="auto"/>
        </w:rPr>
      </w:pPr>
    </w:p>
    <w:p>
      <w:pPr>
        <w:ind w:right="2599" w:firstLine="570"/>
        <w:spacing w:after="0" w:line="241" w:lineRule="auto"/>
        <w:tabs>
          <w:tab w:leader="none" w:pos="1144" w:val="left"/>
        </w:tabs>
        <w:numPr>
          <w:ilvl w:val="1"/>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Selling Stockholder now has, and on the Closing Date and any Option Closing Date will have, valid and marketable title to the Shares to be sold by such Selling Stockholder, free and clear of any lien, claim, security interest or other encumbrance, including, without limitation, any restriction on transfer or other defect in title.</w:t>
      </w:r>
    </w:p>
    <w:p>
      <w:pPr>
        <w:spacing w:after="0" w:line="190" w:lineRule="exact"/>
        <w:rPr>
          <w:rFonts w:ascii="Courier New" w:cs="Courier New" w:eastAsia="Courier New" w:hAnsi="Courier New"/>
          <w:sz w:val="16"/>
          <w:szCs w:val="16"/>
          <w:color w:val="auto"/>
        </w:rPr>
      </w:pPr>
    </w:p>
    <w:p>
      <w:pPr>
        <w:ind w:right="2599" w:firstLine="570"/>
        <w:spacing w:after="0" w:line="242" w:lineRule="auto"/>
        <w:tabs>
          <w:tab w:leader="none" w:pos="1144" w:val="left"/>
        </w:tabs>
        <w:numPr>
          <w:ilvl w:val="1"/>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Selling Stockholder now has, and on the Closing Date will have, full legal right, power and authorization, and any approval required by law (except such as may be required under the Act or state securities or Blue Sky laws governing the purchase and distribution of the Shares), to sell, assign, transfer and deliver such Selling Stockholder's Shares in the manner provided in this Agreement, and upon delivery of and payment for such Shares hereunder, the several Underwriters will acquire valid and marketable title to such Shares, free and clear of any lien, claim, security interest, or other encumbrance or restriction on transfer or other defect in title.</w:t>
      </w:r>
    </w:p>
    <w:p>
      <w:pPr>
        <w:spacing w:after="0" w:line="189" w:lineRule="exact"/>
        <w:rPr>
          <w:rFonts w:ascii="Courier New" w:cs="Courier New" w:eastAsia="Courier New" w:hAnsi="Courier New"/>
          <w:sz w:val="16"/>
          <w:szCs w:val="16"/>
          <w:color w:val="auto"/>
        </w:rPr>
      </w:pPr>
    </w:p>
    <w:p>
      <w:pPr>
        <w:ind w:right="2599" w:firstLine="570"/>
        <w:spacing w:after="0" w:line="260" w:lineRule="auto"/>
        <w:tabs>
          <w:tab w:leader="none" w:pos="1144"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and the Custody Agreement have been duly authorized, and the Custody Agreement has been, and this Agreement, when executed and delivered on behalf of such Selling Stockholder in accordance with the Custody Agreement, has been duly executed and delivered by or on behalf of such Selling Stockholder and are the valid and binding agreements of such Selling Stockholder enforceable against such Selling Stockholder in accordance with their respective terms, except as rights to indemnity and contribution hereunder may be limited by federal or state securities laws or principles of public policy and except as enforcement hereof and thereof may be limited by bankruptcy, fraudulent conveyance, insolvency, reorganization, moratorium and other laws relating to or affecting creditors' rights generally and by general equitable principles.</w:t>
      </w:r>
    </w:p>
    <w:p>
      <w:pPr>
        <w:spacing w:after="0" w:line="176" w:lineRule="exact"/>
        <w:rPr>
          <w:rFonts w:ascii="Courier New" w:cs="Courier New" w:eastAsia="Courier New" w:hAnsi="Courier New"/>
          <w:sz w:val="15"/>
          <w:szCs w:val="15"/>
          <w:color w:val="auto"/>
        </w:rPr>
      </w:pPr>
    </w:p>
    <w:p>
      <w:pPr>
        <w:ind w:right="2599" w:firstLine="570"/>
        <w:spacing w:after="0" w:line="242" w:lineRule="auto"/>
        <w:tabs>
          <w:tab w:leader="none" w:pos="1144" w:val="left"/>
        </w:tabs>
        <w:numPr>
          <w:ilvl w:val="1"/>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execution and delivery of this Agreement or the Custody Agreement by or on behalf of such Selling Stockholder nor the consummation of the transactions herein or therein contemplated by or on behalf of such Selling Stockholder requires any consent, approval, authorization or order of, or filing or registration with, any court, regulatory body, administrative agency or other governmental body, agency or official (except such as may be required under the Act or state securities or Blue Sky laws governing the purchase and distribution of the Shares) or conflicts or will conflict with or constitutes or will constitute a breach of, or default under, or violates or will violate, any agreement, indenture or other instrument to which such Selling Stockholder is a party or by which such Selling Stockholder is or may be bound or to which any of such Selling Stockholder's property or assets is subject, or any statute, law, rule, regulation, ruling, judgement, injunction, order or decree applicable to such Selling Stockholder or to any property or assets of such Selling Stockholder, except in each case as would not adversely affect the ability of such Selling Stockholder to consummate the transactions contemplated by this Agreement.</w:t>
      </w:r>
    </w:p>
    <w:p>
      <w:pPr>
        <w:spacing w:after="0" w:line="194" w:lineRule="exact"/>
        <w:rPr>
          <w:rFonts w:ascii="Courier New" w:cs="Courier New" w:eastAsia="Courier New" w:hAnsi="Courier New"/>
          <w:sz w:val="16"/>
          <w:szCs w:val="16"/>
          <w:color w:val="auto"/>
        </w:rPr>
      </w:pPr>
    </w:p>
    <w:p>
      <w:pPr>
        <w:ind w:right="2599" w:firstLine="570"/>
        <w:spacing w:after="0" w:line="241" w:lineRule="auto"/>
        <w:tabs>
          <w:tab w:leader="none" w:pos="1144" w:val="left"/>
        </w:tabs>
        <w:numPr>
          <w:ilvl w:val="1"/>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Selling Stockholder has reviewed the Registration Statement and the Prospectus. The Registration Statement does not contain an untrue statement of a material fact or omit to state a material fact required to be stated therein or necessary to make the statements therein not misleading and the Prospectus does not contain an untrue statement of a material fact</w:t>
      </w:r>
    </w:p>
    <w:p>
      <w:pPr>
        <w:spacing w:after="0" w:line="200" w:lineRule="exact"/>
        <w:rPr>
          <w:sz w:val="20"/>
          <w:szCs w:val="20"/>
          <w:color w:val="auto"/>
        </w:rPr>
      </w:pPr>
    </w:p>
    <w:p>
      <w:pPr>
        <w:spacing w:after="0" w:line="35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1034" w:right="1440" w:bottom="1440" w:gutter="0" w:footer="0" w:header="0"/>
        </w:sectPr>
      </w:pPr>
    </w:p>
    <w:bookmarkStart w:id="117" w:name="page118"/>
    <w:bookmarkEnd w:id="117"/>
    <w:p>
      <w:pPr>
        <w:ind w:left="2" w:right="2879"/>
        <w:spacing w:after="0" w:line="239" w:lineRule="auto"/>
        <w:rPr>
          <w:sz w:val="20"/>
          <w:szCs w:val="20"/>
          <w:color w:val="auto"/>
        </w:rPr>
      </w:pPr>
      <w:r>
        <w:rPr>
          <w:rFonts w:ascii="Courier New" w:cs="Courier New" w:eastAsia="Courier New" w:hAnsi="Courier New"/>
          <w:sz w:val="16"/>
          <w:szCs w:val="16"/>
          <w:color w:val="auto"/>
        </w:rPr>
        <w:t>or omit to state a material fact necessary to make the statements therein, in light of the circumstances under which they were made, not misleading.</w:t>
      </w:r>
    </w:p>
    <w:p>
      <w:pPr>
        <w:spacing w:after="0" w:line="189" w:lineRule="exact"/>
        <w:rPr>
          <w:sz w:val="20"/>
          <w:szCs w:val="20"/>
          <w:color w:val="auto"/>
        </w:rPr>
      </w:pPr>
    </w:p>
    <w:p>
      <w:pPr>
        <w:jc w:val="both"/>
        <w:ind w:left="2" w:right="2879" w:firstLine="570"/>
        <w:spacing w:after="0" w:line="271" w:lineRule="auto"/>
        <w:tabs>
          <w:tab w:leader="none" w:pos="1147" w:val="left"/>
        </w:tabs>
        <w:numPr>
          <w:ilvl w:val="2"/>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of such Selling Stockholder in the Custody Agreement are, and on the Closing Date will be, true and correct.</w:t>
      </w:r>
    </w:p>
    <w:p>
      <w:pPr>
        <w:spacing w:after="0" w:line="166" w:lineRule="exact"/>
        <w:rPr>
          <w:rFonts w:ascii="Courier New" w:cs="Courier New" w:eastAsia="Courier New" w:hAnsi="Courier New"/>
          <w:sz w:val="15"/>
          <w:szCs w:val="15"/>
          <w:color w:val="auto"/>
        </w:rPr>
      </w:pPr>
    </w:p>
    <w:p>
      <w:pPr>
        <w:ind w:left="2" w:right="2599" w:firstLine="570"/>
        <w:spacing w:after="0" w:line="241" w:lineRule="auto"/>
        <w:tabs>
          <w:tab w:leader="none" w:pos="1147" w:val="left"/>
        </w:tabs>
        <w:numPr>
          <w:ilvl w:val="2"/>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Selling Stockholder has not taken, directly or indirectly, any action designed to or that might reasonably be expected to cause or result in stabilization or manipulation of the price of the Common Stock to facilitate the sale or resale of the Shares, except for the lock-up arrangements described in the Prospectus.</w:t>
      </w:r>
    </w:p>
    <w:p>
      <w:pPr>
        <w:spacing w:after="0" w:line="190" w:lineRule="exact"/>
        <w:rPr>
          <w:rFonts w:ascii="Courier New" w:cs="Courier New" w:eastAsia="Courier New" w:hAnsi="Courier New"/>
          <w:sz w:val="16"/>
          <w:szCs w:val="16"/>
          <w:color w:val="auto"/>
        </w:rPr>
      </w:pPr>
    </w:p>
    <w:p>
      <w:pPr>
        <w:ind w:left="2" w:right="2599" w:firstLine="284"/>
        <w:spacing w:after="0" w:line="259" w:lineRule="auto"/>
        <w:tabs>
          <w:tab w:leader="none" w:pos="574" w:val="left"/>
        </w:tabs>
        <w:numPr>
          <w:ilvl w:val="1"/>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and Contribution. (a) The Company agrees to indemnify and hold harmless each of you and each other Underwriter and each person, if any, who controls any Underwriter within the meaning of Section 15 of the Act or Section 20 of the Exchange Act from and against any and all losses, claims, damages, liabilities and expenses (including reasonable costs of investigation) arising out of or based upon any untrue statement or alleged untrue statement of a material fact contained in any Prepricing Prospectus or in the Registration Statement or the Prospectus or in any amendment or supplement thereto, or arising out of or based upon any omission or alleged omission to state therein a material fact required to be stated therein or necessary to make the statements therein not misleading, except insofar as such losses, claims, damages, liabilities or expenses arise out of or are based upon any untrue statement or omission or alleged untrue statement or omission which has been made therein or omitted therefrom in reliance upon and in conformity with the information relating to such Underwriter furnished in writing to the Company by or on behalf of any Underwriter through you expressly for use in connection therewith; provided, however, that the indemnification contained in this paragraph (a) with respect to any Prepricing Prospectus shall not inure to the benefit of any Underwriter (or to the benefit of any person controlling such Underwriter) on account of any such loss, claim, damage, liability or expense arising from the sale of Shares by such Underwriter to any person if (i) a copy of the Prospectus shall not have been delivered or sent to such person within the time required by the Act and the untrue statement or alleged untrue statement or omission or alleged omission of a material fact contained in such Prepricing Prospectus was corrected in the Prospectus and (ii) the Company has delivered the Prospectus to the several Underwriters in requisite quantity on a timely basis to permit such delivery or sending. The foregoing indemnity agreement shall be in addition to any liability which the Company may otherwise have.</w:t>
      </w:r>
    </w:p>
    <w:p>
      <w:pPr>
        <w:spacing w:after="0" w:line="367" w:lineRule="exact"/>
        <w:rPr>
          <w:rFonts w:ascii="Courier New" w:cs="Courier New" w:eastAsia="Courier New" w:hAnsi="Courier New"/>
          <w:sz w:val="15"/>
          <w:szCs w:val="15"/>
          <w:color w:val="auto"/>
        </w:rPr>
      </w:pPr>
    </w:p>
    <w:p>
      <w:pPr>
        <w:ind w:left="2" w:right="2599" w:firstLine="570"/>
        <w:spacing w:after="0" w:line="259" w:lineRule="auto"/>
        <w:tabs>
          <w:tab w:leader="none" w:pos="1147" w:val="left"/>
        </w:tabs>
        <w:numPr>
          <w:ilvl w:val="2"/>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action, suit or proceeding shall be brought against any Underwriter or any person controlling any Underwriter in respect of which indemnity may be sought against the Company, such Underwriter or such controlling person shall promptly notify the Company, and the Company shall assume the defense thereof, including the employment of counsel and payment of all fees and expenses. Such Underwriter or any such controlling person shall have the right to employ separate counsel in any such action, suit or proceeding and to participate in the defense thereof, but the fees and expenses of such counsel shall be at the expense of such Underwriter or such controlling person unless (i) the Company has agreed in writing to pay such fees and expenses,</w:t>
      </w:r>
    </w:p>
    <w:p>
      <w:pPr>
        <w:ind w:left="482" w:hanging="482"/>
        <w:spacing w:after="0"/>
        <w:tabs>
          <w:tab w:leader="none" w:pos="482"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failed to assume the defense and employ counsel or</w:t>
      </w:r>
    </w:p>
    <w:p>
      <w:pPr>
        <w:spacing w:after="0" w:line="4" w:lineRule="exact"/>
        <w:rPr>
          <w:rFonts w:ascii="Courier New" w:cs="Courier New" w:eastAsia="Courier New" w:hAnsi="Courier New"/>
          <w:sz w:val="16"/>
          <w:szCs w:val="16"/>
          <w:color w:val="auto"/>
        </w:rPr>
      </w:pPr>
    </w:p>
    <w:p>
      <w:pPr>
        <w:ind w:left="2" w:right="2599" w:hanging="2"/>
        <w:spacing w:after="0" w:line="242" w:lineRule="auto"/>
        <w:tabs>
          <w:tab w:leader="none" w:pos="574"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named parties to any such action, suit or proceeding (including any impleaded parties) include both such Underwriter or such controlling person and the Company and such Underwriter or such controlling person shall have been advised by its counsel that representation of such indemnified party and the Company by the same counsel would be inappropriate under applicable standards of professional conduct (whether or not such representation by the same counsel has been</w:t>
      </w:r>
    </w:p>
    <w:p>
      <w:pPr>
        <w:spacing w:after="0" w:line="200" w:lineRule="exact"/>
        <w:rPr>
          <w:sz w:val="20"/>
          <w:szCs w:val="20"/>
          <w:color w:val="auto"/>
        </w:rPr>
      </w:pPr>
    </w:p>
    <w:p>
      <w:pPr>
        <w:spacing w:after="0" w:line="352"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21"/>
          </w:cols>
          <w:pgMar w:left="238" w:top="1034" w:right="1440" w:bottom="1440" w:gutter="0" w:footer="0" w:header="0"/>
        </w:sectPr>
      </w:pPr>
    </w:p>
    <w:bookmarkStart w:id="118" w:name="page119"/>
    <w:bookmarkEnd w:id="118"/>
    <w:p>
      <w:pPr>
        <w:jc w:val="both"/>
        <w:ind w:right="2679"/>
        <w:spacing w:after="0" w:line="259" w:lineRule="auto"/>
        <w:rPr>
          <w:sz w:val="20"/>
          <w:szCs w:val="20"/>
          <w:color w:val="auto"/>
        </w:rPr>
      </w:pPr>
      <w:r>
        <w:rPr>
          <w:rFonts w:ascii="Courier New" w:cs="Courier New" w:eastAsia="Courier New" w:hAnsi="Courier New"/>
          <w:sz w:val="15"/>
          <w:szCs w:val="15"/>
          <w:color w:val="auto"/>
        </w:rPr>
        <w:t>proposed) due to actual or potential differing interests between them (in which case the Company shall not have the right to assume the defense of such action, suit or proceeding on behalf of such Underwriter or such controlling person).</w:t>
      </w:r>
    </w:p>
    <w:p>
      <w:pPr>
        <w:ind w:right="2599"/>
        <w:spacing w:after="0" w:line="242" w:lineRule="auto"/>
        <w:rPr>
          <w:sz w:val="20"/>
          <w:szCs w:val="20"/>
          <w:color w:val="auto"/>
        </w:rPr>
      </w:pPr>
      <w:r>
        <w:rPr>
          <w:rFonts w:ascii="Courier New" w:cs="Courier New" w:eastAsia="Courier New" w:hAnsi="Courier New"/>
          <w:sz w:val="16"/>
          <w:szCs w:val="16"/>
          <w:color w:val="auto"/>
        </w:rPr>
        <w:t>It is understood, however, that the Company shall, in connection with any one such action, suit or proceeding or separate but substantially similar or related actions, suits or proceedings in the same jurisdiction arising out of the same general allegations or circumstances, be liable for the reasonable fees and expenses of only one separate firm of attorneys (in addition to any local counsel) at any time for all such Underwriters and controlling persons not having actual or potential differing interests with you or among themselves, which firm shall be designated in writing by Smith Barney Inc., and that all such fees and expenses shall be reimbursed as they are incurred. The Company shall not be liable for any settlement of any such action, suit or proceeding effected without its written consent, but if settled with such written consent, or if there be a final judgment for the plaintiff in any such action, suit or proceeding, the Company agrees to indemnify and hold harmless any Underwriter and any such controlling person, to the extent provided in the preceding paragraph, from and against any loss, claim, damage, liability or expense by reason of such settlement or judgment.</w:t>
      </w:r>
    </w:p>
    <w:p>
      <w:pPr>
        <w:spacing w:after="0" w:line="194" w:lineRule="exact"/>
        <w:rPr>
          <w:sz w:val="20"/>
          <w:szCs w:val="20"/>
          <w:color w:val="auto"/>
        </w:rPr>
      </w:pPr>
    </w:p>
    <w:p>
      <w:pPr>
        <w:ind w:right="2599" w:firstLine="570"/>
        <w:spacing w:after="0" w:line="242" w:lineRule="auto"/>
        <w:tabs>
          <w:tab w:leader="none" w:pos="1144"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Selling Stockholder agrees to indemnify and hold harmless each Underwriter and each person, if any, who controls any Underwriter within the meaning of Section 15 of the Act or Section 20 of the Exchange Act to the same extent as the indemnity from the Company to each Underwriter set forth in paragraph (a) above, but subject to the provisions of paragraph (g) below. In case any action or claim shall be brought or asserted against any Underwriter or any such controlling person in respect of which indemnity may be sought against the Selling Stockholder pursuant to this paragraph (c) such Selling Stockholder shall have the rights and duties given to the Company, and each Underwriter and any such controlling person shall have the rights and duties given to the Underwriters, under paragraph (b) above. The foregoing indemnity agreement shall be in addition to any liability which the Selling Stockholder may otherwise have.</w:t>
      </w:r>
    </w:p>
    <w:p>
      <w:pPr>
        <w:spacing w:after="0" w:line="191" w:lineRule="exact"/>
        <w:rPr>
          <w:rFonts w:ascii="Courier New" w:cs="Courier New" w:eastAsia="Courier New" w:hAnsi="Courier New"/>
          <w:sz w:val="16"/>
          <w:szCs w:val="16"/>
          <w:color w:val="auto"/>
        </w:rPr>
      </w:pPr>
    </w:p>
    <w:p>
      <w:pPr>
        <w:ind w:right="2599" w:firstLine="570"/>
        <w:spacing w:after="0" w:line="259" w:lineRule="auto"/>
        <w:tabs>
          <w:tab w:leader="none" w:pos="1144"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Underwriter agrees, severally and not jointly, to indemnify and hold harmless the Company, its directors, its officers who sign the Registration Statement, any person who controls the Company within the meaning of Section 15 of the Act or Section 20 of the Exchange Act and the Selling Stockholder, to the same extent as the foregoing indemnity from the Company to each Underwriter, but only with respect to information relating to such Underwriter furnished in writing to the Company by or on behalf of such Underwriter through you expressly for use in the Registration Statement, the Prospectus or any Prepricing Prospectus, or any amendment or supplement thereto. If any action, suit or proceeding shall be brought against the Company, any of its directors, any such officer, any such controlling person or the Selling Stockholder based on the Registration Statement, the Prospectus or any Prepricing Prospectus, or any amendment or supplement thereto, and in respect of which indemnity may be sought against any Underwriter pursuant to this paragraph (d), such Underwriter shall have the rights and duties given to the Company by paragraph (b) above (except that if the Company shall have assumed the defense thereof such Underwriter shall not be required to do so, but may employ separate counsel therein and participate in the defense thereof, but the fees and expenses of such counsel shall be at such Underwriter's expense), and the Company, its directors, any such officer, any such controlling person and the Selling Stockholder shall have the rights and duties given to the Underwriters by paragraph (b) above. The foregoing indemnity agreement shall be in addition to any liability which the Underwriters may otherwise have.</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1034" w:right="1440" w:bottom="1440" w:gutter="0" w:footer="0" w:header="0"/>
        </w:sectPr>
      </w:pPr>
    </w:p>
    <w:bookmarkStart w:id="119" w:name="page120"/>
    <w:bookmarkEnd w:id="119"/>
    <w:p>
      <w:pPr>
        <w:ind w:left="-570" w:right="2599" w:firstLine="570"/>
        <w:spacing w:after="0" w:line="259" w:lineRule="auto"/>
        <w:tabs>
          <w:tab w:leader="none" w:pos="574"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indemnification provided for in this Section 9 is unavailable to an indemnified party under paragraphs (a), (c) or (d) hereof in respect of any losses, claims, damages, liabilities or expenses referred to therein, then an indemnifying party, in lieu of indemnifying such indemnified party, shall contribute to the amount paid or payable by such indemnified party as a result of such losses, claims, damages, liabilities or expenses (i) in such proportion as is appropriate to reflect the relative benefits received by the Sellers on the one hand and the Underwriters on the other hand from the offering of the Shares, or (ii) if the allocation provided by clause (i) above is not permitted by applicable law, in such proportion as is appropriate to reflect not only the relative benefits referred to in clause (i) above but also the relative fault of the Sellers on the one hand and the Underwriters on the other hand in connection with the statements or omissions that resulted in such losses, claims, damages, liabilities or expenses, as well as any other relevant equitable considerations. The relative benefits received by the Sellers on the one hand and the Underwriters on the other hand shall be deemed to be in the same proportion as the total net proceeds from the offering (before deducting expenses) received by the Sellers bear to the total underwriting discounts and commissions received by the Underwriters, in each case as set forth in the table on the cover page of the Prospectus. The relative fault of the Sellers on the one hand and the Underwriters on the other hand shall be determined by reference to, among other things, whether the untrue or alleged untrue statement of a material fact or the omission or alleged omission to state a material fact relates to information supplied by the Sellers on the one hand or by the Underwriters on the other hand and the parties' relative intent, knowledge, access to information and opportunity to correct or prevent such statement or omission.</w:t>
      </w:r>
    </w:p>
    <w:p>
      <w:pPr>
        <w:spacing w:after="0" w:line="367" w:lineRule="exact"/>
        <w:rPr>
          <w:rFonts w:ascii="Courier New" w:cs="Courier New" w:eastAsia="Courier New" w:hAnsi="Courier New"/>
          <w:sz w:val="15"/>
          <w:szCs w:val="15"/>
          <w:color w:val="auto"/>
        </w:rPr>
      </w:pPr>
    </w:p>
    <w:p>
      <w:pPr>
        <w:ind w:left="-570" w:right="2599" w:firstLine="570"/>
        <w:spacing w:after="0" w:line="242" w:lineRule="auto"/>
        <w:tabs>
          <w:tab w:leader="none" w:pos="574"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Sellers and the Underwriters agree that it would not be just and equitable if contribution pursuant to this Section 9 were determined by a pro rata allocation (even if the Underwriters were treated as one entity for such purpose) or by any other method of allocation that does not take account of the equitable considerations referred to in paragraph (e) above. The amount paid or payable by an indemnified party as a result of the losses, claims, damages, liabilities and expenses referred to in paragraph (e) above shall be deemed to include, subject to the limitations set forth above, any legal or other expenses reasonably incurred by such indemnified party in connection with investigating any claim or defending any such action, suit or proceeding. Notwithstanding the provisions of this Section 9, no Underwriter shall be required to contribute any amount in excess of the amount by which the total price of the Shares underwritten by it and distributed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to contribute pursuant to this Section 9 are several in proportion to the respective numbers of Firm Shares set forth opposite their names in Schedule I hereto (or such numbers of Firm Shares increased as set forth in Section 12 hereof) and not joint.</w:t>
      </w:r>
    </w:p>
    <w:p>
      <w:pPr>
        <w:spacing w:after="0" w:line="197" w:lineRule="exact"/>
        <w:rPr>
          <w:rFonts w:ascii="Courier New" w:cs="Courier New" w:eastAsia="Courier New" w:hAnsi="Courier New"/>
          <w:sz w:val="16"/>
          <w:szCs w:val="16"/>
          <w:color w:val="auto"/>
        </w:rPr>
      </w:pPr>
    </w:p>
    <w:p>
      <w:pPr>
        <w:ind w:left="-570" w:right="2679" w:firstLine="570"/>
        <w:spacing w:after="0" w:line="241" w:lineRule="auto"/>
        <w:tabs>
          <w:tab w:leader="none" w:pos="574"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other provision of this Section 9, the total liability of the Selling Stockholder for indemnification or contribution under this Section 9 shall not exceed an amount equal to the number of Shares sold by such Selling Stockholder hereunder multiplied by the purchase price per share set forth in Section 2 hereof.</w:t>
      </w:r>
    </w:p>
    <w:p>
      <w:pPr>
        <w:spacing w:after="0" w:line="190" w:lineRule="exact"/>
        <w:rPr>
          <w:rFonts w:ascii="Courier New" w:cs="Courier New" w:eastAsia="Courier New" w:hAnsi="Courier New"/>
          <w:sz w:val="16"/>
          <w:szCs w:val="16"/>
          <w:color w:val="auto"/>
        </w:rPr>
      </w:pPr>
    </w:p>
    <w:p>
      <w:pPr>
        <w:ind w:left="-570" w:right="2879" w:firstLine="570"/>
        <w:spacing w:after="0"/>
        <w:tabs>
          <w:tab w:leader="none" w:pos="574"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indemnifying party shall, without the prior written consent of the indemnified party, effect any settlement of any pending or threatened action, suit or proceeding in respect of</w:t>
      </w:r>
    </w:p>
    <w:p>
      <w:pPr>
        <w:spacing w:after="0" w:line="200" w:lineRule="exact"/>
        <w:rPr>
          <w:sz w:val="20"/>
          <w:szCs w:val="20"/>
          <w:color w:val="auto"/>
        </w:rPr>
      </w:pPr>
    </w:p>
    <w:p>
      <w:pPr>
        <w:spacing w:after="0" w:line="354" w:lineRule="exact"/>
        <w:rPr>
          <w:sz w:val="20"/>
          <w:szCs w:val="20"/>
          <w:color w:val="auto"/>
        </w:rPr>
      </w:pPr>
    </w:p>
    <w:p>
      <w:pPr>
        <w:ind w:left="315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9649"/>
          </w:cols>
          <w:pgMar w:left="810" w:top="1034" w:right="1440" w:bottom="1440" w:gutter="0" w:footer="0" w:header="0"/>
        </w:sectPr>
      </w:pPr>
    </w:p>
    <w:bookmarkStart w:id="120" w:name="page121"/>
    <w:bookmarkEnd w:id="120"/>
    <w:p>
      <w:pPr>
        <w:ind w:left="2" w:right="2779"/>
        <w:spacing w:after="0" w:line="263" w:lineRule="auto"/>
        <w:rPr>
          <w:sz w:val="20"/>
          <w:szCs w:val="20"/>
          <w:color w:val="auto"/>
        </w:rPr>
      </w:pPr>
      <w:r>
        <w:rPr>
          <w:rFonts w:ascii="Courier New" w:cs="Courier New" w:eastAsia="Courier New" w:hAnsi="Courier New"/>
          <w:sz w:val="15"/>
          <w:szCs w:val="15"/>
          <w:color w:val="auto"/>
        </w:rPr>
        <w:t>which any indemnified party is or could have been a party and indemnity could have been sought hereunder by such indemnified party, unless such settlement includes an unconditional release of such indemnified party from all liability on claims that are the subject matter of such action, suit or proceeding.</w:t>
      </w:r>
    </w:p>
    <w:p>
      <w:pPr>
        <w:spacing w:after="0" w:line="172" w:lineRule="exact"/>
        <w:rPr>
          <w:sz w:val="20"/>
          <w:szCs w:val="20"/>
          <w:color w:val="auto"/>
        </w:rPr>
      </w:pPr>
    </w:p>
    <w:p>
      <w:pPr>
        <w:ind w:left="2" w:right="2679" w:firstLine="570"/>
        <w:spacing w:after="0" w:line="242" w:lineRule="auto"/>
        <w:tabs>
          <w:tab w:leader="none" w:pos="1147" w:val="left"/>
        </w:tabs>
        <w:numPr>
          <w:ilvl w:val="2"/>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losses, claims, damages, liabilities or expenses for which an indemnified party is entitled to indemnification or contribution under this Section 9 shall be paid by the indemnifying party to the indemnified party as such losses, claims, damages, liabilities or expenses are incurred. The indemnity and contribution agreements contained in this Section 9 and the representations and warranties of the Sellers set forth in this Agreement shall remain operative and in full force and effect, regardless of (i) any investigation made by or on behalf of any Underwriter or any person controlling any Underwriter, the Company, its directors or officers or any person controlling the Company or the Selling Stockholder, (ii) acceptance of any Shares and payment therefor hereunder and (iii) any termination of this Agreement. A successor to any Underwriter or any person controlling any Underwriter, or to the Company, its directors or officers, or any person controlling the Company or the Selling Stockholder shall be entitled to the benefits of the indemnity, contribution and reimbursement agreements contained in this Section 9.</w:t>
      </w:r>
    </w:p>
    <w:p>
      <w:pPr>
        <w:spacing w:after="0" w:line="193" w:lineRule="exact"/>
        <w:rPr>
          <w:rFonts w:ascii="Courier New" w:cs="Courier New" w:eastAsia="Courier New" w:hAnsi="Courier New"/>
          <w:sz w:val="16"/>
          <w:szCs w:val="16"/>
          <w:color w:val="auto"/>
        </w:rPr>
      </w:pPr>
    </w:p>
    <w:p>
      <w:pPr>
        <w:ind w:left="2" w:right="2879" w:firstLine="284"/>
        <w:spacing w:after="0"/>
        <w:tabs>
          <w:tab w:leader="none" w:pos="861" w:val="left"/>
        </w:tabs>
        <w:numPr>
          <w:ilvl w:val="1"/>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Conditions of Underwriters' Obligations. The several obligations of the Underwriters to purchase the Firm Shares hereunder are subject to the following conditions:</w:t>
      </w:r>
    </w:p>
    <w:p>
      <w:pPr>
        <w:spacing w:after="0" w:line="189" w:lineRule="exact"/>
        <w:rPr>
          <w:rFonts w:ascii="Courier New" w:cs="Courier New" w:eastAsia="Courier New" w:hAnsi="Courier New"/>
          <w:sz w:val="16"/>
          <w:szCs w:val="16"/>
          <w:color w:val="auto"/>
        </w:rPr>
      </w:pPr>
    </w:p>
    <w:p>
      <w:pPr>
        <w:ind w:left="2" w:right="2599" w:firstLine="570"/>
        <w:spacing w:after="0" w:line="242" w:lineRule="auto"/>
        <w:tabs>
          <w:tab w:leader="none" w:pos="1147" w:val="left"/>
        </w:tabs>
        <w:numPr>
          <w:ilvl w:val="2"/>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at the time this Agreement is executed and delivered, it is necessary for the registration statement or a post-effective amendment thereto or an Abbreviated Registration Statement to be declared effective before the offering of the Shares may commence, the registration statement or such post-effective amendment or Abbreviated Registration Statement shall have become effective not later than 5:30 P.M., New York City time, on the date hereof, or at such later date and time as shall be consented to in writing by you, and all filings, if any, required by Rules 424 and 430A under the Act shall have been timely made.</w:t>
      </w:r>
    </w:p>
    <w:p>
      <w:pPr>
        <w:spacing w:after="0" w:line="189" w:lineRule="exact"/>
        <w:rPr>
          <w:rFonts w:ascii="Courier New" w:cs="Courier New" w:eastAsia="Courier New" w:hAnsi="Courier New"/>
          <w:sz w:val="16"/>
          <w:szCs w:val="16"/>
          <w:color w:val="auto"/>
        </w:rPr>
      </w:pPr>
    </w:p>
    <w:p>
      <w:pPr>
        <w:ind w:left="2" w:right="2599" w:firstLine="570"/>
        <w:spacing w:after="0" w:line="259" w:lineRule="auto"/>
        <w:tabs>
          <w:tab w:leader="none" w:pos="1147" w:val="left"/>
        </w:tabs>
        <w:numPr>
          <w:ilvl w:val="2"/>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to the effective date of this Agreement, there shall not have occurred (i) any change, or any development involving a prospective change, in or affecting the condition (financial or other), business, prospects, properties, net worth, or results of operations of the Company and the Subsidiaries not contemplated by the Prospectus, which in your opinion, as Representatives of the several Underwriters, would materially, adversely affect the market for the Shares, or (ii) any event or development relating to or involving the Company and the Subsidiaries, or any officer or director of the Company or any of the Subsidiaries, which makes any statement made in the Prospectus untrue or which, in the opinion of the Company and its counsel or the Underwriters and their counsel, requires the making of any addition to or change in the Prospectus in order to state a material fact required by the Act or any other law to be stated therein or necessary in order to make the statements therein not misleading, if amending or supplementing the Prospectus to reflect such event or development would, in your opinion, as Representatives of the several Underwriters, materially, adversely affect the market for the Shares.</w:t>
      </w:r>
    </w:p>
    <w:p>
      <w:pPr>
        <w:spacing w:after="0" w:line="181" w:lineRule="exact"/>
        <w:rPr>
          <w:rFonts w:ascii="Courier New" w:cs="Courier New" w:eastAsia="Courier New" w:hAnsi="Courier New"/>
          <w:sz w:val="15"/>
          <w:szCs w:val="15"/>
          <w:color w:val="auto"/>
        </w:rPr>
      </w:pPr>
    </w:p>
    <w:p>
      <w:pPr>
        <w:ind w:left="1142" w:hanging="570"/>
        <w:spacing w:after="0"/>
        <w:tabs>
          <w:tab w:leader="none" w:pos="1142" w:val="left"/>
        </w:tabs>
        <w:numPr>
          <w:ilvl w:val="2"/>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shall have received on the Closing Date an opinion of Fulbright</w:t>
      </w:r>
    </w:p>
    <w:p>
      <w:pPr>
        <w:spacing w:after="0" w:line="4" w:lineRule="exact"/>
        <w:rPr>
          <w:rFonts w:ascii="Courier New" w:cs="Courier New" w:eastAsia="Courier New" w:hAnsi="Courier New"/>
          <w:sz w:val="16"/>
          <w:szCs w:val="16"/>
          <w:color w:val="auto"/>
        </w:rPr>
      </w:pPr>
    </w:p>
    <w:p>
      <w:pPr>
        <w:ind w:left="2" w:right="2599" w:hanging="2"/>
        <w:spacing w:after="0" w:line="239" w:lineRule="auto"/>
        <w:tabs>
          <w:tab w:leader="none" w:pos="193"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Jaworski L.L.P., counsel for the Company, dated the Closing Date and addressed to you, as Representatives of the several Underwriters, that:</w:t>
      </w:r>
    </w:p>
    <w:p>
      <w:pPr>
        <w:spacing w:after="0" w:line="189" w:lineRule="exact"/>
        <w:rPr>
          <w:rFonts w:ascii="Courier New" w:cs="Courier New" w:eastAsia="Courier New" w:hAnsi="Courier New"/>
          <w:sz w:val="16"/>
          <w:szCs w:val="16"/>
          <w:color w:val="auto"/>
        </w:rPr>
      </w:pPr>
    </w:p>
    <w:p>
      <w:pPr>
        <w:jc w:val="both"/>
        <w:ind w:left="282" w:right="2679" w:firstLine="290"/>
        <w:spacing w:after="0"/>
        <w:tabs>
          <w:tab w:leader="none" w:pos="1140" w:val="left"/>
        </w:tabs>
        <w:numPr>
          <w:ilvl w:val="2"/>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a corporation duly incorporated and validly existing in good standing under the laws of the State of Delaware with full corporate power and authority to</w:t>
      </w:r>
    </w:p>
    <w:p>
      <w:pPr>
        <w:spacing w:after="0" w:line="200" w:lineRule="exact"/>
        <w:rPr>
          <w:sz w:val="20"/>
          <w:szCs w:val="20"/>
          <w:color w:val="auto"/>
        </w:rPr>
      </w:pPr>
    </w:p>
    <w:p>
      <w:pPr>
        <w:spacing w:after="0" w:line="354"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21"/>
          </w:cols>
          <w:pgMar w:left="238" w:top="1034" w:right="1440" w:bottom="1440" w:gutter="0" w:footer="0" w:header="0"/>
        </w:sectPr>
      </w:pPr>
    </w:p>
    <w:bookmarkStart w:id="121" w:name="page122"/>
    <w:bookmarkEnd w:id="121"/>
    <w:p>
      <w:pPr>
        <w:ind w:right="2599"/>
        <w:spacing w:after="0" w:line="242" w:lineRule="auto"/>
        <w:rPr>
          <w:sz w:val="20"/>
          <w:szCs w:val="20"/>
          <w:color w:val="auto"/>
        </w:rPr>
      </w:pPr>
      <w:r>
        <w:rPr>
          <w:rFonts w:ascii="Courier New" w:cs="Courier New" w:eastAsia="Courier New" w:hAnsi="Courier New"/>
          <w:sz w:val="16"/>
          <w:szCs w:val="16"/>
          <w:color w:val="auto"/>
        </w:rPr>
        <w:t>own, lease and operate its properties and to conduct its business as described in the Registration Statement and the Prospectus (and any amendment or supplement thereto), and is duly registered and qualified to conduct its business and is in good standing in each jurisdiction or place where the nature of its properties or the conduct of its business requires such registration or qualification, except where the failure so to register or qualify would not have a Material Adverse Effect;</w:t>
      </w:r>
    </w:p>
    <w:p>
      <w:pPr>
        <w:spacing w:after="0" w:line="188" w:lineRule="exact"/>
        <w:rPr>
          <w:sz w:val="20"/>
          <w:szCs w:val="20"/>
          <w:color w:val="auto"/>
        </w:rPr>
      </w:pPr>
    </w:p>
    <w:p>
      <w:pPr>
        <w:ind w:right="2779" w:firstLine="195"/>
        <w:spacing w:after="0" w:line="241" w:lineRule="auto"/>
        <w:tabs>
          <w:tab w:leader="none" w:pos="858"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authorized capital stock of the Company is as set forth in the Registration Statement and the Prospectus; and all the shares of capital stock of the Company outstanding prior to the issuance of the Shares have been duly authorized and validly issued, fully paid and nonassessable and free of statutory and contractual preemptive rights;</w:t>
      </w:r>
    </w:p>
    <w:p>
      <w:pPr>
        <w:spacing w:after="0" w:line="190" w:lineRule="exact"/>
        <w:rPr>
          <w:rFonts w:ascii="Courier New" w:cs="Courier New" w:eastAsia="Courier New" w:hAnsi="Courier New"/>
          <w:sz w:val="16"/>
          <w:szCs w:val="16"/>
          <w:color w:val="auto"/>
        </w:rPr>
      </w:pPr>
    </w:p>
    <w:p>
      <w:pPr>
        <w:ind w:right="2599" w:firstLine="99"/>
        <w:spacing w:after="0" w:line="260" w:lineRule="auto"/>
        <w:tabs>
          <w:tab w:leader="none" w:pos="954"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to be issued and sold by the Company have been duly authorized and, when issued and delivered to the Underwriters against payment therefor in accordance with the terms hereof, will be validly issued, fully paid and nonassessable and free of (A) any preemptive rights arising under the Company's certificate of incorporation or the Delaware General Corporation Law or (B) to the knowledge of such counsel, similar rights that entitle or will entitle any person to acquire any shares of capital stock of the Company upon the issuance and sale of the Shares by the Company;</w:t>
      </w:r>
    </w:p>
    <w:p>
      <w:pPr>
        <w:spacing w:after="0" w:line="178" w:lineRule="exact"/>
        <w:rPr>
          <w:rFonts w:ascii="Courier New" w:cs="Courier New" w:eastAsia="Courier New" w:hAnsi="Courier New"/>
          <w:sz w:val="15"/>
          <w:szCs w:val="15"/>
          <w:color w:val="auto"/>
        </w:rPr>
      </w:pPr>
    </w:p>
    <w:p>
      <w:pPr>
        <w:ind w:right="2679" w:firstLine="195"/>
        <w:spacing w:after="0" w:line="239" w:lineRule="auto"/>
        <w:tabs>
          <w:tab w:leader="none" w:pos="858"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form of certificate for the Shares conforms to the requirements of the Delaware General Corporation Law;</w:t>
      </w:r>
    </w:p>
    <w:p>
      <w:pPr>
        <w:spacing w:after="0" w:line="189" w:lineRule="exact"/>
        <w:rPr>
          <w:rFonts w:ascii="Courier New" w:cs="Courier New" w:eastAsia="Courier New" w:hAnsi="Courier New"/>
          <w:sz w:val="16"/>
          <w:szCs w:val="16"/>
          <w:color w:val="auto"/>
        </w:rPr>
      </w:pPr>
    </w:p>
    <w:p>
      <w:pPr>
        <w:ind w:right="2779" w:firstLine="290"/>
        <w:spacing w:after="0" w:line="242" w:lineRule="auto"/>
        <w:tabs>
          <w:tab w:leader="none" w:pos="858"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Registration Statement and all post-effective amendments, if any, have become effective under the Act and, to the best of such counsel's knowledge, no stop order suspending the effectiveness of the Registration Statement has been issued and no proceedings for that purpose are pending before or contemplated by the Commission; and any required filing of the Prospectus pursuant to Rule 424(b) has been made in accordance with Rule 424(b);</w:t>
      </w:r>
    </w:p>
    <w:p>
      <w:pPr>
        <w:spacing w:after="0" w:line="187" w:lineRule="exact"/>
        <w:rPr>
          <w:rFonts w:ascii="Courier New" w:cs="Courier New" w:eastAsia="Courier New" w:hAnsi="Courier New"/>
          <w:sz w:val="16"/>
          <w:szCs w:val="16"/>
          <w:color w:val="auto"/>
        </w:rPr>
      </w:pPr>
    </w:p>
    <w:p>
      <w:pPr>
        <w:ind w:right="2599" w:firstLine="195"/>
        <w:spacing w:after="0" w:line="242" w:lineRule="auto"/>
        <w:tabs>
          <w:tab w:leader="none" w:pos="858"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the corporate power and authority to enter into this Agreement and to issue, sell and deliver to the Underwriters the Shares to be issued and sold by the Company as provided herein, and this Agreement has been duly authorized, executed and delivered by the Company and is a valid, legal and binding agreement of the Company, enforceable against the Company in accordance with its terms, except as enforcement of rights to indemnity and contribution hereunder may be limited by federal or state securities laws or principles of public policy and subject to the qualification that the enforceability of the Company's obligations hereunder may be limited by bankruptcy, fraudulent conveyance, insolvency, reorganization, moratorium and other laws relating to or affecting creditors' rights generally and by general equitable principles;</w:t>
      </w:r>
    </w:p>
    <w:p>
      <w:pPr>
        <w:spacing w:after="0" w:line="191" w:lineRule="exact"/>
        <w:rPr>
          <w:rFonts w:ascii="Courier New" w:cs="Courier New" w:eastAsia="Courier New" w:hAnsi="Courier New"/>
          <w:sz w:val="16"/>
          <w:szCs w:val="16"/>
          <w:color w:val="auto"/>
        </w:rPr>
      </w:pPr>
    </w:p>
    <w:p>
      <w:pPr>
        <w:ind w:right="2599" w:firstLine="99"/>
        <w:spacing w:after="0" w:line="242" w:lineRule="auto"/>
        <w:tabs>
          <w:tab w:leader="none" w:pos="858"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knowledge of such counsel, neither the Company nor any of the Subsidiaries is in violation of its certificate of incorporation or bylaws, or other organizational documents, or in default in the performance of any material obligation, agreement or condition contained in any bond, debenture, note or other evidence of indebtedness made an exhibit to the Registration Statement or known to such counsel;</w:t>
      </w:r>
    </w:p>
    <w:p>
      <w:pPr>
        <w:spacing w:after="0" w:line="187" w:lineRule="exact"/>
        <w:rPr>
          <w:rFonts w:ascii="Courier New" w:cs="Courier New" w:eastAsia="Courier New" w:hAnsi="Courier New"/>
          <w:sz w:val="16"/>
          <w:szCs w:val="16"/>
          <w:color w:val="auto"/>
        </w:rPr>
      </w:pPr>
    </w:p>
    <w:p>
      <w:pPr>
        <w:ind w:right="2599" w:firstLine="4"/>
        <w:spacing w:after="0"/>
        <w:tabs>
          <w:tab w:leader="none" w:pos="858"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offer, sale or delivery of the Shares, the execution, delivery or performance of this Agreement, compliance by the Company with the provisions hereof nor</w:t>
      </w:r>
    </w:p>
    <w:p>
      <w:pPr>
        <w:spacing w:after="0" w:line="200" w:lineRule="exact"/>
        <w:rPr>
          <w:sz w:val="20"/>
          <w:szCs w:val="20"/>
          <w:color w:val="auto"/>
        </w:rPr>
      </w:pPr>
    </w:p>
    <w:p>
      <w:pPr>
        <w:spacing w:after="0" w:line="354"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9939"/>
          </w:cols>
          <w:pgMar w:left="520" w:top="1034" w:right="1440" w:bottom="1440" w:gutter="0" w:footer="0" w:header="0"/>
        </w:sectPr>
      </w:pPr>
    </w:p>
    <w:bookmarkStart w:id="122" w:name="page123"/>
    <w:bookmarkEnd w:id="122"/>
    <w:p>
      <w:pPr>
        <w:ind w:right="2599"/>
        <w:spacing w:after="0" w:line="259" w:lineRule="auto"/>
        <w:rPr>
          <w:sz w:val="20"/>
          <w:szCs w:val="20"/>
          <w:color w:val="auto"/>
        </w:rPr>
      </w:pPr>
      <w:r>
        <w:rPr>
          <w:rFonts w:ascii="Courier New" w:cs="Courier New" w:eastAsia="Courier New" w:hAnsi="Courier New"/>
          <w:sz w:val="15"/>
          <w:szCs w:val="15"/>
          <w:color w:val="auto"/>
        </w:rPr>
        <w:t>consummation by the Company of the transactions contemplated hereby conflicts or will conflict with or constitutes or will constitute a breach of, or a default under, the certificate of incorporation or bylaws, or other organizational documents, of the Company or any of the Subsidiaries or any agreement, indenture, lease or other instrument to which the Company or any of the Subsidiaries is a party or by which the Company or any of the Subsidiaries or any of their respective properties is bound that is an exhibit to the Registration Statement, or is known to such counsel after reasonable inquiry, or to the knowledge of such counsel will result in the creation or imposition of any lien, charge or encumbrance upon any property or assets of the Company or any of the Subsidiaries, nor will any such action result in any violation of any existing law, regulation, ruling (assuming compliance with all applicable state securities and Blue Sky laws), judgment, injunction, order or decree known to such counsel and applicable to the Company or any of the Subsidiaries or any of their respective properties;</w:t>
      </w:r>
    </w:p>
    <w:p>
      <w:pPr>
        <w:spacing w:after="0" w:line="184" w:lineRule="exact"/>
        <w:rPr>
          <w:sz w:val="20"/>
          <w:szCs w:val="20"/>
          <w:color w:val="auto"/>
        </w:rPr>
      </w:pPr>
    </w:p>
    <w:p>
      <w:pPr>
        <w:ind w:right="2679" w:firstLine="195"/>
        <w:spacing w:after="0" w:line="242" w:lineRule="auto"/>
        <w:tabs>
          <w:tab w:leader="none" w:pos="858"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consent, approval, authorization or other order of, or registration or filing with, any court, regulatory body, administrative agency or other governmental body, agency, or official is required on the part of the Company or any of the Subsidiaries (except as have been obtained under the Act and the Exchange Act or such as may be required under state securities or Blue Sky laws governing the purchase and distribution of the Shares) for the valid issuance and sale of the Shares to the Underwriters as contemplated by this Agreement;</w:t>
      </w:r>
    </w:p>
    <w:p>
      <w:pPr>
        <w:spacing w:after="0" w:line="188" w:lineRule="exact"/>
        <w:rPr>
          <w:rFonts w:ascii="Courier New" w:cs="Courier New" w:eastAsia="Courier New" w:hAnsi="Courier New"/>
          <w:sz w:val="16"/>
          <w:szCs w:val="16"/>
          <w:color w:val="auto"/>
        </w:rPr>
      </w:pPr>
    </w:p>
    <w:p>
      <w:pPr>
        <w:ind w:right="2599" w:firstLine="290"/>
        <w:spacing w:after="0" w:line="241" w:lineRule="auto"/>
        <w:tabs>
          <w:tab w:leader="none" w:pos="858"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Registration Statement and the Prospectus and any supplements or amendments thereto (except for the financial statements and the notes thereto and the schedules and other financial and statistical data included therein, as to which such counsel need not express any opinion) comply as to form in all material respects with the requirements of the Act;</w:t>
      </w:r>
    </w:p>
    <w:p>
      <w:pPr>
        <w:spacing w:after="0" w:line="190" w:lineRule="exact"/>
        <w:rPr>
          <w:rFonts w:ascii="Courier New" w:cs="Courier New" w:eastAsia="Courier New" w:hAnsi="Courier New"/>
          <w:sz w:val="16"/>
          <w:szCs w:val="16"/>
          <w:color w:val="auto"/>
        </w:rPr>
      </w:pPr>
    </w:p>
    <w:p>
      <w:pPr>
        <w:ind w:right="2599" w:firstLine="195"/>
        <w:spacing w:after="0" w:line="260" w:lineRule="auto"/>
        <w:tabs>
          <w:tab w:leader="none" w:pos="858"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knowledge of such counsel, (A) there are no legal or governmental proceedings pending or threatened against the Company or any of the Subsidiaries, or to which the Company or any of the Subsidiaries or any of their respective properties is subject, which are required to be described in the Registration Statement or Prospectus (or any amendment or supplement thereto) that are not described as required and (B) there are no agreements, contracts, indentures, leases or other instruments that are required to be described in the Registration Statement or the Prospectus (or any amendment or supplement thereto) or to be filed as an exhibit to the Registration Statement that are not described or filed as required, as the case may be;</w:t>
      </w:r>
    </w:p>
    <w:p>
      <w:pPr>
        <w:spacing w:after="0" w:line="176" w:lineRule="exact"/>
        <w:rPr>
          <w:rFonts w:ascii="Courier New" w:cs="Courier New" w:eastAsia="Courier New" w:hAnsi="Courier New"/>
          <w:sz w:val="15"/>
          <w:szCs w:val="15"/>
          <w:color w:val="auto"/>
        </w:rPr>
      </w:pPr>
    </w:p>
    <w:p>
      <w:pPr>
        <w:ind w:right="2599" w:firstLine="99"/>
        <w:spacing w:after="0" w:line="263" w:lineRule="auto"/>
        <w:tabs>
          <w:tab w:leader="none" w:pos="858"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statements in the Registration Statement and Prospectus, insofar as they are descriptions of contracts, agreements or other legal documents, or refer to statements of law or legal conclusions, are accurate in all material respects and present fairly the information required to be shown;</w:t>
      </w:r>
    </w:p>
    <w:p>
      <w:pPr>
        <w:spacing w:after="0" w:line="172" w:lineRule="exact"/>
        <w:rPr>
          <w:rFonts w:ascii="Courier New" w:cs="Courier New" w:eastAsia="Courier New" w:hAnsi="Courier New"/>
          <w:sz w:val="15"/>
          <w:szCs w:val="15"/>
          <w:color w:val="auto"/>
        </w:rPr>
      </w:pPr>
    </w:p>
    <w:p>
      <w:pPr>
        <w:ind w:right="2679" w:firstLine="4"/>
        <w:spacing w:after="0"/>
        <w:tabs>
          <w:tab w:leader="none" w:pos="858"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not an "investment company" or a person "controlled" by an "investment company" within the meaning of the Investment Company Act of 1940, as amended;</w:t>
      </w:r>
    </w:p>
    <w:p>
      <w:pPr>
        <w:spacing w:after="0" w:line="189" w:lineRule="exact"/>
        <w:rPr>
          <w:rFonts w:ascii="Courier New" w:cs="Courier New" w:eastAsia="Courier New" w:hAnsi="Courier New"/>
          <w:sz w:val="16"/>
          <w:szCs w:val="16"/>
          <w:color w:val="auto"/>
        </w:rPr>
      </w:pPr>
    </w:p>
    <w:p>
      <w:pPr>
        <w:ind w:right="2599" w:firstLine="99"/>
        <w:spacing w:after="0" w:line="241" w:lineRule="auto"/>
        <w:tabs>
          <w:tab w:leader="none" w:pos="858"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execution, delivery or performance of the First Hospital Acquisition Agreement, compliance by the Company with the provisions thereof nor consummation by the Company of the transactions contemplated thereby conflicted, conflicts or will conflict</w:t>
      </w:r>
    </w:p>
    <w:p>
      <w:pPr>
        <w:spacing w:after="0" w:line="200" w:lineRule="exact"/>
        <w:rPr>
          <w:sz w:val="20"/>
          <w:szCs w:val="20"/>
          <w:color w:val="auto"/>
        </w:rPr>
      </w:pPr>
    </w:p>
    <w:p>
      <w:pPr>
        <w:spacing w:after="0" w:line="353"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9939"/>
          </w:cols>
          <w:pgMar w:left="520" w:top="1034" w:right="1440" w:bottom="1440" w:gutter="0" w:footer="0" w:header="0"/>
        </w:sectPr>
      </w:pPr>
    </w:p>
    <w:bookmarkStart w:id="123" w:name="page124"/>
    <w:bookmarkEnd w:id="123"/>
    <w:p>
      <w:pPr>
        <w:ind w:left="282" w:right="2599"/>
        <w:spacing w:after="0" w:line="242" w:lineRule="auto"/>
        <w:rPr>
          <w:sz w:val="20"/>
          <w:szCs w:val="20"/>
          <w:color w:val="auto"/>
        </w:rPr>
      </w:pPr>
      <w:r>
        <w:rPr>
          <w:rFonts w:ascii="Courier New" w:cs="Courier New" w:eastAsia="Courier New" w:hAnsi="Courier New"/>
          <w:sz w:val="16"/>
          <w:szCs w:val="16"/>
          <w:color w:val="auto"/>
        </w:rPr>
        <w:t>with or constituted, constitutes or will constitute a breach of, or a default under, the certificates of incorporation or bylaws or other organizational documents of the Company or any of the Subsidiaries or any agreement, indenture, lease or other instrument to which the Company or any of the Subsidiaries is a party or by which any of them or any of their respective properties is bound that is an exhibit to the Registration Statement or is known to such counsel after reasonable inquiry (except where appropriate waivers or consents thereto have heretofore been obtained by the Company), or will result in the creation or imposition of any lien, charge or encumbrance upon any property or assets of the Company or any of the Subsidiaries, nor will any such action result in any violation of any existing law, regulation, ruling, judgment, injunction, order or decree known to such counsel after reasonable inquiry, applicable to the Company or any of the Subsidiaries or any of their respective properties; and</w:t>
      </w:r>
    </w:p>
    <w:p>
      <w:pPr>
        <w:spacing w:after="0" w:line="192" w:lineRule="exact"/>
        <w:rPr>
          <w:sz w:val="20"/>
          <w:szCs w:val="20"/>
          <w:color w:val="auto"/>
        </w:rPr>
      </w:pPr>
    </w:p>
    <w:p>
      <w:pPr>
        <w:ind w:left="282" w:right="2679" w:firstLine="290"/>
        <w:spacing w:after="0" w:line="241" w:lineRule="auto"/>
        <w:tabs>
          <w:tab w:leader="none" w:pos="114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Incorporated Documents (except for the financial statements and the notes thereto and the schedules and other financial and statistical data included therein, as to which such counsel need not express any opinion) appear on their face to comply as to form in all material respects with the Exchange Act.</w:t>
      </w:r>
    </w:p>
    <w:p>
      <w:pPr>
        <w:spacing w:after="0" w:line="190" w:lineRule="exact"/>
        <w:rPr>
          <w:sz w:val="20"/>
          <w:szCs w:val="20"/>
          <w:color w:val="auto"/>
        </w:rPr>
      </w:pPr>
    </w:p>
    <w:p>
      <w:pPr>
        <w:ind w:left="2" w:right="2599" w:firstLine="572"/>
        <w:spacing w:after="0" w:line="242" w:lineRule="auto"/>
        <w:rPr>
          <w:sz w:val="20"/>
          <w:szCs w:val="20"/>
          <w:color w:val="auto"/>
        </w:rPr>
      </w:pPr>
      <w:r>
        <w:rPr>
          <w:rFonts w:ascii="Courier New" w:cs="Courier New" w:eastAsia="Courier New" w:hAnsi="Courier New"/>
          <w:sz w:val="16"/>
          <w:szCs w:val="16"/>
          <w:color w:val="auto"/>
        </w:rPr>
        <w:t>In addition, such counsel shall state that although such counsel has not undertaken, except as otherwise indicated in their opinion, to determine independently, and does not assume any responsibility for, the accuracy, completeness or fairness of the statements in the Registration Statement, such counsel has participated in the preparation of the Registration Statement and the Prospectus, including review and discussion of the contents thereof, and nothing has come to the attention of such counsel that has caused it to believe that the Registration Statement, at the time the Registration Statement became effective, contained an untrue statement of a material fact or omitted to state a material fact required to be stated therein or necessary to make the state-ments therein not misleading, or that the Prospectus, as of its date and as of the Closing Date or any Option Closing Date, as the case may be, contained an untrue statement of a material fact or omitted or omits to state a material fact necessary in order to make the statements therein, in light of the circumstances under which they were made, not misleading, or that any amendment or supplement to the Prospectus, as of its date, and as of the Closing Date or any Option Closing Date, as the case may be, contained or contains an untrue statement of a material fact or omitted or omits to state a material fact necessary in order to make the statements therein, in light of the circumstances under which they were made, not misleading (it being understood that such counsel need express no opinion with respect to the financial statements and the notes thereto and the schedules and other financial and statistical data included in the Registration Statement or the Prospectus).</w:t>
      </w:r>
    </w:p>
    <w:p>
      <w:pPr>
        <w:spacing w:after="0" w:line="198" w:lineRule="exact"/>
        <w:rPr>
          <w:sz w:val="20"/>
          <w:szCs w:val="20"/>
          <w:color w:val="auto"/>
        </w:rPr>
      </w:pPr>
    </w:p>
    <w:p>
      <w:pPr>
        <w:ind w:left="2" w:right="2599" w:firstLine="572"/>
        <w:spacing w:after="0" w:line="259" w:lineRule="auto"/>
        <w:rPr>
          <w:sz w:val="20"/>
          <w:szCs w:val="20"/>
          <w:color w:val="auto"/>
        </w:rPr>
      </w:pPr>
      <w:r>
        <w:rPr>
          <w:rFonts w:ascii="Courier New" w:cs="Courier New" w:eastAsia="Courier New" w:hAnsi="Courier New"/>
          <w:sz w:val="15"/>
          <w:szCs w:val="15"/>
          <w:color w:val="auto"/>
        </w:rPr>
        <w:t>In rendering their opinion as aforesaid, counsel may rely upon an opinion or opinions, each dated the Closing Date, of other counsel retained by them or the Company as to laws of any jurisdiction other than the United States or the State of New York or the corporation law of the State of Delaware, provided that</w:t>
      </w:r>
    </w:p>
    <w:p>
      <w:pPr>
        <w:ind w:left="2" w:right="2599" w:hanging="2"/>
        <w:spacing w:after="0" w:line="242" w:lineRule="auto"/>
        <w:tabs>
          <w:tab w:leader="none" w:pos="384"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such local counsel is acceptable to the Representatives, (2) such reliance is expressly authorized by each opinion so relied upon and a copy of each such opinion is delivered to the Representatives and is, in form and substance, satisfactory to them and counsel for the Underwriters and (3) counsel shall state in their opinion that they believe that they and the Underwriters are justified in relying thereon.</w:t>
      </w:r>
    </w:p>
    <w:p>
      <w:pPr>
        <w:spacing w:after="0" w:line="200" w:lineRule="exact"/>
        <w:rPr>
          <w:sz w:val="20"/>
          <w:szCs w:val="20"/>
          <w:color w:val="auto"/>
        </w:rPr>
      </w:pPr>
    </w:p>
    <w:p>
      <w:pPr>
        <w:spacing w:after="0" w:line="351"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21"/>
          </w:cols>
          <w:pgMar w:left="238" w:top="1034" w:right="1440" w:bottom="1440" w:gutter="0" w:footer="0" w:header="0"/>
        </w:sectPr>
      </w:pPr>
    </w:p>
    <w:bookmarkStart w:id="124" w:name="page125"/>
    <w:bookmarkEnd w:id="124"/>
    <w:p>
      <w:pPr>
        <w:ind w:left="-379" w:right="2779" w:firstLine="570"/>
        <w:spacing w:after="0"/>
        <w:tabs>
          <w:tab w:leader="none" w:pos="765"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shall have received on the Closing Date an opinion of Bruce R. Gilbert, Esq., General Counsel for the Company, dated the Closing Date and addressed to you, as Representatives of the several Underwriters, that:</w:t>
      </w:r>
    </w:p>
    <w:p>
      <w:pPr>
        <w:spacing w:after="0" w:line="190" w:lineRule="exact"/>
        <w:rPr>
          <w:sz w:val="20"/>
          <w:szCs w:val="20"/>
          <w:color w:val="auto"/>
        </w:rPr>
      </w:pPr>
    </w:p>
    <w:p>
      <w:pPr>
        <w:ind w:left="-99" w:right="2599" w:firstLine="290"/>
        <w:spacing w:after="0" w:line="242" w:lineRule="auto"/>
        <w:tabs>
          <w:tab w:leader="none" w:pos="759"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Company and each of the Subsidiaries are duly qualified or licensed by each jurisdiction in which they conduct their respective businesses and in which the failure, individually or in the aggregate, to be so licensed or qualified could have a Material Adverse Effect, and the Company and its Subsidiaries are duly qualified, and are in good standing, in each jurisdiction in which they own or lease real property or maintain an office and in which such qualification is necessary;</w:t>
      </w:r>
    </w:p>
    <w:p>
      <w:pPr>
        <w:spacing w:after="0" w:line="187" w:lineRule="exact"/>
        <w:rPr>
          <w:rFonts w:ascii="Courier New" w:cs="Courier New" w:eastAsia="Courier New" w:hAnsi="Courier New"/>
          <w:sz w:val="16"/>
          <w:szCs w:val="16"/>
          <w:color w:val="auto"/>
        </w:rPr>
      </w:pPr>
    </w:p>
    <w:p>
      <w:pPr>
        <w:ind w:left="-99" w:right="2679" w:firstLine="195"/>
        <w:spacing w:after="0" w:line="242" w:lineRule="auto"/>
        <w:tabs>
          <w:tab w:leader="none" w:pos="759"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Subsidiary is a corporation duly incorporated and validly existing and in good standing under the laws of the jurisdiction of its organization, with full corporate or partnership power and authority to own, lease and operate its properties and to conduct its business as described in the Registration Statement and the Prospectus (and any amendment or supplement thereto); and all the outstanding shares of capital stock of each of the Subsidiaries have been duly authorized and validly issued, are fully paid and nonassessable and are owned of record by the Company directly, or indirectly through one of the other Subsidiaries, free and clear of any perfected security interest or, to such counsel's knowledge, any other lien, adverse claim, equity or other encumbrance, except as disclosed in the Registration Statement and the Prospectus (or any amendment or supplement thereto);</w:t>
      </w:r>
    </w:p>
    <w:p>
      <w:pPr>
        <w:spacing w:after="0" w:line="191" w:lineRule="exact"/>
        <w:rPr>
          <w:rFonts w:ascii="Courier New" w:cs="Courier New" w:eastAsia="Courier New" w:hAnsi="Courier New"/>
          <w:sz w:val="16"/>
          <w:szCs w:val="16"/>
          <w:color w:val="auto"/>
        </w:rPr>
      </w:pPr>
    </w:p>
    <w:p>
      <w:pPr>
        <w:ind w:left="-99" w:right="2599" w:firstLine="99"/>
        <w:spacing w:after="0" w:line="242" w:lineRule="auto"/>
        <w:tabs>
          <w:tab w:leader="none" w:pos="759"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best of such counsel's knowledge, none of the Subsidiaries is in violation of its certificate or articles of incorporation or bylaws, or partnership agreement, or is in breach of, or in default under (nor has any event occurred which with notice, lapse of time, or both, would constitute a breach of, or default under), any license, indenture, mortgage, deed of trust, bank loan or credit agreement or any other agreement or instrument to which the Company or any of its Subsidiaries is a party or by which any of them or their respective properties may be bound or affected or under any law, regulation or rule or any decree, judgment or order applicable to the Company or its Subsidiaries;</w:t>
      </w:r>
    </w:p>
    <w:p>
      <w:pPr>
        <w:spacing w:after="0" w:line="189" w:lineRule="exact"/>
        <w:rPr>
          <w:rFonts w:ascii="Courier New" w:cs="Courier New" w:eastAsia="Courier New" w:hAnsi="Courier New"/>
          <w:sz w:val="16"/>
          <w:szCs w:val="16"/>
          <w:color w:val="auto"/>
        </w:rPr>
      </w:pPr>
    </w:p>
    <w:p>
      <w:pPr>
        <w:ind w:left="-99" w:right="2599" w:firstLine="195"/>
        <w:spacing w:after="0" w:line="242" w:lineRule="auto"/>
        <w:tabs>
          <w:tab w:leader="none" w:pos="759"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knowledge of such counsel, neither the Company nor any of the Subsidiaries is in violation of any law, ordinance, administrative or governmental rule or regulation applicable to the Company or any such Subsidiary the violation of which would have a Material Adverse Effect, or of any decree of any court or governmental agency or body having jurisdiction over the Company or any of the Subsidiaries;</w:t>
      </w:r>
    </w:p>
    <w:p>
      <w:pPr>
        <w:spacing w:after="0" w:line="187" w:lineRule="exact"/>
        <w:rPr>
          <w:rFonts w:ascii="Courier New" w:cs="Courier New" w:eastAsia="Courier New" w:hAnsi="Courier New"/>
          <w:sz w:val="16"/>
          <w:szCs w:val="16"/>
          <w:color w:val="auto"/>
        </w:rPr>
      </w:pPr>
    </w:p>
    <w:p>
      <w:pPr>
        <w:ind w:left="-99" w:right="2599" w:firstLine="290"/>
        <w:spacing w:after="0" w:line="242" w:lineRule="auto"/>
        <w:tabs>
          <w:tab w:leader="none" w:pos="759"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each of the Subsidiaries have full corporate power and authority and such Permits as are necessary to own, lease and operate their respective properties and to conduct their respective businesses as are now being conducted as described in the Registration Statement or the Prospectus (or any amendment or supplement thereto), including such Permits as are required (x) under such federal and state health care laws as are applicable to the Company and the Subsidiaries and their respective businesses and (y) under such HMO or similar licensure laws and such insurance laws and regulations as are applicable to the Company and the Subsidiaries, except where the failure to have such Permits would not have a Material Adverse Effect;</w:t>
      </w:r>
    </w:p>
    <w:p>
      <w:pPr>
        <w:spacing w:after="0" w:line="190" w:lineRule="exact"/>
        <w:rPr>
          <w:rFonts w:ascii="Courier New" w:cs="Courier New" w:eastAsia="Courier New" w:hAnsi="Courier New"/>
          <w:sz w:val="16"/>
          <w:szCs w:val="16"/>
          <w:color w:val="auto"/>
        </w:rPr>
      </w:pPr>
    </w:p>
    <w:p>
      <w:pPr>
        <w:jc w:val="both"/>
        <w:ind w:left="-99" w:right="2599" w:firstLine="195"/>
        <w:spacing w:after="0"/>
        <w:tabs>
          <w:tab w:leader="none" w:pos="759"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knowledge of such counsel, neither the Company nor any of the Subsidiaries is in violation of any healthcare law, ordinance, administrative or governmental</w:t>
      </w:r>
    </w:p>
    <w:p>
      <w:pPr>
        <w:spacing w:after="0" w:line="200" w:lineRule="exact"/>
        <w:rPr>
          <w:sz w:val="20"/>
          <w:szCs w:val="20"/>
          <w:color w:val="auto"/>
        </w:rPr>
      </w:pPr>
    </w:p>
    <w:p>
      <w:pPr>
        <w:spacing w:after="0" w:line="354" w:lineRule="exact"/>
        <w:rPr>
          <w:sz w:val="20"/>
          <w:szCs w:val="20"/>
          <w:color w:val="auto"/>
        </w:rPr>
      </w:pPr>
    </w:p>
    <w:p>
      <w:pPr>
        <w:ind w:left="3341"/>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9840"/>
          </w:cols>
          <w:pgMar w:left="619" w:top="1034" w:right="1440" w:bottom="1440" w:gutter="0" w:footer="0" w:header="0"/>
        </w:sectPr>
      </w:pPr>
    </w:p>
    <w:bookmarkStart w:id="125" w:name="page126"/>
    <w:bookmarkEnd w:id="125"/>
    <w:p>
      <w:pPr>
        <w:ind w:left="282" w:right="2599"/>
        <w:spacing w:after="0" w:line="242" w:lineRule="auto"/>
        <w:rPr>
          <w:sz w:val="20"/>
          <w:szCs w:val="20"/>
          <w:color w:val="auto"/>
        </w:rPr>
      </w:pPr>
      <w:r>
        <w:rPr>
          <w:rFonts w:ascii="Courier New" w:cs="Courier New" w:eastAsia="Courier New" w:hAnsi="Courier New"/>
          <w:sz w:val="16"/>
          <w:szCs w:val="16"/>
          <w:color w:val="auto"/>
        </w:rPr>
        <w:t>rule or regulation applicable to them, respectively, or of any decree of any court or governmental agency or body having jurisdiction over them relating thereto, respectively, except where any such violation would not have a Material Adverse Effect; and, in the course of such counsel's representation of the Company or any Subsidiary, nothing has come to such counsel's attention to cause it to believe that the Company or any Subsidiary is in violation of any other law, ordinance, administrative or governmental rule or regulation applicable to it or of any decree of any court or governmental agency or body having jurisdiction over it, except where any such violation would not have a Material Adverse Effect; and</w:t>
      </w:r>
    </w:p>
    <w:p>
      <w:pPr>
        <w:spacing w:after="0" w:line="190" w:lineRule="exact"/>
        <w:rPr>
          <w:sz w:val="20"/>
          <w:szCs w:val="20"/>
          <w:color w:val="auto"/>
        </w:rPr>
      </w:pPr>
    </w:p>
    <w:p>
      <w:pPr>
        <w:ind w:left="282" w:right="2599" w:firstLine="99"/>
        <w:spacing w:after="0" w:line="242" w:lineRule="auto"/>
        <w:tabs>
          <w:tab w:leader="none" w:pos="114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described in the Prospectus, such counsel does not know of any holder of any securities of the Company or any of the Subsidiaries or any other person who has the right, contractual or otherwise, to cause the Company to sell or otherwise issue to them, or to permit them to underwrite the sale of, any of the Shares or the right to have any Common Stock or other securities of the Company included in the Registration Statement or the right, as a result of the filing of the Registration Statement, to require the Company to register under the Act any shares of Common Stock or other securities of the Company, and any registration rights in connection with the offering contemplated hereby have been validly waived.</w:t>
      </w:r>
    </w:p>
    <w:p>
      <w:pPr>
        <w:spacing w:after="0" w:line="190" w:lineRule="exact"/>
        <w:rPr>
          <w:sz w:val="20"/>
          <w:szCs w:val="20"/>
          <w:color w:val="auto"/>
        </w:rPr>
      </w:pPr>
    </w:p>
    <w:p>
      <w:pPr>
        <w:ind w:left="2" w:right="2779" w:firstLine="570"/>
        <w:spacing w:after="0" w:line="242" w:lineRule="auto"/>
        <w:tabs>
          <w:tab w:leader="none" w:pos="1147" w:val="left"/>
        </w:tabs>
        <w:numPr>
          <w:ilvl w:val="1"/>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shall have received on the Closing Date an opinion of Dewey Ballantine, counsel for the Underwriters, dated the Closing Date and addressed to you, as Representatives of the several Underwriters, with respect to the matters referred to in clauses (iii) (other than subclause (B) thereof), (v), (vi), (x) and the penultimate paragraph of Section 10(c) hereof and such other related matters as you may request.</w:t>
      </w:r>
    </w:p>
    <w:p>
      <w:pPr>
        <w:spacing w:after="0" w:line="187" w:lineRule="exact"/>
        <w:rPr>
          <w:rFonts w:ascii="Courier New" w:cs="Courier New" w:eastAsia="Courier New" w:hAnsi="Courier New"/>
          <w:sz w:val="16"/>
          <w:szCs w:val="16"/>
          <w:color w:val="auto"/>
        </w:rPr>
      </w:pPr>
    </w:p>
    <w:p>
      <w:pPr>
        <w:ind w:left="1142" w:hanging="570"/>
        <w:spacing w:after="0"/>
        <w:tabs>
          <w:tab w:leader="none" w:pos="1142"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shall have received on the Closing Date an opinion of [Fulbright</w:t>
      </w:r>
    </w:p>
    <w:p>
      <w:pPr>
        <w:spacing w:after="0" w:line="13" w:lineRule="exact"/>
        <w:rPr>
          <w:rFonts w:ascii="Courier New" w:cs="Courier New" w:eastAsia="Courier New" w:hAnsi="Courier New"/>
          <w:sz w:val="15"/>
          <w:szCs w:val="15"/>
          <w:color w:val="auto"/>
        </w:rPr>
      </w:pPr>
    </w:p>
    <w:p>
      <w:pPr>
        <w:ind w:left="2" w:right="2779" w:hanging="2"/>
        <w:spacing w:after="0"/>
        <w:tabs>
          <w:tab w:leader="none" w:pos="193"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Jaworski L.L.P.], counsel to the Selling Stockholder, dated the Closing Date and addressed to you, as Representatives of the several Underwriters, to the effect that:</w:t>
      </w:r>
    </w:p>
    <w:p>
      <w:pPr>
        <w:spacing w:after="0" w:line="189" w:lineRule="exact"/>
        <w:rPr>
          <w:rFonts w:ascii="Courier New" w:cs="Courier New" w:eastAsia="Courier New" w:hAnsi="Courier New"/>
          <w:sz w:val="16"/>
          <w:szCs w:val="16"/>
          <w:color w:val="auto"/>
        </w:rPr>
      </w:pPr>
    </w:p>
    <w:p>
      <w:pPr>
        <w:ind w:left="282" w:right="3359" w:firstLine="290"/>
        <w:spacing w:after="0" w:line="239" w:lineRule="auto"/>
        <w:tabs>
          <w:tab w:leader="none" w:pos="1140" w:val="left"/>
        </w:tabs>
        <w:numPr>
          <w:ilvl w:val="1"/>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and the Custody Agreement have each been duly executed and delivered by or on behalf the Selling Stockholder;</w:t>
      </w:r>
    </w:p>
    <w:p>
      <w:pPr>
        <w:spacing w:after="0" w:line="189" w:lineRule="exact"/>
        <w:rPr>
          <w:sz w:val="20"/>
          <w:szCs w:val="20"/>
          <w:color w:val="auto"/>
        </w:rPr>
      </w:pPr>
    </w:p>
    <w:p>
      <w:pPr>
        <w:ind w:left="282" w:right="2599" w:firstLine="195"/>
        <w:spacing w:after="0" w:line="242" w:lineRule="auto"/>
        <w:tabs>
          <w:tab w:leader="none" w:pos="114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knowledge of such counsel, the Selling Stockholder has full legal right, power and authorization, and any approval required by law, to sell, assign, transfer and deliver good and marketable title to the Shares which such Selling Stockholder has agreed to sell pursuant to this Agreement; upon delivery of such Shares pursuant to this Agreement and payment therefor as contemplated herein and assuming that the several Underwriters purchased such Shares in good faith and without notice of an adverse claim within the meaning of the Uniform Commercial Code (the "UCC"), the Underwriters will acquire such Shares free and clear of any adverse claim (within the meaning of Section 8-302 of the UCC); and</w:t>
      </w:r>
    </w:p>
    <w:p>
      <w:pPr>
        <w:spacing w:after="0" w:line="189" w:lineRule="exact"/>
        <w:rPr>
          <w:rFonts w:ascii="Courier New" w:cs="Courier New" w:eastAsia="Courier New" w:hAnsi="Courier New"/>
          <w:sz w:val="16"/>
          <w:szCs w:val="16"/>
          <w:color w:val="auto"/>
        </w:rPr>
      </w:pPr>
    </w:p>
    <w:p>
      <w:pPr>
        <w:ind w:left="282" w:right="2599" w:firstLine="99"/>
        <w:spacing w:after="0" w:line="242" w:lineRule="auto"/>
        <w:tabs>
          <w:tab w:leader="none" w:pos="114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knowledge of such counsel, the execution and delivery of this Agreement and the Custody Agreement by or on behalf of the Selling Stockholder and the consummation of the transactions contemplated hereby and thereby will not conflict with, violate, result in a breach of or constitute a default under the terms or provisions of any agreement, indenture or other instrument to which the Selling Stockholder is a party or by which the Selling Stockholder or the assets or property of the Selling Stockholder is bound,</w:t>
      </w:r>
    </w:p>
    <w:p>
      <w:pPr>
        <w:spacing w:after="0" w:line="200" w:lineRule="exact"/>
        <w:rPr>
          <w:sz w:val="20"/>
          <w:szCs w:val="20"/>
          <w:color w:val="auto"/>
        </w:rPr>
      </w:pPr>
    </w:p>
    <w:p>
      <w:pPr>
        <w:spacing w:after="0" w:line="353"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21"/>
          </w:cols>
          <w:pgMar w:left="238" w:top="1034" w:right="1440" w:bottom="1440" w:gutter="0" w:footer="0" w:header="0"/>
        </w:sectPr>
      </w:pPr>
    </w:p>
    <w:bookmarkStart w:id="126" w:name="page127"/>
    <w:bookmarkEnd w:id="126"/>
    <w:p>
      <w:pPr>
        <w:ind w:left="280" w:right="2879"/>
        <w:spacing w:after="0"/>
        <w:rPr>
          <w:sz w:val="20"/>
          <w:szCs w:val="20"/>
          <w:color w:val="auto"/>
        </w:rPr>
      </w:pPr>
      <w:r>
        <w:rPr>
          <w:rFonts w:ascii="Courier New" w:cs="Courier New" w:eastAsia="Courier New" w:hAnsi="Courier New"/>
          <w:sz w:val="16"/>
          <w:szCs w:val="16"/>
          <w:color w:val="auto"/>
        </w:rPr>
        <w:t>or any court order or decree or any law, rule, or regulation applicable to the Selling Stockholder or to the property or assets of the Selling Stockholder.</w:t>
      </w:r>
    </w:p>
    <w:p>
      <w:pPr>
        <w:spacing w:after="0" w:line="190" w:lineRule="exact"/>
        <w:rPr>
          <w:sz w:val="20"/>
          <w:szCs w:val="20"/>
          <w:color w:val="auto"/>
        </w:rPr>
      </w:pPr>
    </w:p>
    <w:p>
      <w:pPr>
        <w:ind w:right="2779" w:firstLine="572"/>
        <w:spacing w:after="0" w:line="241" w:lineRule="auto"/>
        <w:rPr>
          <w:sz w:val="20"/>
          <w:szCs w:val="20"/>
          <w:color w:val="auto"/>
        </w:rPr>
      </w:pPr>
      <w:r>
        <w:rPr>
          <w:rFonts w:ascii="Courier New" w:cs="Courier New" w:eastAsia="Courier New" w:hAnsi="Courier New"/>
          <w:sz w:val="16"/>
          <w:szCs w:val="16"/>
          <w:color w:val="auto"/>
        </w:rPr>
        <w:t>In rendering their opinion as aforesaid, such counsel may rely as to factual matters (i) upon certificates of the Selling Stockholder and (ii) the representations of the Selling Stockholder contained herein and in the Custody Agreement.</w:t>
      </w:r>
    </w:p>
    <w:p>
      <w:pPr>
        <w:spacing w:after="0" w:line="189" w:lineRule="exact"/>
        <w:rPr>
          <w:sz w:val="20"/>
          <w:szCs w:val="20"/>
          <w:color w:val="auto"/>
        </w:rPr>
      </w:pPr>
    </w:p>
    <w:p>
      <w:pPr>
        <w:ind w:right="2599" w:firstLine="570"/>
        <w:spacing w:after="0" w:line="241" w:lineRule="auto"/>
        <w:tabs>
          <w:tab w:leader="none" w:pos="1144"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shall have received letters addressed to you and dated the date hereof and the Closing Date from Arthur Andersen LLP, Ernst &amp; Young LLP, Clifton, Gunderson &amp; Co. and KPMG Peat Marwick LLP, independent certified public accountants, substantially in the forms heretofore approved by you.</w:t>
      </w:r>
    </w:p>
    <w:p>
      <w:pPr>
        <w:spacing w:after="0" w:line="189" w:lineRule="exact"/>
        <w:rPr>
          <w:rFonts w:ascii="Courier New" w:cs="Courier New" w:eastAsia="Courier New" w:hAnsi="Courier New"/>
          <w:sz w:val="16"/>
          <w:szCs w:val="16"/>
          <w:color w:val="auto"/>
        </w:rPr>
      </w:pPr>
    </w:p>
    <w:p>
      <w:pPr>
        <w:ind w:right="2599" w:firstLine="570"/>
        <w:spacing w:after="0" w:line="242" w:lineRule="auto"/>
        <w:tabs>
          <w:tab w:leader="none" w:pos="1144"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No stop order suspending the effectiveness of the Registration Statement shall have been issued and no proceedings for that purpose shall have been instituted or, to the knowledge of the Company, contemplated by the Commission at or prior to the Closing Date and any request of the Commission for additional information (to be included in the registration statement or the prospectus or otherwise) shall have been complied with; (ii) there shall not have been any change in the capital stock of the Company nor any material increase in the short-term or long-term debt of the Company from that set forth or contemplated in the Registration Statement or the Prospectus (or any amendment or supplement thereto); (iii) there shall not have been, since the respective dates as of which information is given in the Registration Statement and the Prospectus (or any amendment or supplement thereto), except as may otherwise be stated in the Registration Statement and Prospectus (or any amendment or supplement thereto), any material adverse change in the condition (financial or other), business, prospects, properties, net worth or results of operations of the Company; (iv) the Company shall not have any liabilities or obligations, direct or contingent (whether or not in the ordinary course of business), that are material to the Company, other than those reflected in or contemplated by the Registration Statement or the Prospectus (or any amendment or supplement thereto); and (v) all the representations and warranties of the Company contained in this Agreement shall be true and correct in all material respects on and as of the date hereof and on and as of the Closing Date as if made on and as of the Closing Date, and you shall have received a certificate, dated the Closing Date and signed by the chief executive officer and the chief financial officer of the Company (or such other officers as are acceptable to you), as to the matters set forth in this Section 10(g) and in Section 10(h) hereof.</w:t>
      </w:r>
    </w:p>
    <w:p>
      <w:pPr>
        <w:spacing w:after="0" w:line="200" w:lineRule="exact"/>
        <w:rPr>
          <w:rFonts w:ascii="Courier New" w:cs="Courier New" w:eastAsia="Courier New" w:hAnsi="Courier New"/>
          <w:sz w:val="16"/>
          <w:szCs w:val="16"/>
          <w:color w:val="auto"/>
        </w:rPr>
      </w:pPr>
    </w:p>
    <w:p>
      <w:pPr>
        <w:ind w:right="2599" w:firstLine="570"/>
        <w:spacing w:after="0" w:line="241" w:lineRule="auto"/>
        <w:tabs>
          <w:tab w:leader="none" w:pos="1144"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not have failed at or prior to the Closing Date to have performed or complied with any of its agreements herein contained and required to be performed or complied with by it hereunder at or prior to the Closing Date.</w:t>
      </w:r>
    </w:p>
    <w:p>
      <w:pPr>
        <w:spacing w:after="0" w:line="189" w:lineRule="exact"/>
        <w:rPr>
          <w:rFonts w:ascii="Courier New" w:cs="Courier New" w:eastAsia="Courier New" w:hAnsi="Courier New"/>
          <w:sz w:val="16"/>
          <w:szCs w:val="16"/>
          <w:color w:val="auto"/>
        </w:rPr>
      </w:pPr>
    </w:p>
    <w:p>
      <w:pPr>
        <w:ind w:right="2879" w:firstLine="570"/>
        <w:spacing w:after="0" w:line="242" w:lineRule="auto"/>
        <w:tabs>
          <w:tab w:leader="none" w:pos="1144"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the representations and warranties of the Selling Stockholder contained in this Agreement shall be true and correct on and as of the date hereof and on and as of the Closing Date as if made on and as of the Closing Date, and you shall have received a certificate, dated the Closing Date and signed by or on behalf of the Selling Stockholder to the effect set forth in this Section 10(i) and in Section 10(j) hereof.</w:t>
      </w:r>
    </w:p>
    <w:p>
      <w:pPr>
        <w:spacing w:after="0" w:line="187" w:lineRule="exact"/>
        <w:rPr>
          <w:rFonts w:ascii="Courier New" w:cs="Courier New" w:eastAsia="Courier New" w:hAnsi="Courier New"/>
          <w:sz w:val="16"/>
          <w:szCs w:val="16"/>
          <w:color w:val="auto"/>
        </w:rPr>
      </w:pPr>
    </w:p>
    <w:p>
      <w:pPr>
        <w:ind w:right="2779" w:firstLine="570"/>
        <w:spacing w:after="0" w:line="241" w:lineRule="auto"/>
        <w:tabs>
          <w:tab w:leader="none" w:pos="1144"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Selling Stockholder shall not have failed at or prior to the Closing Date to have performed or complied with any of their agreements herein contained and required to be performed or complied with by such Selling Stockholder hereunder at or prior to the Closing Date.</w:t>
      </w:r>
    </w:p>
    <w:p>
      <w:pPr>
        <w:spacing w:after="0" w:line="200" w:lineRule="exact"/>
        <w:rPr>
          <w:sz w:val="20"/>
          <w:szCs w:val="20"/>
          <w:color w:val="auto"/>
        </w:rPr>
      </w:pPr>
    </w:p>
    <w:p>
      <w:pPr>
        <w:spacing w:after="0" w:line="35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1034" w:right="1440" w:bottom="1440" w:gutter="0" w:footer="0" w:header="0"/>
        </w:sectPr>
      </w:pPr>
    </w:p>
    <w:bookmarkStart w:id="127" w:name="page128"/>
    <w:bookmarkEnd w:id="127"/>
    <w:p>
      <w:pPr>
        <w:ind w:right="2679" w:firstLine="570"/>
        <w:spacing w:after="0" w:line="239" w:lineRule="auto"/>
        <w:tabs>
          <w:tab w:leader="none" w:pos="1049"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Shares shall have been listed or approved for listing subject to notice of issuance on the New York Stock Exchange.</w:t>
      </w:r>
    </w:p>
    <w:p>
      <w:pPr>
        <w:spacing w:after="0" w:line="189" w:lineRule="exact"/>
        <w:rPr>
          <w:rFonts w:ascii="Courier New" w:cs="Courier New" w:eastAsia="Courier New" w:hAnsi="Courier New"/>
          <w:sz w:val="16"/>
          <w:szCs w:val="16"/>
          <w:color w:val="auto"/>
        </w:rPr>
      </w:pPr>
    </w:p>
    <w:p>
      <w:pPr>
        <w:ind w:right="2679" w:firstLine="570"/>
        <w:spacing w:after="0" w:line="271" w:lineRule="auto"/>
        <w:tabs>
          <w:tab w:leader="none" w:pos="1049"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furnished or caused to be furnished to you such further certificates and documents as you shall have reasonably requested.</w:t>
      </w:r>
    </w:p>
    <w:p>
      <w:pPr>
        <w:spacing w:after="0" w:line="166" w:lineRule="exact"/>
        <w:rPr>
          <w:sz w:val="20"/>
          <w:szCs w:val="20"/>
          <w:color w:val="auto"/>
        </w:rPr>
      </w:pPr>
    </w:p>
    <w:p>
      <w:pPr>
        <w:ind w:right="2679" w:firstLine="572"/>
        <w:spacing w:after="0" w:line="241" w:lineRule="auto"/>
        <w:rPr>
          <w:sz w:val="20"/>
          <w:szCs w:val="20"/>
          <w:color w:val="auto"/>
        </w:rPr>
      </w:pPr>
      <w:r>
        <w:rPr>
          <w:rFonts w:ascii="Courier New" w:cs="Courier New" w:eastAsia="Courier New" w:hAnsi="Courier New"/>
          <w:sz w:val="16"/>
          <w:szCs w:val="16"/>
          <w:color w:val="auto"/>
        </w:rPr>
        <w:t>All such opinions, certificates, letters and other documents will be in compliance with the provisions hereof only if they are satisfactory in form and substance to you, as Representatives of the Underwriters, and counsel for the Underwriters.</w:t>
      </w:r>
    </w:p>
    <w:p>
      <w:pPr>
        <w:spacing w:after="0" w:line="189" w:lineRule="exact"/>
        <w:rPr>
          <w:sz w:val="20"/>
          <w:szCs w:val="20"/>
          <w:color w:val="auto"/>
        </w:rPr>
      </w:pPr>
    </w:p>
    <w:p>
      <w:pPr>
        <w:ind w:right="2599" w:firstLine="572"/>
        <w:spacing w:after="0" w:line="241" w:lineRule="auto"/>
        <w:rPr>
          <w:sz w:val="20"/>
          <w:szCs w:val="20"/>
          <w:color w:val="auto"/>
        </w:rPr>
      </w:pPr>
      <w:r>
        <w:rPr>
          <w:rFonts w:ascii="Courier New" w:cs="Courier New" w:eastAsia="Courier New" w:hAnsi="Courier New"/>
          <w:sz w:val="16"/>
          <w:szCs w:val="16"/>
          <w:color w:val="auto"/>
        </w:rPr>
        <w:t>Any certificate or document signed by any officer of the Company and delivered to you, as Representatives of the several Underwriters, or to counsel for the Underwriters, shall be deemed a representation or warranty by the Company to each Underwriter as to the statements made therein.</w:t>
      </w:r>
    </w:p>
    <w:p>
      <w:pPr>
        <w:spacing w:after="0" w:line="189" w:lineRule="exact"/>
        <w:rPr>
          <w:sz w:val="20"/>
          <w:szCs w:val="20"/>
          <w:color w:val="auto"/>
        </w:rPr>
      </w:pPr>
    </w:p>
    <w:p>
      <w:pPr>
        <w:ind w:right="2679" w:firstLine="572"/>
        <w:spacing w:after="0" w:line="242" w:lineRule="auto"/>
        <w:rPr>
          <w:sz w:val="20"/>
          <w:szCs w:val="20"/>
          <w:color w:val="auto"/>
        </w:rPr>
      </w:pPr>
      <w:r>
        <w:rPr>
          <w:rFonts w:ascii="Courier New" w:cs="Courier New" w:eastAsia="Courier New" w:hAnsi="Courier New"/>
          <w:sz w:val="16"/>
          <w:szCs w:val="16"/>
          <w:color w:val="auto"/>
        </w:rPr>
        <w:t>The several obligations of the Underwriters to purchase Additional Shares hereunder are subject to the satisfaction on and as of any Option Closing Date of the conditions set forth in this Section 10, except that, if any Option Closing Date is other than the Closing Date, the certificates, opinions and letters referred to in paragraphs (c) through (g) and paragraph (j) shall be dated the Option Closing Date in question and the opinions called for by paragraphs (c), (d) and (e) shall be revised to reflect the sale of Additional Shares.</w:t>
      </w:r>
    </w:p>
    <w:p>
      <w:pPr>
        <w:spacing w:after="0" w:line="189" w:lineRule="exact"/>
        <w:rPr>
          <w:sz w:val="20"/>
          <w:szCs w:val="20"/>
          <w:color w:val="auto"/>
        </w:rPr>
      </w:pPr>
    </w:p>
    <w:p>
      <w:pPr>
        <w:ind w:right="2599" w:firstLine="284"/>
        <w:spacing w:after="0" w:line="242" w:lineRule="auto"/>
        <w:tabs>
          <w:tab w:leader="none" w:pos="858"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Expenses. The Company agrees to pay the following costs and expenses and all other costs and expenses incident to the performance by it of its obligations hereunder: (i) the preparation, printing or reproduction, and filing with the Commission of the registration statement (including financial statements and exhibits thereto), each Prepricing Prospectus, the Prospectus, and each amendment or supplement to any of them; (ii) the printing (or reproduction) and delivery (including postage, air freight charges and charges for counting and packaging) of such copies of the registration statement, each Prepricing Prospectus, the Prospectus, and all amendments or supplements to any of them as may be reasonably requested for use in connection with the offering and sale of the Shares; (iii) the preparation, printing, authentication, issuance and delivery of certificates for the Shares, including any stamp taxes in connection with the offering of the Shares; (iv) the printing (or reproduction) and delivery of this Agreement, the preliminary and supplemental Blue Sky Memoranda and all other agreements or documents printed (or reproduced) and delivered in connection with the offering of the Shares; (v) the listing of the Shares on the New York Stock Exchange; (vi) the registration or qualification of the Shares for offer and sale under the securities or Blue Sky laws of the several states as provided in Section 5(g) hereof (including the reasonable fees, expenses and disbursements of counsel for the Underwriters relating to the preparation, printing or reproduction, and delivery of the preliminary and supplemental Blue Sky Memoranda and such registration and qualification); (vii) the filing fees and the reasonable fees and expenses of counsel for the Underwriters in connection with any filings required to be made with the National Association of Securities Dealers, Inc. in connection with the offering; (viii) the transportation and other expenses incurred by or on behalf of representatives of the Company in connection with presentations to prospective purchasers of the Shares; (ix) the fees and expenses of the Company's accountants and the fees and expenses of counsel (including local and special counsel) for the Company; and (x) the performance by the Company of its other obligations under this Agreement.</w:t>
      </w:r>
    </w:p>
    <w:p>
      <w:pPr>
        <w:spacing w:after="0" w:line="200" w:lineRule="exact"/>
        <w:rPr>
          <w:sz w:val="20"/>
          <w:szCs w:val="20"/>
          <w:color w:val="auto"/>
        </w:rPr>
      </w:pPr>
    </w:p>
    <w:p>
      <w:pPr>
        <w:spacing w:after="0" w:line="36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1034" w:right="1440" w:bottom="1440" w:gutter="0" w:footer="0" w:header="0"/>
        </w:sectPr>
      </w:pPr>
    </w:p>
    <w:bookmarkStart w:id="128" w:name="page129"/>
    <w:bookmarkEnd w:id="128"/>
    <w:p>
      <w:pPr>
        <w:ind w:left="862" w:hanging="576"/>
        <w:spacing w:after="0"/>
        <w:tabs>
          <w:tab w:leader="none" w:pos="862" w:val="left"/>
        </w:tabs>
        <w:numPr>
          <w:ilvl w:val="1"/>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Date of Agreement.  This Agreement shall become effective:</w:t>
      </w:r>
    </w:p>
    <w:p>
      <w:pPr>
        <w:spacing w:after="0" w:line="4" w:lineRule="exact"/>
        <w:rPr>
          <w:rFonts w:ascii="Courier New" w:cs="Courier New" w:eastAsia="Courier New" w:hAnsi="Courier New"/>
          <w:sz w:val="16"/>
          <w:szCs w:val="16"/>
          <w:color w:val="auto"/>
        </w:rPr>
      </w:pPr>
    </w:p>
    <w:p>
      <w:pPr>
        <w:ind w:left="2" w:right="2599" w:hanging="2"/>
        <w:spacing w:after="0" w:line="242" w:lineRule="auto"/>
        <w:tabs>
          <w:tab w:leader="none" w:pos="384"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execution and delivery hereof by the parties hereto; or (ii) if, at the time this Agreement is executed and delivered, it is necessary for the registration statement or a post-effective amendment thereto or an Abbreviated Registration Statement to be declared or became effective before the offering of the Shares may commence, when notification of the effectiveness of the registration statement or such post-effective amendment has been released by the Commission or such Abbreviated Registration Statement has, pursuant to the provisions of Rule 462 under the Act, become effective. Until such time as this Agreement shall have become effective, it may be terminated by the Company, by notifying you, or by you, as Representatives of the several Underwriters, by notifying the Company.</w:t>
      </w:r>
    </w:p>
    <w:p>
      <w:pPr>
        <w:spacing w:after="0" w:line="191" w:lineRule="exact"/>
        <w:rPr>
          <w:sz w:val="20"/>
          <w:szCs w:val="20"/>
          <w:color w:val="auto"/>
        </w:rPr>
      </w:pPr>
    </w:p>
    <w:p>
      <w:pPr>
        <w:ind w:left="2" w:right="2599" w:firstLine="572"/>
        <w:spacing w:after="0" w:line="259" w:lineRule="auto"/>
        <w:rPr>
          <w:sz w:val="20"/>
          <w:szCs w:val="20"/>
          <w:color w:val="auto"/>
        </w:rPr>
      </w:pPr>
      <w:r>
        <w:rPr>
          <w:rFonts w:ascii="Courier New" w:cs="Courier New" w:eastAsia="Courier New" w:hAnsi="Courier New"/>
          <w:sz w:val="15"/>
          <w:szCs w:val="15"/>
          <w:color w:val="auto"/>
        </w:rPr>
        <w:t>If any one or more of the Underwriters shall fail or refuse to purchase Shares which it or they have agreed to purchase hereunder, and the aggregate number of Shares which such defaulting Underwriter or Underwriters agreed but failed or refused to purchase is not more than one-tenth of the aggregate number of Shares which the Underwriters are obligated to purchase on the Closing Date, each non-defaulting Underwriter shall be obligated, severally, in the proportion which the number of Firm Shares set forth opposite its name in Schedule I hereto bears to the aggregate number of Firm Shares set forth opposite the names of all non-defaulting Underwriters or in such other proportion as you may specify in accordance with Section 20 of the Master Agreement Among Underwriters of Smith Barney, Harris Upham &amp; Co. Incorporated (predecessor of Smith Barney Inc.), to purchase the Shares which such defaulting Underwriter or Underwriters agreed, but failed or refused, to purchase. If any Underwriter or Underwriters shall fail or refuse to purchase Shares which it or they are obligated to purchase on the Closing Date and the aggregate number of Shares with respect to which such default occurs is more than one-tenth of the aggregate number of Shares which the Underwriters are obligated to purchase on the Closing Date and arrangements satisfactory to you and the Company for the purchase of such Shares by one or more non-defaulting Underwriters or other party or parties approved by you and the Company are not made within 36 hours after such default, this Agreement will terminate without liability on the part of any non-defaulting Underwriter or the Company. In any such case which does not result in termination of this Agreement, either you or the Company shall have the right to postpone the Closing Date, but in no event for longer than seven days, in order that the required changes, if any, in the Registration Statement and the Prospectus or any other documents or arrangements may be effected. Any action taken under this paragraph shall not relieve any defaulting Underwriter from liability in respect of any such default of any such Underwriter under this Agreement. The term "Underwriter" as used in this Agreement includes, for all purposes of this Agreement, any party not listed in Schedule I hereto who, with your approval and the approval of the Company, purchases Shares which a defaulting Underwriter agreed, but failed or refused, to purchase.</w:t>
      </w:r>
    </w:p>
    <w:p>
      <w:pPr>
        <w:spacing w:after="0" w:line="368" w:lineRule="exact"/>
        <w:rPr>
          <w:sz w:val="20"/>
          <w:szCs w:val="20"/>
          <w:color w:val="auto"/>
        </w:rPr>
      </w:pPr>
    </w:p>
    <w:p>
      <w:pPr>
        <w:ind w:left="2" w:right="2979" w:firstLine="572"/>
        <w:spacing w:after="0" w:line="239" w:lineRule="auto"/>
        <w:rPr>
          <w:sz w:val="20"/>
          <w:szCs w:val="20"/>
          <w:color w:val="auto"/>
        </w:rPr>
      </w:pPr>
      <w:r>
        <w:rPr>
          <w:rFonts w:ascii="Courier New" w:cs="Courier New" w:eastAsia="Courier New" w:hAnsi="Courier New"/>
          <w:sz w:val="16"/>
          <w:szCs w:val="16"/>
          <w:color w:val="auto"/>
        </w:rPr>
        <w:t>Any notice under this Section 12 may be given by telegram, telecopy or telephone but shall be subsequently confirmed by letter.</w:t>
      </w:r>
    </w:p>
    <w:p>
      <w:pPr>
        <w:spacing w:after="0" w:line="189" w:lineRule="exact"/>
        <w:rPr>
          <w:sz w:val="20"/>
          <w:szCs w:val="20"/>
          <w:color w:val="auto"/>
        </w:rPr>
      </w:pPr>
    </w:p>
    <w:p>
      <w:pPr>
        <w:ind w:left="2" w:right="2679" w:firstLine="284"/>
        <w:spacing w:after="0" w:line="259" w:lineRule="auto"/>
        <w:tabs>
          <w:tab w:leader="none" w:pos="861" w:val="left"/>
        </w:tabs>
        <w:numPr>
          <w:ilvl w:val="1"/>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Agreement. This Agreement shall be subject to termination in your absolute discretion, without liability on the part of any Underwriter to the Company, by notice to the Company and the Attorneys-in-Fact, if prior to the Closing Date or any Option Closing Date (if different from the Closing Date and then only as to the Additional Shares), as the case may be,</w:t>
      </w:r>
    </w:p>
    <w:p>
      <w:pPr>
        <w:ind w:left="2" w:right="2599" w:hanging="2"/>
        <w:spacing w:after="0" w:line="241" w:lineRule="auto"/>
        <w:tabs>
          <w:tab w:leader="none" w:pos="384"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trading in securities generally on the New York Stock Exchange, the American Stock Exchange or the Nasdaq National Market shall have been suspended or materially limited, (ii) a general moratorium on commercial banking activities in New York shall have been declared by</w:t>
      </w:r>
    </w:p>
    <w:p>
      <w:pPr>
        <w:spacing w:after="0" w:line="200" w:lineRule="exact"/>
        <w:rPr>
          <w:sz w:val="20"/>
          <w:szCs w:val="20"/>
          <w:color w:val="auto"/>
        </w:rPr>
      </w:pPr>
    </w:p>
    <w:p>
      <w:pPr>
        <w:spacing w:after="0" w:line="353"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21"/>
          </w:cols>
          <w:pgMar w:left="238" w:top="1031" w:right="1440" w:bottom="1440" w:gutter="0" w:footer="0" w:header="0"/>
        </w:sectPr>
      </w:pPr>
    </w:p>
    <w:bookmarkStart w:id="129" w:name="page130"/>
    <w:bookmarkEnd w:id="129"/>
    <w:p>
      <w:pPr>
        <w:ind w:right="2599"/>
        <w:spacing w:after="0" w:line="242" w:lineRule="auto"/>
        <w:rPr>
          <w:sz w:val="20"/>
          <w:szCs w:val="20"/>
          <w:color w:val="auto"/>
        </w:rPr>
      </w:pPr>
      <w:r>
        <w:rPr>
          <w:rFonts w:ascii="Courier New" w:cs="Courier New" w:eastAsia="Courier New" w:hAnsi="Courier New"/>
          <w:sz w:val="16"/>
          <w:szCs w:val="16"/>
          <w:color w:val="auto"/>
        </w:rPr>
        <w:t>either federal or state authorities, or (iii) there shall have occurred any outbreak or escalation of hostilities or other international or domestic calamity, crisis or change in political, financial or economic conditions, the effect of which on the financial markets of the United States is such as to make it, in your judgment, impracticable or inadvisable to commence or continue the offering of the Shares at the offering price to the public set forth on the cover page of the Prospectus or to enforce contracts for the resale of the Shares by the Underwriters. Notice of such termination may be given by telegram, telecopy or telephone and shall be subsequently confirmed by letter.</w:t>
      </w:r>
    </w:p>
    <w:p>
      <w:pPr>
        <w:spacing w:after="0" w:line="189" w:lineRule="exact"/>
        <w:rPr>
          <w:sz w:val="20"/>
          <w:szCs w:val="20"/>
          <w:color w:val="auto"/>
        </w:rPr>
      </w:pPr>
    </w:p>
    <w:p>
      <w:pPr>
        <w:ind w:right="2599" w:firstLine="284"/>
        <w:spacing w:after="0" w:line="242" w:lineRule="auto"/>
        <w:tabs>
          <w:tab w:leader="none" w:pos="858"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Information Furnished by the Underwriters. The statements set forth in the last paragraph on the cover page, the stabilization legend on the inside front cover page and the statements in the first and third paragraphs under the caption "Underwriting" in any Prepricing Prospectus and in the Prospectus constitute the only information furnished by or on behalf of the Underwriters through you as such information is referred to in Sections 7(b) and 9 hereof.</w:t>
      </w:r>
    </w:p>
    <w:p>
      <w:pPr>
        <w:spacing w:after="0" w:line="187" w:lineRule="exact"/>
        <w:rPr>
          <w:rFonts w:ascii="Courier New" w:cs="Courier New" w:eastAsia="Courier New" w:hAnsi="Courier New"/>
          <w:sz w:val="16"/>
          <w:szCs w:val="16"/>
          <w:color w:val="auto"/>
        </w:rPr>
      </w:pPr>
    </w:p>
    <w:p>
      <w:pPr>
        <w:ind w:right="2599" w:firstLine="284"/>
        <w:spacing w:after="0" w:line="242" w:lineRule="auto"/>
        <w:tabs>
          <w:tab w:leader="none" w:pos="858"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Miscellaneous. Except as otherwise provided in Sections 5, 12 and 13 hereof, notice given pursuant to any provision of this Agreement shall be in writing and shall be delivered (i) if to the Company, at the office of the Company at 367 South Gulph Road, King of Prussia, Pennsylvania 19406, Attention: Alan B. Miller, Chairman of the Board, President and Chief Executive Officer, with a copy to Fulbright &amp; Jaworski L.L.P., 666 Fifth Avenue, New York, New York 10103, Attention: Anthony Pantaleoni, Esq.; or (ii) if to you, as Representatives of the several Underwriters, care of Smith Barney Inc., 388 Greenwich Street, New York, New York 10013, Attention: Manager, Investment Banking Division, with a copy to Dewey Ballantine, 1301 Avenue of the Americas, New York, New York 10019, Attention: Frederick W. Kanner, Esq.</w:t>
      </w:r>
    </w:p>
    <w:p>
      <w:pPr>
        <w:spacing w:after="0" w:line="191"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This Agreement has been and is made solely for the benefit of the several Underwriters, the Company, its directors, its officers who sign the Registration Statement and the controlling persons referred to in Section 9 hereof and, to the extent provided herein, their respective successors and assigns, and no other person shall acquire or have any right under or by virtue of this Agreement. Neither the term "successor" nor the term "successors and assigns" as used in this Agreement shall include a purchaser from any Underwriter of any of the Shares in his status as such purchaser.</w:t>
      </w:r>
    </w:p>
    <w:p>
      <w:pPr>
        <w:spacing w:after="0" w:line="189" w:lineRule="exact"/>
        <w:rPr>
          <w:sz w:val="20"/>
          <w:szCs w:val="20"/>
          <w:color w:val="auto"/>
        </w:rPr>
      </w:pPr>
    </w:p>
    <w:p>
      <w:pPr>
        <w:ind w:right="2679" w:firstLine="284"/>
        <w:spacing w:after="0"/>
        <w:tabs>
          <w:tab w:leader="none" w:pos="858"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Applicable Law; Counterparts. This Agreement shall be governed by and construed in accordance with the laws of the State of New York applicable to contracts made and to be performed within the State of New York.</w:t>
      </w:r>
    </w:p>
    <w:p>
      <w:pPr>
        <w:spacing w:after="0" w:line="190" w:lineRule="exact"/>
        <w:rPr>
          <w:sz w:val="20"/>
          <w:szCs w:val="20"/>
          <w:color w:val="auto"/>
        </w:rPr>
      </w:pPr>
    </w:p>
    <w:p>
      <w:pPr>
        <w:ind w:right="3059" w:firstLine="572"/>
        <w:spacing w:after="0" w:line="263" w:lineRule="auto"/>
        <w:rPr>
          <w:sz w:val="20"/>
          <w:szCs w:val="20"/>
          <w:color w:val="auto"/>
        </w:rPr>
      </w:pPr>
      <w:r>
        <w:rPr>
          <w:rFonts w:ascii="Courier New" w:cs="Courier New" w:eastAsia="Courier New" w:hAnsi="Courier New"/>
          <w:sz w:val="15"/>
          <w:szCs w:val="15"/>
          <w:color w:val="auto"/>
        </w:rPr>
        <w:t>This Agreement may be signed in various counterparts which together constitute one and the same instrument. If signed in counterparts, this Agreement shall not become effective unless at least one counterpart hereof shall have been executed and delivered on behalf of each party hereto.</w:t>
      </w:r>
    </w:p>
    <w:p>
      <w:pPr>
        <w:spacing w:after="0" w:line="200" w:lineRule="exact"/>
        <w:rPr>
          <w:sz w:val="20"/>
          <w:szCs w:val="20"/>
          <w:color w:val="auto"/>
        </w:rPr>
      </w:pPr>
    </w:p>
    <w:p>
      <w:pPr>
        <w:spacing w:after="0" w:line="33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1034" w:right="1440" w:bottom="1440" w:gutter="0" w:footer="0" w:header="0"/>
        </w:sectPr>
      </w:pPr>
    </w:p>
    <w:bookmarkStart w:id="130" w:name="page131"/>
    <w:bookmarkEnd w:id="130"/>
    <w:p>
      <w:pPr>
        <w:ind w:right="3159" w:firstLine="572"/>
        <w:spacing w:after="0" w:line="239" w:lineRule="auto"/>
        <w:rPr>
          <w:sz w:val="20"/>
          <w:szCs w:val="20"/>
          <w:color w:val="auto"/>
        </w:rPr>
      </w:pPr>
      <w:r>
        <w:rPr>
          <w:rFonts w:ascii="Courier New" w:cs="Courier New" w:eastAsia="Courier New" w:hAnsi="Courier New"/>
          <w:sz w:val="16"/>
          <w:szCs w:val="16"/>
          <w:color w:val="auto"/>
        </w:rPr>
        <w:t>Please confirm that the foregoing correctly sets forth the agreement between the Company and the several Underwriters.</w:t>
      </w:r>
    </w:p>
    <w:p>
      <w:pPr>
        <w:spacing w:after="0" w:line="370"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Very truly yours,</w:t>
      </w:r>
    </w:p>
    <w:p>
      <w:pPr>
        <w:spacing w:after="0" w:line="186"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UNIVERSAL HEALTH SERVICES, INC.</w:t>
      </w:r>
    </w:p>
    <w:p>
      <w:pPr>
        <w:spacing w:after="0" w:line="200" w:lineRule="exact"/>
        <w:rPr>
          <w:sz w:val="20"/>
          <w:szCs w:val="20"/>
          <w:color w:val="auto"/>
        </w:rPr>
      </w:pPr>
    </w:p>
    <w:p>
      <w:pPr>
        <w:spacing w:after="0" w:line="352"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By:</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61"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ALLAN B. MILLER</w:t>
      </w:r>
    </w:p>
    <w:p>
      <w:pPr>
        <w:spacing w:after="0" w:line="369"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By:</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Attorney-in-Fact</w:t>
      </w: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SMITH BARNEY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BEAR STEARNS &amp; CO.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DILLON, READ &amp; CO.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DONALDSON, LUFKIN &amp; JENRETTE</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SECURITIES CORPORATION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J.P. MORGAN &amp; CO.</w:t>
      </w:r>
    </w:p>
    <w:p>
      <w:pPr>
        <w:spacing w:after="0" w:line="186"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As Representatives of the Several Underwriters</w:t>
      </w:r>
    </w:p>
    <w:p>
      <w:pPr>
        <w:spacing w:after="0" w:line="186"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5"/>
          <w:szCs w:val="15"/>
          <w:color w:val="auto"/>
        </w:rPr>
        <w:t>SMITH BARNEY INC.</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Managing Director</w:t>
      </w: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Confirmed as of the date first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above mentioned on behalf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themselves and the other several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Underwriters named in Schedule I</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hereto.</w:t>
      </w:r>
    </w:p>
    <w:p>
      <w:pPr>
        <w:spacing w:after="0" w:line="200" w:lineRule="exact"/>
        <w:rPr>
          <w:sz w:val="20"/>
          <w:szCs w:val="20"/>
          <w:color w:val="auto"/>
        </w:rPr>
      </w:pPr>
    </w:p>
    <w:p>
      <w:pPr>
        <w:spacing w:after="0" w:line="35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1034" w:right="1440" w:bottom="1440" w:gutter="0" w:footer="0" w:header="0"/>
        </w:sectPr>
      </w:pPr>
    </w:p>
    <w:bookmarkStart w:id="131" w:name="page132"/>
    <w:bookmarkEnd w:id="131"/>
    <w:p>
      <w:pPr>
        <w:ind w:left="3340"/>
        <w:spacing w:after="0"/>
        <w:rPr>
          <w:sz w:val="20"/>
          <w:szCs w:val="20"/>
          <w:color w:val="auto"/>
        </w:rPr>
      </w:pPr>
      <w:r>
        <w:rPr>
          <w:rFonts w:ascii="Courier New" w:cs="Courier New" w:eastAsia="Courier New" w:hAnsi="Courier New"/>
          <w:sz w:val="16"/>
          <w:szCs w:val="16"/>
          <w:color w:val="auto"/>
        </w:rPr>
        <w:t>SCHEDULE I</w:t>
      </w:r>
    </w:p>
    <w:p>
      <w:pPr>
        <w:spacing w:after="0" w:line="200" w:lineRule="exact"/>
        <w:rPr>
          <w:sz w:val="20"/>
          <w:szCs w:val="20"/>
          <w:color w:val="auto"/>
        </w:rPr>
      </w:pPr>
    </w:p>
    <w:p>
      <w:pPr>
        <w:spacing w:after="0" w:line="355"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UNIVERSAL HEALTH SERVICES, INC.</w:t>
      </w:r>
    </w:p>
    <w:p>
      <w:pPr>
        <w:sectPr>
          <w:pgSz w:w="11900" w:h="16838" w:orient="portrait"/>
          <w:cols w:equalWidth="0" w:num="1">
            <w:col w:w="10219"/>
          </w:cols>
          <w:pgMar w:left="240" w:top="10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Underwriter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Number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Firm Shares</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sectPr>
          <w:pgSz w:w="11900" w:h="16838" w:orient="portrait"/>
          <w:cols w:equalWidth="0" w:num="2">
            <w:col w:w="4340" w:space="720"/>
            <w:col w:w="5159"/>
          </w:cols>
          <w:pgMar w:left="240" w:top="1031"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Smith Barney Inc. . . . . . . . . . . . . . . .</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Bear Stearns &amp; Co. Inc. . . . . . . . . . . . .</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Dillon, Read &amp; Co. Inc. . . . . . . . . . . . .</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Donaldson, Lufkin &amp; Jenrette</w:t>
      </w:r>
    </w:p>
    <w:p>
      <w:pPr>
        <w:spacing w:after="0" w:line="2" w:lineRule="exact"/>
        <w:rPr>
          <w:sz w:val="20"/>
          <w:szCs w:val="20"/>
          <w:color w:val="auto"/>
        </w:rPr>
      </w:pPr>
    </w:p>
    <w:p>
      <w:pPr>
        <w:ind w:left="180"/>
        <w:spacing w:after="0"/>
        <w:tabs>
          <w:tab w:leader="none" w:pos="2460" w:val="left"/>
        </w:tabs>
        <w:rPr>
          <w:sz w:val="20"/>
          <w:szCs w:val="20"/>
          <w:color w:val="auto"/>
        </w:rPr>
      </w:pPr>
      <w:r>
        <w:rPr>
          <w:rFonts w:ascii="Courier New" w:cs="Courier New" w:eastAsia="Courier New" w:hAnsi="Courier New"/>
          <w:sz w:val="16"/>
          <w:szCs w:val="16"/>
          <w:color w:val="auto"/>
        </w:rPr>
        <w:t>Securities Corporation</w:t>
      </w:r>
      <w:r>
        <w:rPr>
          <w:sz w:val="20"/>
          <w:szCs w:val="20"/>
          <w:color w:val="auto"/>
        </w:rPr>
        <w:tab/>
      </w:r>
      <w:r>
        <w:rPr>
          <w:rFonts w:ascii="Courier New" w:cs="Courier New" w:eastAsia="Courier New" w:hAnsi="Courier New"/>
          <w:sz w:val="15"/>
          <w:szCs w:val="15"/>
          <w:color w:val="auto"/>
        </w:rPr>
        <w:t>. . . . . . . . . . .</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J.P. Morgan &amp; Co. . . . . . . . . . . . . . . .</w:t>
      </w:r>
    </w:p>
    <w:p>
      <w:pPr>
        <w:spacing w:after="0" w:line="200" w:lineRule="exact"/>
        <w:rPr>
          <w:sz w:val="20"/>
          <w:szCs w:val="20"/>
          <w:color w:val="auto"/>
        </w:rPr>
      </w:pPr>
    </w:p>
    <w:p>
      <w:pPr>
        <w:spacing w:after="0" w:line="355" w:lineRule="exact"/>
        <w:rPr>
          <w:sz w:val="20"/>
          <w:szCs w:val="20"/>
          <w:color w:val="auto"/>
        </w:rPr>
      </w:pPr>
    </w:p>
    <w:p>
      <w:pPr>
        <w:ind w:left="5060"/>
        <w:spacing w:after="0"/>
        <w:rPr>
          <w:sz w:val="20"/>
          <w:szCs w:val="20"/>
          <w:color w:val="auto"/>
        </w:rPr>
      </w:pPr>
      <w:r>
        <w:rPr>
          <w:rFonts w:ascii="Courier New" w:cs="Courier New" w:eastAsia="Courier New" w:hAnsi="Courier New"/>
          <w:sz w:val="15"/>
          <w:szCs w:val="15"/>
          <w:color w:val="auto"/>
        </w:rPr>
        <w:t>__________</w:t>
      </w:r>
    </w:p>
    <w:p>
      <w:pPr>
        <w:spacing w:after="0" w:line="11" w:lineRule="exact"/>
        <w:rPr>
          <w:sz w:val="20"/>
          <w:szCs w:val="20"/>
          <w:color w:val="auto"/>
        </w:rPr>
      </w:pPr>
    </w:p>
    <w:p>
      <w:pPr>
        <w:ind w:left="3340"/>
        <w:spacing w:after="0"/>
        <w:tabs>
          <w:tab w:leader="none" w:pos="3980" w:val="left"/>
        </w:tabs>
        <w:rPr>
          <w:sz w:val="20"/>
          <w:szCs w:val="20"/>
          <w:color w:val="auto"/>
        </w:rPr>
      </w:pPr>
      <w:r>
        <w:rPr>
          <w:rFonts w:ascii="Courier New" w:cs="Courier New" w:eastAsia="Courier New" w:hAnsi="Courier New"/>
          <w:sz w:val="16"/>
          <w:szCs w:val="16"/>
          <w:color w:val="auto"/>
        </w:rPr>
        <w:t>Total</w:t>
        <w:tab/>
        <w:t>. . .</w:t>
      </w:r>
    </w:p>
    <w:p>
      <w:pPr>
        <w:spacing w:after="0" w:line="2"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4,400,000</w:t>
      </w:r>
    </w:p>
    <w:p>
      <w:pPr>
        <w:spacing w:after="0" w:line="5" w:lineRule="exact"/>
        <w:rPr>
          <w:sz w:val="20"/>
          <w:szCs w:val="20"/>
          <w:color w:val="auto"/>
        </w:rPr>
      </w:pPr>
    </w:p>
    <w:p>
      <w:pPr>
        <w:ind w:left="496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1031" w:right="1440" w:bottom="1440" w:gutter="0" w:footer="0" w:header="0"/>
          <w:type w:val="continuous"/>
        </w:sectPr>
      </w:pPr>
    </w:p>
    <w:bookmarkStart w:id="132" w:name="page133"/>
    <w:bookmarkEnd w:id="132"/>
    <w:p>
      <w:pPr>
        <w:jc w:val="right"/>
        <w:ind w:right="2599"/>
        <w:spacing w:after="0"/>
        <w:rPr>
          <w:sz w:val="20"/>
          <w:szCs w:val="20"/>
          <w:color w:val="auto"/>
        </w:rPr>
      </w:pPr>
      <w:r>
        <w:rPr>
          <w:rFonts w:ascii="Courier New" w:cs="Courier New" w:eastAsia="Courier New" w:hAnsi="Courier New"/>
          <w:sz w:val="16"/>
          <w:szCs w:val="16"/>
          <w:color w:val="auto"/>
        </w:rPr>
        <w:t>EXHIBIT 23.2</w:t>
      </w:r>
    </w:p>
    <w:p>
      <w:pPr>
        <w:spacing w:after="0" w:line="186"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CONSENT OF INDEPENDENT CERTIFIED PUBLIC ACCOUNTANTS</w:t>
      </w:r>
    </w:p>
    <w:p>
      <w:pPr>
        <w:spacing w:after="0" w:line="188" w:lineRule="exact"/>
        <w:rPr>
          <w:sz w:val="20"/>
          <w:szCs w:val="20"/>
          <w:color w:val="auto"/>
        </w:rPr>
      </w:pPr>
    </w:p>
    <w:p>
      <w:pPr>
        <w:ind w:right="2599" w:firstLine="382"/>
        <w:spacing w:after="0" w:line="260" w:lineRule="auto"/>
        <w:rPr>
          <w:sz w:val="20"/>
          <w:szCs w:val="20"/>
          <w:color w:val="auto"/>
        </w:rPr>
      </w:pPr>
      <w:r>
        <w:rPr>
          <w:rFonts w:ascii="Courier New" w:cs="Courier New" w:eastAsia="Courier New" w:hAnsi="Courier New"/>
          <w:sz w:val="15"/>
          <w:szCs w:val="15"/>
          <w:color w:val="auto"/>
        </w:rPr>
        <w:t>We consent to the reference to our firm under the caption "Experts" in Amendment No. 1 to the Registration Statement (Form S-3) and related Prospectus of Universal Health Services, Inc. for the registration of 4,400,000 shares of Universal Health Services, Inc.'s Class B common stock, and to the incorporation by reference therein of our report dated October 24, 1994, with respect to the combined financial statements of Manatee Hospitals and Health Systems, Inc. included in Universal Health Services, Inc.'s Registration Statement (Form S-3, Registration No. 33-60287) filed with the Securities and Exchange Commission.</w:t>
      </w:r>
    </w:p>
    <w:p>
      <w:pPr>
        <w:spacing w:after="0" w:line="175"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ERNST &amp; YOUNG LLP</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Tampa, Florida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30, 1996</w:t>
      </w:r>
    </w:p>
    <w:sectPr>
      <w:pgSz w:w="11900" w:h="16838" w:orient="portrait"/>
      <w:cols w:equalWidth="0" w:num="1">
        <w:col w:w="10219"/>
      </w:cols>
      <w:pgMar w:left="240" w:top="87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1)"/>
      <w:numFmt w:val="decimal"/>
      <w:start w:val="1"/>
    </w:lvl>
  </w:abstractNum>
  <w:abstractNum w:abstractNumId="3">
    <w:nsid w:val="2A487CB0"/>
    <w:multiLevelType w:val="hybridMultilevel"/>
    <w:lvl w:ilvl="0">
      <w:lvlJc w:val="left"/>
      <w:lvlText w:val="-"/>
      <w:numFmt w:val="bullet"/>
      <w:start w:val="1"/>
    </w:lvl>
  </w:abstractNum>
  <w:abstractNum w:abstractNumId="4">
    <w:nsid w:val="1D4ED43B"/>
    <w:multiLevelType w:val="hybridMultilevel"/>
    <w:lvl w:ilvl="0">
      <w:lvlJc w:val="left"/>
      <w:lvlText w:val="(%1)"/>
      <w:numFmt w:val="decimal"/>
      <w:start w:val="1"/>
    </w:lvl>
  </w:abstractNum>
  <w:abstractNum w:abstractNumId="5">
    <w:nsid w:val="725A06FB"/>
    <w:multiLevelType w:val="hybridMultilevel"/>
    <w:lvl w:ilvl="0">
      <w:lvlJc w:val="left"/>
      <w:lvlText w:val="(%1)"/>
      <w:numFmt w:val="decimal"/>
      <w:start w:val="1"/>
    </w:lvl>
  </w:abstractNum>
  <w:abstractNum w:abstractNumId="6">
    <w:nsid w:val="2CD89A32"/>
    <w:multiLevelType w:val="hybridMultilevel"/>
    <w:lvl w:ilvl="0">
      <w:lvlJc w:val="left"/>
      <w:lvlText w:val="(%1)"/>
      <w:numFmt w:val="decimal"/>
      <w:start w:val="1"/>
    </w:lvl>
  </w:abstractNum>
  <w:abstractNum w:abstractNumId="7">
    <w:nsid w:val="57E4CCAF"/>
    <w:multiLevelType w:val="hybridMultilevel"/>
    <w:lvl w:ilvl="0">
      <w:lvlJc w:val="left"/>
      <w:lvlText w:val="(%1)"/>
      <w:numFmt w:val="decimal"/>
      <w:start w:val="1"/>
    </w:lvl>
  </w:abstractNum>
  <w:abstractNum w:abstractNumId="8">
    <w:nsid w:val="7A6D8D3C"/>
    <w:multiLevelType w:val="hybridMultilevel"/>
    <w:lvl w:ilvl="0">
      <w:lvlJc w:val="left"/>
      <w:lvlText w:val="(%1)"/>
      <w:numFmt w:val="decimal"/>
      <w:start w:val="1"/>
    </w:lvl>
  </w:abstractNum>
  <w:abstractNum w:abstractNumId="9">
    <w:nsid w:val="4B588F54"/>
    <w:multiLevelType w:val="hybridMultilevel"/>
    <w:lvl w:ilvl="0">
      <w:lvlJc w:val="left"/>
      <w:lvlText w:val="-"/>
      <w:numFmt w:val="bullet"/>
      <w:start w:val="1"/>
    </w:lvl>
    <w:lvl w:ilvl="1">
      <w:lvlJc w:val="left"/>
      <w:lvlText w:val="(%2)"/>
      <w:numFmt w:val="decimal"/>
      <w:start w:val="1"/>
    </w:lvl>
  </w:abstractNum>
  <w:abstractNum w:abstractNumId="10">
    <w:nsid w:val="542289EC"/>
    <w:multiLevelType w:val="hybridMultilevel"/>
    <w:lvl w:ilvl="0">
      <w:lvlJc w:val="left"/>
      <w:lvlText w:val="(%1)"/>
      <w:numFmt w:val="upperLetter"/>
      <w:start w:val="3"/>
    </w:lvl>
  </w:abstractNum>
  <w:abstractNum w:abstractNumId="11">
    <w:nsid w:val="6DE91B18"/>
    <w:multiLevelType w:val="hybridMultilevel"/>
    <w:lvl w:ilvl="0">
      <w:lvlJc w:val="left"/>
      <w:lvlText w:val="(%1)"/>
      <w:numFmt w:val="upperLetter"/>
      <w:start w:val="5"/>
    </w:lvl>
  </w:abstractNum>
  <w:abstractNum w:abstractNumId="12">
    <w:nsid w:val="38437FDB"/>
    <w:multiLevelType w:val="hybridMultilevel"/>
    <w:lvl w:ilvl="0">
      <w:lvlJc w:val="left"/>
      <w:lvlText w:val="."/>
      <w:numFmt w:val="bullet"/>
      <w:start w:val="1"/>
    </w:lvl>
  </w:abstractNum>
  <w:abstractNum w:abstractNumId="13">
    <w:nsid w:val="7644A45C"/>
    <w:multiLevelType w:val="hybridMultilevel"/>
    <w:lvl w:ilvl="0">
      <w:lvlJc w:val="left"/>
      <w:lvlText w:val="."/>
      <w:numFmt w:val="bullet"/>
      <w:start w:val="1"/>
    </w:lvl>
  </w:abstractNum>
  <w:abstractNum w:abstractNumId="14">
    <w:nsid w:val="32FFF902"/>
    <w:multiLevelType w:val="hybridMultilevel"/>
    <w:lvl w:ilvl="0">
      <w:lvlJc w:val="left"/>
      <w:lvlText w:val="(%1)"/>
      <w:numFmt w:val="decimal"/>
      <w:start w:val="3"/>
    </w:lvl>
  </w:abstractNum>
  <w:abstractNum w:abstractNumId="15">
    <w:nsid w:val="684A481A"/>
    <w:multiLevelType w:val="hybridMultilevel"/>
    <w:lvl w:ilvl="0">
      <w:lvlJc w:val="left"/>
      <w:lvlText w:val="."/>
      <w:numFmt w:val="bullet"/>
      <w:start w:val="1"/>
    </w:lvl>
  </w:abstractNum>
  <w:abstractNum w:abstractNumId="16">
    <w:nsid w:val="579478FE"/>
    <w:multiLevelType w:val="hybridMultilevel"/>
    <w:lvl w:ilvl="0">
      <w:lvlJc w:val="left"/>
      <w:lvlText w:val="(%1)"/>
      <w:numFmt w:val="decimal"/>
      <w:start w:val="5"/>
    </w:lvl>
  </w:abstractNum>
  <w:abstractNum w:abstractNumId="17">
    <w:nsid w:val="749ABB43"/>
    <w:multiLevelType w:val="hybridMultilevel"/>
    <w:lvl w:ilvl="0">
      <w:lvlJc w:val="left"/>
      <w:lvlText w:val="(%1)"/>
      <w:numFmt w:val="upperLetter"/>
      <w:start w:val="9"/>
    </w:lvl>
  </w:abstractNum>
  <w:abstractNum w:abstractNumId="18">
    <w:nsid w:val="3DC240FB"/>
    <w:multiLevelType w:val="hybridMultilevel"/>
    <w:lvl w:ilvl="0">
      <w:lvlJc w:val="left"/>
      <w:lvlText w:val="(%1)"/>
      <w:numFmt w:val="upperLetter"/>
      <w:start w:val="10"/>
    </w:lvl>
  </w:abstractNum>
  <w:abstractNum w:abstractNumId="19">
    <w:nsid w:val="1BA026FA"/>
    <w:multiLevelType w:val="hybridMultilevel"/>
    <w:lvl w:ilvl="0">
      <w:lvlJc w:val="left"/>
      <w:lvlText w:val="(%1)"/>
      <w:numFmt w:val="lowerRoman"/>
      <w:start w:val="3"/>
    </w:lvl>
  </w:abstractNum>
  <w:abstractNum w:abstractNumId="20">
    <w:nsid w:val="79A1DEAA"/>
    <w:multiLevelType w:val="hybridMultilevel"/>
    <w:lvl w:ilvl="0">
      <w:lvlJc w:val="left"/>
      <w:lvlText w:val="."/>
      <w:numFmt w:val="bullet"/>
      <w:start w:val="1"/>
    </w:lvl>
  </w:abstractNum>
  <w:abstractNum w:abstractNumId="21">
    <w:nsid w:val="75C6C33A"/>
    <w:multiLevelType w:val="hybridMultilevel"/>
    <w:lvl w:ilvl="0">
      <w:lvlJc w:val="left"/>
      <w:lvlText w:val="."/>
      <w:numFmt w:val="bullet"/>
      <w:start w:val="1"/>
    </w:lvl>
  </w:abstractNum>
  <w:abstractNum w:abstractNumId="22">
    <w:nsid w:val="12E685FB"/>
    <w:multiLevelType w:val="hybridMultilevel"/>
    <w:lvl w:ilvl="0">
      <w:lvlJc w:val="left"/>
      <w:lvlText w:val="."/>
      <w:numFmt w:val="bullet"/>
      <w:start w:val="1"/>
    </w:lvl>
  </w:abstractNum>
  <w:abstractNum w:abstractNumId="23">
    <w:nsid w:val="70C6A529"/>
    <w:multiLevelType w:val="hybridMultilevel"/>
    <w:lvl w:ilvl="0">
      <w:lvlJc w:val="left"/>
      <w:lvlText w:val="(%1)"/>
      <w:numFmt w:val="decimal"/>
      <w:start w:val="1"/>
    </w:lvl>
  </w:abstractNum>
  <w:abstractNum w:abstractNumId="24">
    <w:nsid w:val="520EEDD1"/>
    <w:multiLevelType w:val="hybridMultilevel"/>
    <w:lvl w:ilvl="0">
      <w:lvlJc w:val="left"/>
      <w:lvlText w:val="(%1)"/>
      <w:numFmt w:val="decimal"/>
      <w:start w:val="1"/>
    </w:lvl>
  </w:abstractNum>
  <w:abstractNum w:abstractNumId="25">
    <w:nsid w:val="374A3FE6"/>
    <w:multiLevelType w:val="hybridMultilevel"/>
    <w:lvl w:ilvl="0">
      <w:lvlJc w:val="left"/>
      <w:lvlText w:val="(%1)"/>
      <w:numFmt w:val="decimal"/>
      <w:start w:val="1"/>
    </w:lvl>
  </w:abstractNum>
  <w:abstractNum w:abstractNumId="26">
    <w:nsid w:val="4F4EF005"/>
    <w:multiLevelType w:val="hybridMultilevel"/>
    <w:lvl w:ilvl="0">
      <w:lvlJc w:val="left"/>
      <w:lvlText w:val="."/>
      <w:numFmt w:val="bullet"/>
      <w:start w:val="1"/>
    </w:lvl>
  </w:abstractNum>
  <w:abstractNum w:abstractNumId="27">
    <w:nsid w:val="23F9C13C"/>
    <w:multiLevelType w:val="hybridMultilevel"/>
    <w:lvl w:ilvl="0">
      <w:lvlJc w:val="left"/>
      <w:lvlText w:val="."/>
      <w:numFmt w:val="bullet"/>
      <w:start w:val="1"/>
    </w:lvl>
  </w:abstractNum>
  <w:abstractNum w:abstractNumId="28">
    <w:nsid w:val="649BB77C"/>
    <w:multiLevelType w:val="hybridMultilevel"/>
    <w:lvl w:ilvl="0">
      <w:lvlJc w:val="left"/>
      <w:lvlText w:val="."/>
      <w:numFmt w:val="bullet"/>
      <w:start w:val="1"/>
    </w:lvl>
  </w:abstractNum>
  <w:abstractNum w:abstractNumId="29">
    <w:nsid w:val="275AC794"/>
    <w:multiLevelType w:val="hybridMultilevel"/>
    <w:lvl w:ilvl="0">
      <w:lvlJc w:val="left"/>
      <w:lvlText w:val="-"/>
      <w:numFmt w:val="bullet"/>
      <w:start w:val="1"/>
    </w:lvl>
  </w:abstractNum>
  <w:abstractNum w:abstractNumId="30">
    <w:nsid w:val="39386575"/>
    <w:multiLevelType w:val="hybridMultilevel"/>
    <w:lvl w:ilvl="0">
      <w:lvlJc w:val="left"/>
      <w:lvlText w:val="-"/>
      <w:numFmt w:val="bullet"/>
      <w:start w:val="1"/>
    </w:lvl>
  </w:abstractNum>
  <w:abstractNum w:abstractNumId="31">
    <w:nsid w:val="1CF10FD8"/>
    <w:multiLevelType w:val="hybridMultilevel"/>
    <w:lvl w:ilvl="0">
      <w:lvlJc w:val="left"/>
      <w:lvlText w:val=","/>
      <w:numFmt w:val="bullet"/>
      <w:start w:val="1"/>
    </w:lvl>
  </w:abstractNum>
  <w:abstractNum w:abstractNumId="32">
    <w:nsid w:val="180115BE"/>
    <w:multiLevelType w:val="hybridMultilevel"/>
    <w:lvl w:ilvl="0">
      <w:lvlJc w:val="left"/>
      <w:lvlText w:val="1"/>
      <w:numFmt w:val="bullet"/>
      <w:start w:val="1"/>
    </w:lvl>
  </w:abstractNum>
  <w:abstractNum w:abstractNumId="33">
    <w:nsid w:val="235BA861"/>
    <w:multiLevelType w:val="hybridMultilevel"/>
    <w:lvl w:ilvl="0">
      <w:lvlJc w:val="left"/>
      <w:lvlText w:val="-"/>
      <w:numFmt w:val="bullet"/>
      <w:start w:val="1"/>
    </w:lvl>
    <w:lvl w:ilvl="1">
      <w:lvlJc w:val="left"/>
      <w:lvlText w:val="5"/>
      <w:numFmt w:val="bullet"/>
      <w:start w:val="1"/>
    </w:lvl>
  </w:abstractNum>
  <w:abstractNum w:abstractNumId="34">
    <w:nsid w:val="47398C89"/>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5">
    <w:nsid w:val="354FE9F9"/>
    <w:multiLevelType w:val="hybridMultilevel"/>
    <w:lvl w:ilvl="0">
      <w:lvlJc w:val="left"/>
      <w:lvlText w:val="(%1)"/>
      <w:numFmt w:val="lowerRoman"/>
      <w:start w:val="3"/>
    </w:lvl>
  </w:abstractNum>
  <w:abstractNum w:abstractNumId="36">
    <w:nsid w:val="15B5AF5C"/>
    <w:multiLevelType w:val="hybridMultilevel"/>
    <w:lvl w:ilvl="0">
      <w:lvlJc w:val="left"/>
      <w:lvlText w:val="%1"/>
      <w:numFmt w:val="lowerLetter"/>
      <w:start w:val="1"/>
    </w:lvl>
    <w:lvl w:ilvl="1">
      <w:lvlJc w:val="left"/>
      <w:lvlText w:val="(%2)"/>
      <w:numFmt w:val="decimal"/>
      <w:start w:val="2"/>
    </w:lvl>
  </w:abstractNum>
  <w:abstractNum w:abstractNumId="37">
    <w:nsid w:val="741226BB"/>
    <w:multiLevelType w:val="hybridMultilevel"/>
    <w:lvl w:ilvl="0">
      <w:lvlJc w:val="left"/>
      <w:lvlText w:val="(%1)"/>
      <w:numFmt w:val="lowerLetter"/>
      <w:start w:val="2"/>
    </w:lvl>
    <w:lvl w:ilvl="1">
      <w:lvlJc w:val="left"/>
      <w:lvlText w:val="(%2)"/>
      <w:numFmt w:val="decimal"/>
      <w:start w:val="1"/>
    </w:lvl>
  </w:abstractNum>
  <w:abstractNum w:abstractNumId="38">
    <w:nsid w:val="D34B6A8"/>
    <w:multiLevelType w:val="hybridMultilevel"/>
    <w:lvl w:ilvl="0">
      <w:lvlJc w:val="left"/>
      <w:lvlText w:val="1"/>
      <w:numFmt w:val="bullet"/>
      <w:start w:val="1"/>
    </w:lvl>
  </w:abstractNum>
  <w:abstractNum w:abstractNumId="39">
    <w:nsid w:val="10233C99"/>
    <w:multiLevelType w:val="hybridMultilevel"/>
    <w:lvl w:ilvl="0">
      <w:lvlJc w:val="left"/>
      <w:lvlText w:val="%1."/>
      <w:numFmt w:val="decimal"/>
      <w:start w:val="1"/>
    </w:lvl>
  </w:abstractNum>
  <w:abstractNum w:abstractNumId="40">
    <w:nsid w:val="3F6AB60F"/>
    <w:multiLevelType w:val="hybridMultilevel"/>
    <w:lvl w:ilvl="0">
      <w:lvlJc w:val="left"/>
      <w:lvlText w:val="%1."/>
      <w:numFmt w:val="decimal"/>
      <w:start w:val="2"/>
    </w:lvl>
  </w:abstractNum>
  <w:abstractNum w:abstractNumId="41">
    <w:nsid w:val="61574095"/>
    <w:multiLevelType w:val="hybridMultilevel"/>
    <w:lvl w:ilvl="0">
      <w:lvlJc w:val="left"/>
      <w:lvlText w:val="%1."/>
      <w:numFmt w:val="decimal"/>
      <w:start w:val="3"/>
    </w:lvl>
  </w:abstractNum>
  <w:abstractNum w:abstractNumId="42">
    <w:nsid w:val="7E0C57B1"/>
    <w:multiLevelType w:val="hybridMultilevel"/>
    <w:lvl w:ilvl="0">
      <w:lvlJc w:val="left"/>
      <w:lvlText w:val="%1."/>
      <w:numFmt w:val="decimal"/>
      <w:start w:val="5"/>
    </w:lvl>
    <w:lvl w:ilvl="1">
      <w:lvlJc w:val="left"/>
      <w:lvlText w:val="(%2)"/>
      <w:numFmt w:val="lowerLetter"/>
      <w:start w:val="1"/>
    </w:lvl>
  </w:abstractNum>
  <w:abstractNum w:abstractNumId="43">
    <w:nsid w:val="77AE35EB"/>
    <w:multiLevelType w:val="hybridMultilevel"/>
    <w:lvl w:ilvl="0">
      <w:lvlJc w:val="left"/>
      <w:lvlText w:val="(%1)"/>
      <w:numFmt w:val="lowerLetter"/>
      <w:start w:val="2"/>
    </w:lvl>
  </w:abstractNum>
  <w:abstractNum w:abstractNumId="44">
    <w:nsid w:val="579BE4F1"/>
    <w:multiLevelType w:val="hybridMultilevel"/>
    <w:lvl w:ilvl="0">
      <w:lvlJc w:val="left"/>
      <w:lvlText w:val="(%1)"/>
      <w:numFmt w:val="lowerLetter"/>
      <w:start w:val="7"/>
    </w:lvl>
  </w:abstractNum>
  <w:abstractNum w:abstractNumId="45">
    <w:nsid w:val="310C50B3"/>
    <w:multiLevelType w:val="hybridMultilevel"/>
    <w:lvl w:ilvl="0">
      <w:lvlJc w:val="left"/>
      <w:lvlText w:val="%1"/>
      <w:numFmt w:val="decimal"/>
      <w:start w:val="1"/>
    </w:lvl>
    <w:lvl w:ilvl="1">
      <w:lvlJc w:val="left"/>
      <w:lvlText w:val="(%2)"/>
      <w:numFmt w:val="lowerLetter"/>
      <w:start w:val="13"/>
    </w:lvl>
  </w:abstractNum>
  <w:abstractNum w:abstractNumId="46">
    <w:nsid w:val="5FF87E05"/>
    <w:multiLevelType w:val="hybridMultilevel"/>
    <w:lvl w:ilvl="0">
      <w:lvlJc w:val="left"/>
      <w:lvlText w:val="%1."/>
      <w:numFmt w:val="decimal"/>
      <w:start w:val="6"/>
    </w:lvl>
    <w:lvl w:ilvl="1">
      <w:lvlJc w:val="left"/>
      <w:lvlText w:val="(%2)"/>
      <w:numFmt w:val="lowerLetter"/>
      <w:start w:val="1"/>
    </w:lvl>
  </w:abstractNum>
  <w:abstractNum w:abstractNumId="47">
    <w:nsid w:val="2F305DEF"/>
    <w:multiLevelType w:val="hybridMultilevel"/>
    <w:lvl w:ilvl="0">
      <w:lvlJc w:val="left"/>
      <w:lvlText w:val="%1"/>
      <w:numFmt w:val="decimal"/>
      <w:start w:val="1"/>
    </w:lvl>
    <w:lvl w:ilvl="1">
      <w:lvlJc w:val="left"/>
      <w:lvlText w:val="(%2)"/>
      <w:numFmt w:val="lowerLetter"/>
      <w:start w:val="7"/>
    </w:lvl>
  </w:abstractNum>
  <w:abstractNum w:abstractNumId="48">
    <w:nsid w:val="25A70BF7"/>
    <w:multiLevelType w:val="hybridMultilevel"/>
    <w:lvl w:ilvl="0">
      <w:lvlJc w:val="left"/>
      <w:lvlText w:val="%1."/>
      <w:numFmt w:val="decimal"/>
      <w:start w:val="7"/>
    </w:lvl>
    <w:lvl w:ilvl="1">
      <w:lvlJc w:val="left"/>
      <w:lvlText w:val="(%2)"/>
      <w:numFmt w:val="lowerLetter"/>
      <w:start w:val="1"/>
    </w:lvl>
  </w:abstractNum>
  <w:abstractNum w:abstractNumId="49">
    <w:nsid w:val="1DBABF00"/>
    <w:multiLevelType w:val="hybridMultilevel"/>
    <w:lvl w:ilvl="0">
      <w:lvlJc w:val="left"/>
      <w:lvlText w:val="(%1)"/>
      <w:numFmt w:val="lowerLetter"/>
      <w:start w:val="5"/>
    </w:lvl>
  </w:abstractNum>
  <w:abstractNum w:abstractNumId="50">
    <w:nsid w:val="4AD084E9"/>
    <w:multiLevelType w:val="hybridMultilevel"/>
    <w:lvl w:ilvl="0">
      <w:lvlJc w:val="left"/>
      <w:lvlText w:val="(%1)"/>
      <w:numFmt w:val="lowerLetter"/>
      <w:start w:val="9"/>
    </w:lvl>
  </w:abstractNum>
  <w:abstractNum w:abstractNumId="51">
    <w:nsid w:val="1F48EAA1"/>
    <w:multiLevelType w:val="hybridMultilevel"/>
    <w:lvl w:ilvl="0">
      <w:lvlJc w:val="left"/>
      <w:lvlText w:val="(%1)"/>
      <w:numFmt w:val="lowerLetter"/>
      <w:start w:val="13"/>
    </w:lvl>
  </w:abstractNum>
  <w:abstractNum w:abstractNumId="52">
    <w:nsid w:val="1381823A"/>
    <w:multiLevelType w:val="hybridMultilevel"/>
    <w:lvl w:ilvl="0">
      <w:lvlJc w:val="left"/>
      <w:lvlText w:val="(%1)"/>
      <w:numFmt w:val="lowerLetter"/>
      <w:start w:val="17"/>
    </w:lvl>
  </w:abstractNum>
  <w:abstractNum w:abstractNumId="53">
    <w:nsid w:val="5DB70AE5"/>
    <w:multiLevelType w:val="hybridMultilevel"/>
    <w:lvl w:ilvl="0">
      <w:lvlJc w:val="left"/>
      <w:lvlText w:val="(%1)"/>
      <w:numFmt w:val="lowerLetter"/>
      <w:start w:val="22"/>
    </w:lvl>
  </w:abstractNum>
  <w:abstractNum w:abstractNumId="54">
    <w:nsid w:val="100F8FCA"/>
    <w:multiLevelType w:val="hybridMultilevel"/>
    <w:lvl w:ilvl="0">
      <w:lvlJc w:val="left"/>
      <w:lvlText w:val="%1."/>
      <w:numFmt w:val="decimal"/>
      <w:start w:val="8"/>
    </w:lvl>
    <w:lvl w:ilvl="1">
      <w:lvlJc w:val="left"/>
      <w:lvlText w:val="(%2)"/>
      <w:numFmt w:val="lowerLetter"/>
      <w:start w:val="1"/>
    </w:lvl>
  </w:abstractNum>
  <w:abstractNum w:abstractNumId="55">
    <w:nsid w:val="6590700B"/>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6"/>
    </w:lvl>
  </w:abstractNum>
  <w:abstractNum w:abstractNumId="56">
    <w:nsid w:val="15014ACB"/>
    <w:multiLevelType w:val="hybridMultilevel"/>
    <w:lvl w:ilvl="0">
      <w:lvlJc w:val="left"/>
      <w:lvlText w:val="%1"/>
      <w:numFmt w:val="lowerRoman"/>
      <w:start w:val="1"/>
    </w:lvl>
    <w:lvl w:ilvl="1">
      <w:lvlJc w:val="left"/>
      <w:lvlText w:val="%2."/>
      <w:numFmt w:val="decimal"/>
      <w:start w:val="9"/>
    </w:lvl>
    <w:lvl w:ilvl="2">
      <w:lvlJc w:val="left"/>
      <w:lvlText w:val="(%3)"/>
      <w:numFmt w:val="lowerLetter"/>
      <w:start w:val="2"/>
    </w:lvl>
  </w:abstractNum>
  <w:abstractNum w:abstractNumId="57">
    <w:nsid w:val="5F5E7FD0"/>
    <w:multiLevelType w:val="hybridMultilevel"/>
    <w:lvl w:ilvl="0">
      <w:lvlJc w:val="left"/>
      <w:lvlText w:val="(%1)"/>
      <w:numFmt w:val="lowerRoman"/>
      <w:start w:val="2"/>
    </w:lvl>
    <w:lvl w:ilvl="1">
      <w:lvlJc w:val="left"/>
      <w:lvlText w:val="%2"/>
      <w:numFmt w:val="decimal"/>
      <w:start w:val="1"/>
    </w:lvl>
    <w:lvl w:ilvl="2">
      <w:lvlJc w:val="left"/>
      <w:lvlText w:val="%3"/>
      <w:numFmt w:val="lowerLetter"/>
      <w:start w:val="1"/>
    </w:lvl>
  </w:abstractNum>
  <w:abstractNum w:abstractNumId="58">
    <w:nsid w:val="98A3148"/>
    <w:multiLevelType w:val="hybridMultilevel"/>
    <w:lvl w:ilvl="0">
      <w:lvlJc w:val="left"/>
      <w:lvlText w:val="(%1)"/>
      <w:numFmt w:val="lowerLetter"/>
      <w:start w:val="3"/>
    </w:lvl>
  </w:abstractNum>
  <w:abstractNum w:abstractNumId="59">
    <w:nsid w:val="799D0247"/>
    <w:multiLevelType w:val="hybridMultilevel"/>
    <w:lvl w:ilvl="0">
      <w:lvlJc w:val="left"/>
      <w:lvlText w:val="(%1)"/>
      <w:numFmt w:val="lowerLetter"/>
      <w:start w:val="5"/>
    </w:lvl>
  </w:abstractNum>
  <w:abstractNum w:abstractNumId="60">
    <w:nsid w:val="6B94764"/>
    <w:multiLevelType w:val="hybridMultilevel"/>
    <w:lvl w:ilvl="0">
      <w:lvlJc w:val="left"/>
      <w:lvlText w:val="&amp;"/>
      <w:numFmt w:val="bullet"/>
      <w:start w:val="1"/>
    </w:lvl>
    <w:lvl w:ilvl="1">
      <w:lvlJc w:val="left"/>
      <w:lvlText w:val="%2"/>
      <w:numFmt w:val="decimal"/>
      <w:start w:val="1"/>
    </w:lvl>
    <w:lvl w:ilvl="2">
      <w:lvlJc w:val="left"/>
      <w:lvlText w:val="(%3)"/>
      <w:numFmt w:val="lowerLetter"/>
      <w:start w:val="9"/>
    </w:lvl>
  </w:abstractNum>
  <w:abstractNum w:abstractNumId="61">
    <w:nsid w:val="42C296BD"/>
    <w:multiLevelType w:val="hybridMultilevel"/>
    <w:lvl w:ilvl="0">
      <w:lvlJc w:val="left"/>
      <w:lvlText w:val="&amp;"/>
      <w:numFmt w:val="bullet"/>
      <w:start w:val="1"/>
    </w:lvl>
    <w:lvl w:ilvl="1">
      <w:lvlJc w:val="left"/>
      <w:lvlText w:val="%2."/>
      <w:numFmt w:val="decimal"/>
      <w:start w:val="10"/>
    </w:lvl>
    <w:lvl w:ilvl="2">
      <w:lvlJc w:val="left"/>
      <w:lvlText w:val="(%3)"/>
      <w:numFmt w:val="lowerLetter"/>
      <w:start w:val="1"/>
    </w:lvl>
  </w:abstractNum>
  <w:abstractNum w:abstractNumId="62">
    <w:nsid w:val="168E121F"/>
    <w:multiLevelType w:val="hybridMultilevel"/>
    <w:lvl w:ilvl="0">
      <w:lvlJc w:val="left"/>
      <w:lvlText w:val="&amp;"/>
      <w:numFmt w:val="bullet"/>
      <w:start w:val="1"/>
    </w:lvl>
    <w:lvl w:ilvl="1">
      <w:lvlJc w:val="left"/>
      <w:lvlText w:val="%2"/>
      <w:numFmt w:val="decimal"/>
      <w:start w:val="1"/>
    </w:lvl>
    <w:lvl w:ilvl="2">
      <w:lvlJc w:val="left"/>
      <w:lvlText w:val="(%3)"/>
      <w:numFmt w:val="lowerLetter"/>
      <w:start w:val="9"/>
    </w:lvl>
  </w:abstractNum>
  <w:abstractNum w:abstractNumId="63">
    <w:nsid w:val="1EBA5D23"/>
    <w:multiLevelType w:val="hybridMultilevel"/>
    <w:lvl w:ilvl="0">
      <w:lvlJc w:val="left"/>
      <w:lvlText w:val="(%1)"/>
      <w:numFmt w:val="lowerRoman"/>
      <w:start w:val="2"/>
    </w:lvl>
  </w:abstractNum>
  <w:abstractNum w:abstractNumId="64">
    <w:nsid w:val="661E3F1E"/>
    <w:multiLevelType w:val="hybridMultilevel"/>
    <w:lvl w:ilvl="0">
      <w:lvlJc w:val="left"/>
      <w:lvlText w:val="(%1)"/>
      <w:numFmt w:val="lowerRoman"/>
      <w:start w:val="9"/>
    </w:lvl>
  </w:abstractNum>
  <w:abstractNum w:abstractNumId="65">
    <w:nsid w:val="5DC79EA8"/>
    <w:multiLevelType w:val="hybridMultilevel"/>
    <w:lvl w:ilvl="0">
      <w:lvlJc w:val="left"/>
      <w:lvlText w:val="(%1)"/>
      <w:numFmt w:val="lowerRoman"/>
      <w:start w:val="15"/>
    </w:lvl>
  </w:abstractNum>
  <w:abstractNum w:abstractNumId="66">
    <w:nsid w:val="540A471C"/>
    <w:multiLevelType w:val="hybridMultilevel"/>
    <w:lvl w:ilvl="0">
      <w:lvlJc w:val="left"/>
      <w:lvlText w:val="(%1)"/>
      <w:numFmt w:val="decimal"/>
      <w:start w:val="1"/>
    </w:lvl>
  </w:abstractNum>
  <w:abstractNum w:abstractNumId="67">
    <w:nsid w:val="7BD3EE7B"/>
    <w:multiLevelType w:val="hybridMultilevel"/>
    <w:lvl w:ilvl="0">
      <w:lvlJc w:val="left"/>
      <w:lvlText w:val="(%1)"/>
      <w:numFmt w:val="lowerLetter"/>
      <w:start w:val="4"/>
    </w:lvl>
  </w:abstractNum>
  <w:abstractNum w:abstractNumId="68">
    <w:nsid w:val="51D9C564"/>
    <w:multiLevelType w:val="hybridMultilevel"/>
    <w:lvl w:ilvl="0">
      <w:lvlJc w:val="left"/>
      <w:lvlText w:val="(%1)"/>
      <w:numFmt w:val="lowerRoman"/>
      <w:start w:val="1"/>
    </w:lvl>
  </w:abstractNum>
  <w:abstractNum w:abstractNumId="69">
    <w:nsid w:val="613EFDC5"/>
    <w:multiLevelType w:val="hybridMultilevel"/>
    <w:lvl w:ilvl="0">
      <w:lvlJc w:val="left"/>
      <w:lvlText w:val="(%1)"/>
      <w:numFmt w:val="lowerRoman"/>
      <w:start w:val="7"/>
    </w:lvl>
  </w:abstractNum>
  <w:abstractNum w:abstractNumId="70">
    <w:nsid w:val="BF72B14"/>
    <w:multiLevelType w:val="hybridMultilevel"/>
    <w:lvl w:ilvl="0">
      <w:lvlJc w:val="left"/>
      <w:lvlText w:val="&amp;"/>
      <w:numFmt w:val="bullet"/>
      <w:start w:val="1"/>
    </w:lvl>
    <w:lvl w:ilvl="1">
      <w:lvlJc w:val="left"/>
      <w:lvlText w:val="(%2)"/>
      <w:numFmt w:val="lowerLetter"/>
      <w:start w:val="5"/>
    </w:lvl>
  </w:abstractNum>
  <w:abstractNum w:abstractNumId="71">
    <w:nsid w:val="11447B73"/>
    <w:multiLevelType w:val="hybridMultilevel"/>
    <w:lvl w:ilvl="0">
      <w:lvlJc w:val="left"/>
      <w:lvlText w:val="&amp;"/>
      <w:numFmt w:val="bullet"/>
      <w:start w:val="1"/>
    </w:lvl>
    <w:lvl w:ilvl="1">
      <w:lvlJc w:val="left"/>
      <w:lvlText w:val="(%2)"/>
      <w:numFmt w:val="lowerLetter"/>
      <w:start w:val="9"/>
    </w:lvl>
  </w:abstractNum>
  <w:abstractNum w:abstractNumId="72">
    <w:nsid w:val="42963E5A"/>
    <w:multiLevelType w:val="hybridMultilevel"/>
    <w:lvl w:ilvl="0">
      <w:lvlJc w:val="left"/>
      <w:lvlText w:val="(%1)"/>
      <w:numFmt w:val="lowerRoman"/>
      <w:start w:val="2"/>
    </w:lvl>
  </w:abstractNum>
  <w:abstractNum w:abstractNumId="73">
    <w:nsid w:val="A0382C5"/>
    <w:multiLevelType w:val="hybridMultilevel"/>
    <w:lvl w:ilvl="0">
      <w:lvlJc w:val="left"/>
      <w:lvlText w:val="(%1)"/>
      <w:numFmt w:val="lowerLetter"/>
      <w:start w:val="7"/>
    </w:lvl>
  </w:abstractNum>
  <w:abstractNum w:abstractNumId="74">
    <w:nsid w:val="8F2B15E"/>
    <w:multiLevelType w:val="hybridMultilevel"/>
    <w:lvl w:ilvl="0">
      <w:lvlJc w:val="left"/>
      <w:lvlText w:val="(%1)"/>
      <w:numFmt w:val="lowerLetter"/>
      <w:start w:val="12"/>
    </w:lvl>
  </w:abstractNum>
  <w:abstractNum w:abstractNumId="75">
    <w:nsid w:val="1A32234B"/>
    <w:multiLevelType w:val="hybridMultilevel"/>
    <w:lvl w:ilvl="0">
      <w:lvlJc w:val="left"/>
      <w:lvlText w:val="%1."/>
      <w:numFmt w:val="decimal"/>
      <w:start w:val="11"/>
    </w:lvl>
  </w:abstractNum>
  <w:abstractNum w:abstractNumId="76">
    <w:nsid w:val="3B0FD379"/>
    <w:multiLevelType w:val="hybridMultilevel"/>
    <w:lvl w:ilvl="0">
      <w:lvlJc w:val="left"/>
      <w:lvlText w:val="%1"/>
      <w:numFmt w:val="lowerRoman"/>
      <w:start w:val="1"/>
    </w:lvl>
    <w:lvl w:ilvl="1">
      <w:lvlJc w:val="left"/>
      <w:lvlText w:val="%2."/>
      <w:numFmt w:val="decimal"/>
      <w:start w:val="12"/>
    </w:lvl>
  </w:abstractNum>
  <w:abstractNum w:abstractNumId="77">
    <w:nsid w:val="68EB2F63"/>
    <w:multiLevelType w:val="hybridMultilevel"/>
    <w:lvl w:ilvl="0">
      <w:lvlJc w:val="left"/>
      <w:lvlText w:val="(%1)"/>
      <w:numFmt w:val="lowerRoman"/>
      <w:start w:val="1"/>
    </w:lvl>
    <w:lvl w:ilvl="1">
      <w:lvlJc w:val="left"/>
      <w:lvlText w:val="%2"/>
      <w:numFmt w:val="decimal"/>
      <w:start w:val="1"/>
    </w:lvl>
  </w:abstractNum>
  <w:abstractNum w:abstractNumId="78">
    <w:nsid w:val="4962813B"/>
    <w:multiLevelType w:val="hybridMultilevel"/>
    <w:lvl w:ilvl="0">
      <w:lvlJc w:val="left"/>
      <w:lvlText w:val="%1"/>
      <w:numFmt w:val="lowerRoman"/>
      <w:start w:val="1"/>
    </w:lvl>
    <w:lvl w:ilvl="1">
      <w:lvlJc w:val="left"/>
      <w:lvlText w:val="%2."/>
      <w:numFmt w:val="decimal"/>
      <w:start w:val="13"/>
    </w:lvl>
  </w:abstractNum>
  <w:abstractNum w:abstractNumId="79">
    <w:nsid w:val="60B6DF70"/>
    <w:multiLevelType w:val="hybridMultilevel"/>
    <w:lvl w:ilvl="0">
      <w:lvlJc w:val="left"/>
      <w:lvlText w:val="(%1)"/>
      <w:numFmt w:val="lowerRoman"/>
      <w:start w:val="1"/>
    </w:lvl>
    <w:lvl w:ilvl="1">
      <w:lvlJc w:val="left"/>
      <w:lvlText w:val="%2"/>
      <w:numFmt w:val="decimal"/>
      <w:start w:val="1"/>
    </w:lvl>
  </w:abstractNum>
  <w:abstractNum w:abstractNumId="80">
    <w:nsid w:val="6A5EE64"/>
    <w:multiLevelType w:val="hybridMultilevel"/>
    <w:lvl w:ilvl="0">
      <w:lvlJc w:val="left"/>
      <w:lvlText w:val="%1."/>
      <w:numFmt w:val="decimal"/>
      <w:start w:val="14"/>
    </w:lvl>
  </w:abstractNum>
  <w:abstractNum w:abstractNumId="81">
    <w:nsid w:val="14330624"/>
    <w:multiLevelType w:val="hybridMultilevel"/>
    <w:lvl w:ilvl="0">
      <w:lvlJc w:val="left"/>
      <w:lvlText w:val="%1."/>
      <w:numFmt w:val="decimal"/>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2019-12-13T10:43:02Z</dcterms:created>
  <dcterms:modified xsi:type="dcterms:W3CDTF">2019-12-13T10:43:02Z</dcterms:modified>
</cp:coreProperties>
</file>