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190500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40"/>
        <w:spacing w:after="0" w:line="230" w:lineRule="auto"/>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20, 2026</w:t>
      </w:r>
    </w:p>
    <w:p>
      <w:pPr>
        <w:spacing w:after="0" w:line="29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UNIVERSAL HEALTH SERVICES, INC.</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tbl>
      <w:tblPr>
        <w:tblLayout w:type="fixed"/>
        <w:tblInd w:w="840" w:type="dxa"/>
        <w:tblCellMar>
          <w:top w:w="0" w:type="dxa"/>
          <w:left w:w="0" w:type="dxa"/>
          <w:bottom w:w="0" w:type="dxa"/>
          <w:right w:w="0" w:type="dxa"/>
        </w:tblCellMar>
      </w:tblPr>
      <w:tr>
        <w:trPr>
          <w:trHeight w:val="214"/>
        </w:trPr>
        <w:tc>
          <w:tcPr>
            <w:tcW w:w="2060" w:type="dxa"/>
            <w:vAlign w:val="bottom"/>
          </w:tcPr>
          <w:p>
            <w:pPr>
              <w:jc w:val="center"/>
              <w:ind w:right="42"/>
              <w:spacing w:after="0"/>
              <w:rPr>
                <w:sz w:val="20"/>
                <w:szCs w:val="20"/>
                <w:color w:val="auto"/>
              </w:rPr>
            </w:pPr>
            <w:r>
              <w:rPr>
                <w:rFonts w:ascii="Times New Roman" w:cs="Times New Roman" w:eastAsia="Times New Roman" w:hAnsi="Times New Roman"/>
                <w:sz w:val="18"/>
                <w:szCs w:val="18"/>
                <w:b w:val="1"/>
                <w:bCs w:val="1"/>
                <w:color w:val="auto"/>
                <w:w w:val="99"/>
              </w:rPr>
              <w:t>DELAWARE</w:t>
            </w:r>
          </w:p>
        </w:tc>
        <w:tc>
          <w:tcPr>
            <w:tcW w:w="5620" w:type="dxa"/>
            <w:vAlign w:val="bottom"/>
          </w:tcPr>
          <w:p>
            <w:pPr>
              <w:jc w:val="center"/>
              <w:ind w:right="57"/>
              <w:spacing w:after="0"/>
              <w:rPr>
                <w:sz w:val="20"/>
                <w:szCs w:val="20"/>
                <w:color w:val="auto"/>
              </w:rPr>
            </w:pPr>
            <w:r>
              <w:rPr>
                <w:rFonts w:ascii="Times New Roman" w:cs="Times New Roman" w:eastAsia="Times New Roman" w:hAnsi="Times New Roman"/>
                <w:sz w:val="18"/>
                <w:szCs w:val="18"/>
                <w:b w:val="1"/>
                <w:bCs w:val="1"/>
                <w:color w:val="auto"/>
                <w:w w:val="99"/>
              </w:rPr>
              <w:t>1-10765</w:t>
            </w:r>
          </w:p>
        </w:tc>
        <w:tc>
          <w:tcPr>
            <w:tcW w:w="1480" w:type="dxa"/>
            <w:vAlign w:val="bottom"/>
          </w:tcPr>
          <w:p>
            <w:pPr>
              <w:jc w:val="center"/>
              <w:ind w:left="282"/>
              <w:spacing w:after="0"/>
              <w:rPr>
                <w:sz w:val="20"/>
                <w:szCs w:val="20"/>
                <w:color w:val="auto"/>
              </w:rPr>
            </w:pPr>
            <w:r>
              <w:rPr>
                <w:rFonts w:ascii="Times New Roman" w:cs="Times New Roman" w:eastAsia="Times New Roman" w:hAnsi="Times New Roman"/>
                <w:sz w:val="18"/>
                <w:szCs w:val="18"/>
                <w:b w:val="1"/>
                <w:bCs w:val="1"/>
                <w:color w:val="auto"/>
              </w:rPr>
              <w:t>23-2077891</w:t>
            </w:r>
          </w:p>
        </w:tc>
      </w:tr>
      <w:tr>
        <w:trPr>
          <w:trHeight w:val="148"/>
        </w:trPr>
        <w:tc>
          <w:tcPr>
            <w:tcW w:w="206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62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80" w:type="dxa"/>
            <w:vAlign w:val="bottom"/>
          </w:tcPr>
          <w:p>
            <w:pPr>
              <w:jc w:val="center"/>
              <w:ind w:left="2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6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6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80" w:type="dxa"/>
            <w:vAlign w:val="bottom"/>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2060" w:type="dxa"/>
            <w:vAlign w:val="bottom"/>
          </w:tcPr>
          <w:p>
            <w:pPr>
              <w:spacing w:after="0"/>
              <w:rPr>
                <w:sz w:val="24"/>
                <w:szCs w:val="24"/>
                <w:color w:val="auto"/>
              </w:rPr>
            </w:pPr>
          </w:p>
        </w:tc>
        <w:tc>
          <w:tcPr>
            <w:tcW w:w="5620" w:type="dxa"/>
            <w:vAlign w:val="bottom"/>
          </w:tcPr>
          <w:p>
            <w:pPr>
              <w:jc w:val="center"/>
              <w:ind w:right="137"/>
              <w:spacing w:after="0"/>
              <w:rPr>
                <w:sz w:val="20"/>
                <w:szCs w:val="20"/>
                <w:color w:val="auto"/>
              </w:rPr>
            </w:pPr>
            <w:r>
              <w:rPr>
                <w:rFonts w:ascii="Times New Roman" w:cs="Times New Roman" w:eastAsia="Times New Roman" w:hAnsi="Times New Roman"/>
                <w:sz w:val="18"/>
                <w:szCs w:val="18"/>
                <w:b w:val="1"/>
                <w:bCs w:val="1"/>
                <w:color w:val="auto"/>
                <w:w w:val="99"/>
              </w:rPr>
              <w:t>UNIVERSAL CORPORATE CENTER</w:t>
            </w:r>
          </w:p>
        </w:tc>
        <w:tc>
          <w:tcPr>
            <w:tcW w:w="1480" w:type="dxa"/>
            <w:vAlign w:val="bottom"/>
          </w:tcPr>
          <w:p>
            <w:pPr>
              <w:spacing w:after="0"/>
              <w:rPr>
                <w:sz w:val="24"/>
                <w:szCs w:val="24"/>
                <w:color w:val="auto"/>
              </w:rPr>
            </w:pPr>
          </w:p>
        </w:tc>
      </w:tr>
      <w:tr>
        <w:trPr>
          <w:trHeight w:val="216"/>
        </w:trPr>
        <w:tc>
          <w:tcPr>
            <w:tcW w:w="2060" w:type="dxa"/>
            <w:vAlign w:val="bottom"/>
          </w:tcPr>
          <w:p>
            <w:pPr>
              <w:spacing w:after="0"/>
              <w:rPr>
                <w:sz w:val="18"/>
                <w:szCs w:val="18"/>
                <w:color w:val="auto"/>
              </w:rPr>
            </w:pPr>
          </w:p>
        </w:tc>
        <w:tc>
          <w:tcPr>
            <w:tcW w:w="5620" w:type="dxa"/>
            <w:vAlign w:val="bottom"/>
          </w:tcPr>
          <w:p>
            <w:pPr>
              <w:jc w:val="center"/>
              <w:ind w:right="137"/>
              <w:spacing w:after="0"/>
              <w:rPr>
                <w:sz w:val="20"/>
                <w:szCs w:val="20"/>
                <w:color w:val="auto"/>
              </w:rPr>
            </w:pPr>
            <w:r>
              <w:rPr>
                <w:rFonts w:ascii="Times New Roman" w:cs="Times New Roman" w:eastAsia="Times New Roman" w:hAnsi="Times New Roman"/>
                <w:sz w:val="18"/>
                <w:szCs w:val="18"/>
                <w:b w:val="1"/>
                <w:bCs w:val="1"/>
                <w:color w:val="auto"/>
                <w:w w:val="99"/>
              </w:rPr>
              <w:t>367 SOUTH GULPH ROAD</w:t>
            </w:r>
          </w:p>
        </w:tc>
        <w:tc>
          <w:tcPr>
            <w:tcW w:w="1480" w:type="dxa"/>
            <w:vAlign w:val="bottom"/>
          </w:tcPr>
          <w:p>
            <w:pPr>
              <w:spacing w:after="0"/>
              <w:rPr>
                <w:sz w:val="18"/>
                <w:szCs w:val="18"/>
                <w:color w:val="auto"/>
              </w:rPr>
            </w:pPr>
          </w:p>
        </w:tc>
      </w:tr>
      <w:tr>
        <w:trPr>
          <w:trHeight w:val="214"/>
        </w:trPr>
        <w:tc>
          <w:tcPr>
            <w:tcW w:w="2060" w:type="dxa"/>
            <w:vAlign w:val="bottom"/>
          </w:tcPr>
          <w:p>
            <w:pPr>
              <w:spacing w:after="0"/>
              <w:rPr>
                <w:sz w:val="18"/>
                <w:szCs w:val="18"/>
                <w:color w:val="auto"/>
              </w:rPr>
            </w:pPr>
          </w:p>
        </w:tc>
        <w:tc>
          <w:tcPr>
            <w:tcW w:w="5620" w:type="dxa"/>
            <w:vAlign w:val="bottom"/>
          </w:tcPr>
          <w:p>
            <w:pPr>
              <w:jc w:val="center"/>
              <w:ind w:right="137"/>
              <w:spacing w:after="0"/>
              <w:rPr>
                <w:sz w:val="20"/>
                <w:szCs w:val="20"/>
                <w:color w:val="auto"/>
              </w:rPr>
            </w:pPr>
            <w:r>
              <w:rPr>
                <w:rFonts w:ascii="Times New Roman" w:cs="Times New Roman" w:eastAsia="Times New Roman" w:hAnsi="Times New Roman"/>
                <w:sz w:val="18"/>
                <w:szCs w:val="18"/>
                <w:b w:val="1"/>
                <w:bCs w:val="1"/>
                <w:color w:val="auto"/>
                <w:w w:val="99"/>
              </w:rPr>
              <w:t>KING OF PRUSSIA, PENNSYLVANIA 19406</w:t>
            </w:r>
          </w:p>
        </w:tc>
        <w:tc>
          <w:tcPr>
            <w:tcW w:w="1480" w:type="dxa"/>
            <w:vAlign w:val="bottom"/>
          </w:tcPr>
          <w:p>
            <w:pPr>
              <w:spacing w:after="0"/>
              <w:rPr>
                <w:sz w:val="18"/>
                <w:szCs w:val="18"/>
                <w:color w:val="auto"/>
              </w:rPr>
            </w:pPr>
          </w:p>
        </w:tc>
      </w:tr>
      <w:tr>
        <w:trPr>
          <w:trHeight w:val="190"/>
        </w:trPr>
        <w:tc>
          <w:tcPr>
            <w:tcW w:w="2060" w:type="dxa"/>
            <w:vAlign w:val="bottom"/>
          </w:tcPr>
          <w:p>
            <w:pPr>
              <w:spacing w:after="0"/>
              <w:rPr>
                <w:sz w:val="16"/>
                <w:szCs w:val="16"/>
                <w:color w:val="auto"/>
              </w:rPr>
            </w:pPr>
          </w:p>
        </w:tc>
        <w:tc>
          <w:tcPr>
            <w:tcW w:w="562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 (Zip Code)</w:t>
            </w:r>
          </w:p>
        </w:tc>
        <w:tc>
          <w:tcPr>
            <w:tcW w:w="1480" w:type="dxa"/>
            <w:vAlign w:val="bottom"/>
          </w:tcPr>
          <w:p>
            <w:pPr>
              <w:spacing w:after="0"/>
              <w:rPr>
                <w:sz w:val="16"/>
                <w:szCs w:val="16"/>
                <w:color w:val="auto"/>
              </w:rPr>
            </w:pPr>
          </w:p>
        </w:tc>
      </w:tr>
      <w:tr>
        <w:trPr>
          <w:trHeight w:val="415"/>
        </w:trPr>
        <w:tc>
          <w:tcPr>
            <w:tcW w:w="2060" w:type="dxa"/>
            <w:vAlign w:val="bottom"/>
          </w:tcPr>
          <w:p>
            <w:pPr>
              <w:spacing w:after="0"/>
              <w:rPr>
                <w:sz w:val="24"/>
                <w:szCs w:val="24"/>
                <w:color w:val="auto"/>
              </w:rPr>
            </w:pPr>
          </w:p>
        </w:tc>
        <w:tc>
          <w:tcPr>
            <w:tcW w:w="5620" w:type="dxa"/>
            <w:vAlign w:val="bottom"/>
          </w:tcPr>
          <w:p>
            <w:pPr>
              <w:jc w:val="center"/>
              <w:ind w:right="117"/>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(610) 768-3300</w:t>
            </w:r>
          </w:p>
        </w:tc>
        <w:tc>
          <w:tcPr>
            <w:tcW w:w="1480" w:type="dxa"/>
            <w:vAlign w:val="bottom"/>
          </w:tcPr>
          <w:p>
            <w:pPr>
              <w:spacing w:after="0"/>
              <w:rPr>
                <w:sz w:val="24"/>
                <w:szCs w:val="24"/>
                <w:color w:val="auto"/>
              </w:rPr>
            </w:pPr>
          </w:p>
        </w:tc>
      </w:tr>
      <w:tr>
        <w:trPr>
          <w:trHeight w:val="299"/>
        </w:trPr>
        <w:tc>
          <w:tcPr>
            <w:tcW w:w="2060" w:type="dxa"/>
            <w:vAlign w:val="bottom"/>
          </w:tcPr>
          <w:p>
            <w:pPr>
              <w:spacing w:after="0"/>
              <w:rPr>
                <w:sz w:val="24"/>
                <w:szCs w:val="24"/>
                <w:color w:val="auto"/>
              </w:rPr>
            </w:pPr>
          </w:p>
        </w:tc>
        <w:tc>
          <w:tcPr>
            <w:tcW w:w="5620" w:type="dxa"/>
            <w:vAlign w:val="bottom"/>
          </w:tcPr>
          <w:p>
            <w:pPr>
              <w:jc w:val="center"/>
              <w:ind w:right="137"/>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480" w:type="dxa"/>
            <w:vAlign w:val="bottom"/>
          </w:tcPr>
          <w:p>
            <w:pPr>
              <w:spacing w:after="0"/>
              <w:rPr>
                <w:sz w:val="24"/>
                <w:szCs w:val="24"/>
                <w:color w:val="auto"/>
              </w:rPr>
            </w:pPr>
          </w:p>
        </w:tc>
      </w:tr>
      <w:tr>
        <w:trPr>
          <w:trHeight w:val="190"/>
        </w:trPr>
        <w:tc>
          <w:tcPr>
            <w:tcW w:w="2060" w:type="dxa"/>
            <w:vAlign w:val="bottom"/>
          </w:tcPr>
          <w:p>
            <w:pPr>
              <w:spacing w:after="0"/>
              <w:rPr>
                <w:sz w:val="16"/>
                <w:szCs w:val="16"/>
                <w:color w:val="auto"/>
              </w:rPr>
            </w:pPr>
          </w:p>
        </w:tc>
        <w:tc>
          <w:tcPr>
            <w:tcW w:w="562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480" w:type="dxa"/>
            <w:vAlign w:val="bottom"/>
          </w:tcPr>
          <w:p>
            <w:pPr>
              <w:spacing w:after="0"/>
              <w:rPr>
                <w:sz w:val="16"/>
                <w:szCs w:val="16"/>
                <w:color w:val="auto"/>
              </w:rPr>
            </w:pPr>
          </w:p>
        </w:tc>
      </w:tr>
    </w:tbl>
    <w:p>
      <w:pPr>
        <w:spacing w:after="0" w:line="181"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ind w:left="840" w:hanging="451"/>
        <w:spacing w:after="0" w:line="216" w:lineRule="auto"/>
        <w:tabs>
          <w:tab w:leader="none" w:pos="840" w:val="left"/>
        </w:tabs>
        <w:numPr>
          <w:ilvl w:val="0"/>
          <w:numId w:val="1"/>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82" w:lineRule="exact"/>
        <w:rPr>
          <w:rFonts w:ascii="MS PGothic" w:cs="MS PGothic" w:eastAsia="MS PGothic" w:hAnsi="MS PGothic"/>
          <w:sz w:val="36"/>
          <w:szCs w:val="36"/>
          <w:color w:val="auto"/>
          <w:vertAlign w:val="subscript"/>
        </w:rPr>
      </w:pPr>
    </w:p>
    <w:p>
      <w:pPr>
        <w:ind w:left="840" w:hanging="451"/>
        <w:spacing w:after="0" w:line="188" w:lineRule="auto"/>
        <w:tabs>
          <w:tab w:leader="none" w:pos="840" w:val="left"/>
        </w:tabs>
        <w:numPr>
          <w:ilvl w:val="0"/>
          <w:numId w:val="1"/>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82" w:lineRule="exact"/>
        <w:rPr>
          <w:rFonts w:ascii="MS PGothic" w:cs="MS PGothic" w:eastAsia="MS PGothic" w:hAnsi="MS PGothic"/>
          <w:sz w:val="36"/>
          <w:szCs w:val="36"/>
          <w:color w:val="auto"/>
          <w:vertAlign w:val="subscript"/>
        </w:rPr>
      </w:pPr>
    </w:p>
    <w:p>
      <w:pPr>
        <w:ind w:left="840" w:hanging="451"/>
        <w:spacing w:after="0" w:line="188" w:lineRule="auto"/>
        <w:tabs>
          <w:tab w:leader="none" w:pos="840" w:val="left"/>
        </w:tabs>
        <w:numPr>
          <w:ilvl w:val="0"/>
          <w:numId w:val="1"/>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36"/>
          <w:szCs w:val="36"/>
          <w:color w:val="auto"/>
          <w:vertAlign w:val="subscript"/>
        </w:rPr>
      </w:pPr>
    </w:p>
    <w:p>
      <w:pPr>
        <w:ind w:right="2360" w:firstLine="389"/>
        <w:spacing w:after="0" w:line="407" w:lineRule="auto"/>
        <w:tabs>
          <w:tab w:leader="none" w:pos="8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68"/>
        </w:trPr>
        <w:tc>
          <w:tcPr>
            <w:tcW w:w="41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0"/>
        </w:trPr>
        <w:tc>
          <w:tcPr>
            <w:tcW w:w="41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B Common Stock</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UHS</w:t>
            </w:r>
          </w:p>
        </w:tc>
        <w:tc>
          <w:tcPr>
            <w:tcW w:w="4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90"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May 20, 2026, the Company held its 2026 Annual Meeting of Stockholders. This year’s Annual Meeting of Stockholders was conducted virtually via a live audio webcast.</w:t>
      </w:r>
    </w:p>
    <w:p>
      <w:pPr>
        <w:spacing w:after="0" w:line="5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At the Annual Meeting, the Company’s stockholders: (i) voted to elect two Class III members of the Board of Directors for a three-year term scheduled to expire at the Company’s 2029 Annual Meeting of Stockholders; (ii) voted to approve, on an advisory (non-binding) basis, the compensation paid to the Company's named executive officers; (iii) voted to ratify the selection of PricewaterhouseCoopers, LLP, as the Company’s independent registered public accounting firm for the fiscal year ending December 31, 2026, and; (iv) voted against the stockholder proposal regarding reporting votes based on UHS shareholder money at risk. The final voting results were as follows: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No. 1: Election of 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Alan B. Miller – elected by the Class A and Class C Stockholders: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Votes cast in favor</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7,236,288</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Votes withheld</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Non-votes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Nina Chen-Langenmayr – elected by the Class B and Class D Stockholders: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Votes cast in favor</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31,836,231</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Votes withheld</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14,129,963</w:t>
            </w:r>
          </w:p>
        </w:tc>
      </w:t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Non-votes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2,535,388</w:t>
            </w: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No. 2: Advisory vote on named executive compensation: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Votes cast in favor</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62,219,230</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Votes cast against</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228,600</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Votes abstained</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Non-votes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262,607</w:t>
            </w:r>
          </w:p>
        </w:tc>
      </w:tr>
    </w:tbl>
    <w:p>
      <w:pPr>
        <w:spacing w:after="0" w:line="8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Proposal No. 3: Ratification of the selection of PricewaterhouseCoopers, LLP, as the Company’s independent registered public accounting firm for the fiscal year ending December 31, 2026:</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Votes cast in favor</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62,633,332</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Votes cast against</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77,514</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Votes abstained</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Non-votes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No. 4: Stockholder proposal to report votes based on UHS shareholder money at risk:</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Votes cast in favor</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2,917,981</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Votes cast against</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59,513,156</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Votes abstained</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18,688</w:t>
            </w:r>
          </w:p>
        </w:tc>
      </w:t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Non-votes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262,607</w:t>
            </w:r>
          </w:p>
        </w:tc>
      </w:tr>
    </w:tbl>
    <w:p>
      <w:pPr>
        <w:spacing w:after="0" w:line="9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After the proxy statement was issued, the New York State Common Retirement Fund withdrew its proposal to adopt a policy requiring the Registrant to publicly disclose its workforce diversity. Therefore, there was no vote for Proposal No. 5 held or announced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3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Universal Health Services, Inc.</w:t>
      </w:r>
    </w:p>
    <w:p>
      <w:pPr>
        <w:spacing w:after="0" w:line="2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Steve Filton</w:t>
      </w:r>
    </w:p>
    <w:p>
      <w:pPr>
        <w:spacing w:after="0" w:line="3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Steve Filton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-127635</wp:posOffset>
            </wp:positionV>
            <wp:extent cx="2606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 Executive Vice President and</w:t>
      </w:r>
    </w:p>
    <w:p>
      <w:pPr>
        <w:spacing w:after="0" w:line="9"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970280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2026-05-22T06:31:40Z</dcterms:created>
  <dcterms:modified xsi:type="dcterms:W3CDTF">2026-05-22T06:31:40Z</dcterms:modified>
</cp:coreProperties>
</file>