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50373ds8.htm"/>
      <w:bookmarkStart w:id="1" w:name="ksd150373ds8"/>
      <w:bookmarkEnd w:id="0"/>
      <w:bookmarkEnd w:id="1"/>
      <w:r>
        <w:rPr>
          <w:rFonts w:ascii="Times New Roman" w:hAnsi="Times New Roman"/>
          <w:b/>
          <w:sz w:val="20"/>
        </w:rPr>
        <w:t xml:space="preserve">As filed with the Securities and Exchange Commission on August 18,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UNIVERSAL HEALTH SERVICES,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23-2077891</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Universal Corporate Center</w:t>
            </w:r>
          </w:p>
          <w:p>
            <w:pPr>
              <w:pStyle w:val="TableContents"/>
              <w:bidi w:val="0"/>
              <w:spacing w:before="0" w:after="0"/>
              <w:jc w:val="center"/>
              <w:rPr>
                <w:rFonts w:ascii="Times New Roman" w:hAnsi="Times New Roman"/>
                <w:b/>
                <w:sz w:val="20"/>
              </w:rPr>
            </w:pPr>
            <w:r>
              <w:rPr>
                <w:rFonts w:ascii="Times New Roman" w:hAnsi="Times New Roman"/>
                <w:b/>
                <w:sz w:val="20"/>
              </w:rPr>
              <w:t>367 South Gulph Road</w:t>
            </w:r>
          </w:p>
          <w:p>
            <w:pPr>
              <w:pStyle w:val="TableContents"/>
              <w:bidi w:val="0"/>
              <w:spacing w:before="0" w:after="20"/>
              <w:jc w:val="center"/>
              <w:rPr>
                <w:rFonts w:ascii="Times New Roman" w:hAnsi="Times New Roman"/>
                <w:b/>
                <w:sz w:val="20"/>
              </w:rPr>
            </w:pPr>
            <w:r>
              <w:rPr>
                <w:rFonts w:ascii="Times New Roman" w:hAnsi="Times New Roman"/>
                <w:b/>
                <w:sz w:val="20"/>
              </w:rPr>
              <w:t>King of Prussia, Pennsylvania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19406</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Talkspace, Inc. 2021 Incentive Award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MARC D. MILLER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UNIVERSAL HEALTH SERVICES,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Universal Corporate Center </w:t>
      </w:r>
    </w:p>
    <w:p>
      <w:pPr>
        <w:pStyle w:val="TextBody"/>
        <w:bidi w:val="0"/>
        <w:spacing w:before="0" w:after="0"/>
        <w:jc w:val="center"/>
        <w:rPr>
          <w:rFonts w:ascii="Times New Roman" w:hAnsi="Times New Roman"/>
          <w:b/>
          <w:sz w:val="20"/>
        </w:rPr>
      </w:pPr>
      <w:r>
        <w:rPr>
          <w:rFonts w:ascii="Times New Roman" w:hAnsi="Times New Roman"/>
          <w:b/>
          <w:sz w:val="20"/>
        </w:rPr>
        <w:t xml:space="preserve">367 South Gulph Road </w:t>
      </w:r>
    </w:p>
    <w:p>
      <w:pPr>
        <w:pStyle w:val="TextBody"/>
        <w:bidi w:val="0"/>
        <w:spacing w:before="0" w:after="0"/>
        <w:jc w:val="center"/>
        <w:rPr>
          <w:rFonts w:ascii="Times New Roman" w:hAnsi="Times New Roman"/>
          <w:b/>
          <w:sz w:val="20"/>
        </w:rPr>
      </w:pPr>
      <w:r>
        <w:rPr>
          <w:rFonts w:ascii="Times New Roman" w:hAnsi="Times New Roman"/>
          <w:b/>
          <w:sz w:val="20"/>
        </w:rPr>
        <w:t xml:space="preserve">King of Prussia, Pennsylvania 19406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(610) 768-3300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Copies of all communications, including all communications </w:t>
      </w:r>
    </w:p>
    <w:p>
      <w:pPr>
        <w:pStyle w:val="TextBody"/>
        <w:bidi w:val="0"/>
        <w:spacing w:before="0" w:after="0"/>
        <w:jc w:val="center"/>
        <w:rPr>
          <w:rFonts w:ascii="Times New Roman" w:hAnsi="Times New Roman"/>
          <w:b/>
          <w:i/>
          <w:sz w:val="20"/>
        </w:rPr>
      </w:pPr>
      <w:r>
        <w:rPr>
          <w:rFonts w:ascii="Times New Roman" w:hAnsi="Times New Roman"/>
          <w:b/>
          <w:i/>
          <w:sz w:val="20"/>
        </w:rPr>
        <w:t xml:space="preserve">sent to the agent for service, should be sent to: </w:t>
      </w:r>
    </w:p>
    <w:p>
      <w:pPr>
        <w:pStyle w:val="TextBody"/>
        <w:bidi w:val="0"/>
        <w:spacing w:before="120" w:after="0"/>
        <w:jc w:val="center"/>
        <w:rPr>
          <w:rFonts w:ascii="Times New Roman" w:hAnsi="Times New Roman"/>
          <w:b/>
          <w:sz w:val="20"/>
        </w:rPr>
      </w:pPr>
      <w:r>
        <w:rPr>
          <w:rFonts w:ascii="Times New Roman" w:hAnsi="Times New Roman"/>
          <w:b/>
          <w:sz w:val="20"/>
        </w:rPr>
        <w:t xml:space="preserve">WARREN J. NIMETZ, ESQ. </w:t>
      </w:r>
    </w:p>
    <w:p>
      <w:pPr>
        <w:pStyle w:val="TextBody"/>
        <w:bidi w:val="0"/>
        <w:spacing w:before="0" w:after="0"/>
        <w:jc w:val="center"/>
        <w:rPr>
          <w:rFonts w:ascii="Times New Roman" w:hAnsi="Times New Roman"/>
          <w:b/>
          <w:sz w:val="20"/>
        </w:rPr>
      </w:pPr>
      <w:r>
        <w:rPr>
          <w:rFonts w:ascii="Times New Roman" w:hAnsi="Times New Roman"/>
          <w:b/>
          <w:sz w:val="20"/>
        </w:rPr>
        <w:t xml:space="preserve">Norton Rose Fulbright US LLP </w:t>
      </w:r>
    </w:p>
    <w:p>
      <w:pPr>
        <w:pStyle w:val="TextBody"/>
        <w:bidi w:val="0"/>
        <w:spacing w:before="0" w:after="0"/>
        <w:jc w:val="center"/>
        <w:rPr>
          <w:rFonts w:ascii="Times New Roman" w:hAnsi="Times New Roman"/>
          <w:b/>
          <w:sz w:val="20"/>
        </w:rPr>
      </w:pPr>
      <w:r>
        <w:rPr>
          <w:rFonts w:ascii="Times New Roman" w:hAnsi="Times New Roman"/>
          <w:b/>
          <w:sz w:val="20"/>
        </w:rPr>
        <w:t xml:space="preserve">1301 Avenue of the Americas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10019 </w:t>
      </w:r>
    </w:p>
    <w:p>
      <w:pPr>
        <w:pStyle w:val="TextBody"/>
        <w:bidi w:val="0"/>
        <w:spacing w:before="0" w:after="0"/>
        <w:jc w:val="center"/>
        <w:rPr>
          <w:rFonts w:ascii="Times New Roman" w:hAnsi="Times New Roman"/>
          <w:b/>
          <w:sz w:val="20"/>
        </w:rPr>
      </w:pPr>
      <w:r>
        <w:rPr>
          <w:rFonts w:ascii="Times New Roman" w:hAnsi="Times New Roman"/>
          <w:b/>
          <w:sz w:val="20"/>
        </w:rPr>
        <w:t xml:space="preserve">(212) 318-3000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9"/>
        <w:gridCol w:w="101"/>
        <w:gridCol w:w="4821"/>
        <w:gridCol w:w="126"/>
        <w:gridCol w:w="2614"/>
        <w:gridCol w:w="101"/>
        <w:gridCol w:w="253"/>
      </w:tblGrid>
      <w:tr>
        <w:trPr/>
        <w:tc>
          <w:tcPr>
            <w:tcW w:w="218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82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bidi w:val="0"/>
              <w:spacing w:before="0" w:after="283"/>
              <w:jc w:val="left"/>
              <w:rPr/>
            </w:pPr>
            <w:r>
              <w:rPr/>
              <w:t>Large accelerated filer</w:t>
            </w:r>
          </w:p>
        </w:tc>
        <w:tc>
          <w:tcPr>
            <w:tcW w:w="101" w:type="dxa"/>
            <w:tcBorders/>
            <w:vAlign w:val="bottom"/>
          </w:tcPr>
          <w:p>
            <w:pPr>
              <w:pStyle w:val="TableContents"/>
              <w:bidi w:val="0"/>
              <w:spacing w:before="0" w:after="283"/>
              <w:jc w:val="left"/>
              <w:rPr/>
            </w:pPr>
            <w:r>
              <w:rPr/>
              <w:t> </w:t>
            </w:r>
          </w:p>
        </w:tc>
        <w:tc>
          <w:tcPr>
            <w:tcW w:w="4821"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4" w:type="dxa"/>
            <w:tcBorders/>
            <w:vAlign w:val="bottom"/>
          </w:tcPr>
          <w:p>
            <w:pPr>
              <w:pStyle w:val="TableContents"/>
              <w:bidi w:val="0"/>
              <w:spacing w:before="0" w:after="283"/>
              <w:jc w:val="left"/>
              <w:rPr/>
            </w:pPr>
            <w:r>
              <w:rPr/>
              <w:t>Accelerated filer</w:t>
            </w:r>
          </w:p>
        </w:tc>
        <w:tc>
          <w:tcPr>
            <w:tcW w:w="10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r>
      <w:tr>
        <w:trPr>
          <w:trHeight w:val="120" w:hRule="atLeast"/>
        </w:trPr>
        <w:tc>
          <w:tcPr>
            <w:tcW w:w="2189"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40" w:type="dxa"/>
            <w:gridSpan w:val="2"/>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bidi w:val="0"/>
              <w:spacing w:before="0" w:after="283"/>
              <w:jc w:val="left"/>
              <w:rPr/>
            </w:pPr>
            <w:r>
              <w:rPr/>
              <w:t>Non-accelerated filer</w:t>
            </w:r>
          </w:p>
        </w:tc>
        <w:tc>
          <w:tcPr>
            <w:tcW w:w="101" w:type="dxa"/>
            <w:tcBorders/>
            <w:vAlign w:val="bottom"/>
          </w:tcPr>
          <w:p>
            <w:pPr>
              <w:pStyle w:val="TableContents"/>
              <w:bidi w:val="0"/>
              <w:spacing w:before="0" w:after="283"/>
              <w:jc w:val="left"/>
              <w:rPr/>
            </w:pPr>
            <w:r>
              <w:rPr/>
              <w:t> </w:t>
            </w:r>
          </w:p>
        </w:tc>
        <w:tc>
          <w:tcPr>
            <w:tcW w:w="4821" w:type="dxa"/>
            <w:tcBorders/>
            <w:vAlign w:val="bottom"/>
          </w:tcPr>
          <w:p>
            <w:pPr>
              <w:pStyle w:val="TableContents"/>
              <w:bidi w:val="0"/>
              <w:spacing w:before="0" w:after="283"/>
              <w:jc w:val="left"/>
              <w:rPr/>
            </w:pPr>
            <w:r>
              <w:rPr/>
              <w:t>☐ </w:t>
            </w:r>
            <w:r>
              <w:rPr/>
              <w:t>(Do not check if a smaller reporting company)</w:t>
            </w:r>
          </w:p>
        </w:tc>
        <w:tc>
          <w:tcPr>
            <w:tcW w:w="126" w:type="dxa"/>
            <w:tcBorders/>
            <w:vAlign w:val="bottom"/>
          </w:tcPr>
          <w:p>
            <w:pPr>
              <w:pStyle w:val="TableContents"/>
              <w:bidi w:val="0"/>
              <w:spacing w:before="0" w:after="283"/>
              <w:jc w:val="left"/>
              <w:rPr/>
            </w:pPr>
            <w:r>
              <w:rPr/>
              <w:t>  </w:t>
            </w:r>
          </w:p>
        </w:tc>
        <w:tc>
          <w:tcPr>
            <w:tcW w:w="2614" w:type="dxa"/>
            <w:tcBorders/>
            <w:vAlign w:val="bottom"/>
          </w:tcPr>
          <w:p>
            <w:pPr>
              <w:pStyle w:val="TableContents"/>
              <w:bidi w:val="0"/>
              <w:spacing w:before="0" w:after="283"/>
              <w:jc w:val="left"/>
              <w:rPr/>
            </w:pPr>
            <w:r>
              <w:rPr/>
              <w:t>Smaller reporting company</w:t>
            </w:r>
          </w:p>
        </w:tc>
        <w:tc>
          <w:tcPr>
            <w:tcW w:w="10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r>
      <w:tr>
        <w:trPr>
          <w:trHeight w:val="120" w:hRule="atLeast"/>
        </w:trPr>
        <w:tc>
          <w:tcPr>
            <w:tcW w:w="2189"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40" w:type="dxa"/>
            <w:gridSpan w:val="2"/>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821"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4" w:type="dxa"/>
            <w:tcBorders/>
            <w:vAlign w:val="bottom"/>
          </w:tcPr>
          <w:p>
            <w:pPr>
              <w:pStyle w:val="TableContents"/>
              <w:bidi w:val="0"/>
              <w:spacing w:before="0" w:after="283"/>
              <w:jc w:val="left"/>
              <w:rPr/>
            </w:pPr>
            <w:r>
              <w:rPr/>
              <w:t>Emerging growth company</w:t>
            </w:r>
          </w:p>
        </w:tc>
        <w:tc>
          <w:tcPr>
            <w:tcW w:w="10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The Registration Statement shall become effective upon filing in accordance with Rule 462 under the Securities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March 9, 2026, Universal Health Services, Inc. (the “Company” or the “Registrant”), UHS Merger Sub, Inc., a direct wholly owned subsidiary of the Company, and Talkspace, Inc. (“Talkspace”) entered into an Agreement and Plan of Merger (the “Merger Agreement”). On August 17, 2026, the Company completed the transactions contemplated by the Merger Agreement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S-8 (this “Registration Statement”) is being filed by the Company to register 156,202 shares of Class B Common Stock, par value $0.01 per share, of the Company (“UHS Class B Common Stock”), which may be issuable upon the vesting or settlement of certain stock option and restricted stock unit awards granted under the Talkspace, Inc. 2021 Incentive Award Plan, as amended (the “Talkspace Plan”), which were assumed by the Company and converted into equity awards pursuant to the Merger Agreement (the “Assumed Awards”). </w:t>
      </w:r>
    </w:p>
    <w:p>
      <w:pPr>
        <w:pStyle w:val="TextBody"/>
        <w:bidi w:val="0"/>
        <w:spacing w:before="240" w:after="0"/>
        <w:jc w:val="left"/>
        <w:rPr>
          <w:rFonts w:ascii="Times New Roman" w:hAnsi="Times New Roman"/>
          <w:sz w:val="20"/>
        </w:rPr>
      </w:pPr>
      <w:r>
        <w:rPr>
          <w:rFonts w:ascii="Times New Roman" w:hAnsi="Times New Roman"/>
          <w:sz w:val="20"/>
        </w:rPr>
        <w:t xml:space="preserve">The Assumed Awards are subject to the same terms and conditions as applied to the corresponding awards under the Talkspace Plan and award agreements, including any applicable vesting schedules and termination protections that apply following the Effective Time, except that (i) the Assumed Awards relate to shares of UHS Class B Common Stock, and (ii) the number of shares of UHS Class B Common Stock subject to the Assumed Awards and, with respect to assumed options, the adjusted exercise price of such options were the result of adjustments based upon an equity award exchange ratio pursuant to the Merger Agreement and upon applicable provisions of the U.S. federal income tax code.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416(a) promulgated under the Securities Act of 1933, as amended (the “Securities Act”), this Registration Statement shall also cover any additional shares of UHS Class B Common Stock that become issuable by reason of any stock dividend, stock split, recapitalization or other similar transaction that results in an increase in the number of outstanding shares of UHS Class B Common Stock.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documents containing information specified in Part I will be delivered in accordance with Form S-8 and Rule 428(b)(1) under the Securities Act. Such documents are not required to be, and are not, filed with the Securities and Exchange Commission (the “SEC”), either as part of this Registration Statement or as prospectuses or prospectus supplements pursuant to Rule 424 under the Securities Act. These documents, and the documents incorporated by reference in this Registration Statement pursuant to Item 3 of Part II of this Form S-8, taken together, constitute a prospectus that meets the requirements of Section 10(a) of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by the Company with the SEC are incorporated by reference in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pPr>
            <w:r>
              <w:rPr>
                <w:rFonts w:ascii="Times New Roman" w:hAnsi="Times New Roman"/>
                <w:sz w:val="20"/>
              </w:rPr>
              <w:t xml:space="preserve">The Company’s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25, 2026 (SEC File No. 001-10765);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pPr>
            <w:r>
              <w:rPr>
                <w:rFonts w:ascii="Times New Roman" w:hAnsi="Times New Roman"/>
                <w:sz w:val="20"/>
              </w:rPr>
              <w:t xml:space="preserve">The Company’s Quarterly Reports on Form 10-Q for the period ended March 31, 2026, filed with the SEC on </w:t>
            </w:r>
            <w:hyperlink r:id="rId3">
              <w:r>
                <w:rPr>
                  <w:rStyle w:val="InternetLink"/>
                  <w:rFonts w:ascii="Times New Roman" w:hAnsi="Times New Roman"/>
                  <w:sz w:val="20"/>
                </w:rPr>
                <w:t>May 7, 2026</w:t>
              </w:r>
            </w:hyperlink>
            <w:r>
              <w:rPr>
                <w:rFonts w:ascii="Times New Roman" w:hAnsi="Times New Roman"/>
                <w:sz w:val="20"/>
              </w:rPr>
              <w:t xml:space="preserve"> and for the period ended June  30, 2026 filed with the SEC on </w:t>
            </w:r>
            <w:hyperlink r:id="rId4">
              <w:r>
                <w:rPr>
                  <w:rStyle w:val="InternetLink"/>
                  <w:rFonts w:ascii="Times New Roman" w:hAnsi="Times New Roman"/>
                  <w:sz w:val="20"/>
                </w:rPr>
                <w:t>August 7, 2026</w:t>
              </w:r>
            </w:hyperlink>
            <w:r>
              <w:rPr>
                <w:rFonts w:ascii="Times New Roman" w:hAnsi="Times New Roman"/>
                <w:sz w:val="20"/>
              </w:rPr>
              <w:t xml:space="preserve"> (SEC File No. 001-10765);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pPr>
            <w:r>
              <w:rPr>
                <w:rFonts w:ascii="Times New Roman" w:hAnsi="Times New Roman"/>
                <w:sz w:val="20"/>
              </w:rPr>
              <w:t xml:space="preserve">The Company’s Current Reports on Form  8-K filed with the SEC on </w:t>
            </w:r>
            <w:hyperlink r:id="rId5">
              <w:r>
                <w:rPr>
                  <w:rStyle w:val="InternetLink"/>
                  <w:rFonts w:ascii="Times New Roman" w:hAnsi="Times New Roman"/>
                  <w:sz w:val="20"/>
                </w:rPr>
                <w:t>February 26, 2026</w:t>
              </w:r>
            </w:hyperlink>
            <w:r>
              <w:rPr>
                <w:rFonts w:ascii="Times New Roman" w:hAnsi="Times New Roman"/>
                <w:sz w:val="20"/>
              </w:rPr>
              <w:t xml:space="preserve"> (Item  8.01 only), </w:t>
            </w:r>
            <w:hyperlink r:id="rId6">
              <w:r>
                <w:rPr>
                  <w:rStyle w:val="InternetLink"/>
                  <w:rFonts w:ascii="Times New Roman" w:hAnsi="Times New Roman"/>
                  <w:sz w:val="20"/>
                </w:rPr>
                <w:t>March  9, 2026</w:t>
              </w:r>
            </w:hyperlink>
            <w:r>
              <w:rPr>
                <w:rFonts w:ascii="Times New Roman" w:hAnsi="Times New Roman"/>
                <w:sz w:val="20"/>
              </w:rPr>
              <w:t xml:space="preserve">, </w:t>
            </w:r>
            <w:hyperlink r:id="rId7">
              <w:r>
                <w:rPr>
                  <w:rStyle w:val="InternetLink"/>
                  <w:rFonts w:ascii="Times New Roman" w:hAnsi="Times New Roman"/>
                  <w:sz w:val="20"/>
                </w:rPr>
                <w:t>March  30, 2026</w:t>
              </w:r>
            </w:hyperlink>
            <w:r>
              <w:rPr>
                <w:rFonts w:ascii="Times New Roman" w:hAnsi="Times New Roman"/>
                <w:sz w:val="20"/>
              </w:rPr>
              <w:t xml:space="preserve">, </w:t>
            </w:r>
            <w:hyperlink r:id="rId8">
              <w:r>
                <w:rPr>
                  <w:rStyle w:val="InternetLink"/>
                  <w:rFonts w:ascii="Times New Roman" w:hAnsi="Times New Roman"/>
                  <w:sz w:val="20"/>
                </w:rPr>
                <w:t>April  24, 2026</w:t>
              </w:r>
            </w:hyperlink>
            <w:r>
              <w:rPr>
                <w:rFonts w:ascii="Times New Roman" w:hAnsi="Times New Roman"/>
                <w:sz w:val="20"/>
              </w:rPr>
              <w:t xml:space="preserve">, </w:t>
            </w:r>
            <w:hyperlink r:id="rId9">
              <w:r>
                <w:rPr>
                  <w:rStyle w:val="InternetLink"/>
                  <w:rFonts w:ascii="Times New Roman" w:hAnsi="Times New Roman"/>
                  <w:sz w:val="20"/>
                </w:rPr>
                <w:t>May  21, 2026</w:t>
              </w:r>
            </w:hyperlink>
            <w:r>
              <w:rPr>
                <w:rFonts w:ascii="Times New Roman" w:hAnsi="Times New Roman"/>
                <w:sz w:val="20"/>
              </w:rPr>
              <w:t xml:space="preserve">, </w:t>
            </w:r>
            <w:hyperlink r:id="rId10">
              <w:r>
                <w:rPr>
                  <w:rStyle w:val="InternetLink"/>
                  <w:rFonts w:ascii="Times New Roman" w:hAnsi="Times New Roman"/>
                  <w:sz w:val="20"/>
                </w:rPr>
                <w:t>May  22, 2026</w:t>
              </w:r>
            </w:hyperlink>
            <w:r>
              <w:rPr>
                <w:rFonts w:ascii="Times New Roman" w:hAnsi="Times New Roman"/>
                <w:sz w:val="20"/>
              </w:rPr>
              <w:t xml:space="preserve">, </w:t>
            </w:r>
            <w:hyperlink r:id="rId11">
              <w:r>
                <w:rPr>
                  <w:rStyle w:val="InternetLink"/>
                  <w:rFonts w:ascii="Times New Roman" w:hAnsi="Times New Roman"/>
                  <w:sz w:val="20"/>
                </w:rPr>
                <w:t>July  21, 2026</w:t>
              </w:r>
            </w:hyperlink>
            <w:r>
              <w:rPr>
                <w:rFonts w:ascii="Times New Roman" w:hAnsi="Times New Roman"/>
                <w:sz w:val="20"/>
              </w:rPr>
              <w:t xml:space="preserve"> and </w:t>
            </w:r>
            <w:hyperlink r:id="rId12">
              <w:r>
                <w:rPr>
                  <w:rStyle w:val="InternetLink"/>
                  <w:rFonts w:ascii="Times New Roman" w:hAnsi="Times New Roman"/>
                  <w:sz w:val="20"/>
                </w:rPr>
                <w:t>August 13, 2026</w:t>
              </w:r>
            </w:hyperlink>
            <w:r>
              <w:rPr>
                <w:rFonts w:ascii="Times New Roman" w:hAnsi="Times New Roman"/>
                <w:sz w:val="20"/>
              </w:rPr>
              <w:t xml:space="preserve"> (SEC File No. 001-10765);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pPr>
            <w:r>
              <w:rPr>
                <w:rFonts w:ascii="Times New Roman" w:hAnsi="Times New Roman"/>
                <w:sz w:val="20"/>
              </w:rPr>
              <w:t xml:space="preserve">The description of the Company’s Class  B Common Stock contained in </w:t>
            </w:r>
            <w:hyperlink r:id="rId13">
              <w:r>
                <w:rPr>
                  <w:rStyle w:val="InternetLink"/>
                  <w:rFonts w:ascii="Times New Roman" w:hAnsi="Times New Roman"/>
                  <w:sz w:val="20"/>
                </w:rPr>
                <w:t>Exhibit 4.5</w:t>
              </w:r>
            </w:hyperlink>
            <w:r>
              <w:rPr>
                <w:rFonts w:ascii="Times New Roman" w:hAnsi="Times New Roman"/>
                <w:sz w:val="20"/>
              </w:rPr>
              <w:t xml:space="preserve"> to the Company’s Annual Report on Form 10-K for the fiscal year ended December 31, 2019, filed with the SEC on February 20, 2020 (SEC File No. 001-10765), and as amended by any subsequent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Company pursuant to Sections 13(a), 13(c), 14 and 15(d) of the Securities Exchange Act of 1934, as amended (other than Current Reports on Form 8-K furnished pursuant to Item 2.02 or Item 7.01 of Form 8-K, including any exhibits included with such information, unless otherwise indicated therein), subsequent to the date of this Registration Statement and prior to the filing of a post-effective amendment that indicates that all securities offered have been sold or that deregisters all securities then remaining unsold, shall be deemed to be incorporated by reference herein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Registration Statement or in a document incorporated or deemed to be incorporated herein by reference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The Company retains Norton Rose Fulbright US LLP as outside counsel, and Norton Rose Fulbright US LLP assisted in the preparation of this Registration Statement. Warren J. Nimetz, a director of the Company who owns less than one percent of the Company’s outstanding capital stock, is Of Counsel to Norton Rose Fulbright US LLP.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Section 145(a) of the General Corporation Law of the State of Delaware (the “DGCL”) grants each corporation organized thereunder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145(b) of the DGCL grants each corporation organized thereunder the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pursuant to Section 145(b) of the DGCL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may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145(c) of the DGCL provides that to the extent that a present or former director or officer of a corporation has been successful on the merits or otherwise in defense of any action, suit or proceeding referred to in Sections 145(a) and (b) of the DGCL, as described in the preceding paragraphs, or in defense of any claim, issue or matter therein, such person shall be indemnified against expenses (including attorneys’ fees) actually and reasonably incurred by such person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145(g) of the DGCL provides, in general, that a corporation shall have the power to purchase and maintain insurance on behalf of any person who is or was a director, officer, employee or agent of the corporation against any liability asserted against the person in any such capacity, or arising out of the person’s status as such, regardless of whether the corporation would have the power to indemnify the person against such liability under the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enables a corporation in its certificate of incorporation or an amendment thereto to eliminate or limit the personal liability of a director or officer to the corporation or its stockholders of monetary damages for breach of fiduciary duty as a director or officer, provided that such provision shall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 174 of this title; (iv) a director or officer for any transaction from which the director or officer derived an improper personal benefit; or (v) An officer in any action by or in the right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174 of the DGCL provides, among other things, that a director who willfully or negligently approves of an unlawful payment of dividends or an unlawful stock repurchase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of the Company provides for indemnification of officers and directors to the fullest extent permitted by Delaware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bylaws of Company provides that, to the full extent permitted by the laws of the State of Delaware, the Company shall indemnify any person made or threatened to be made a party to any threatened, pending, or completed action, suit or proceeding by reason of the fact that such person is or was a director, officer, employee or agent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obtained an insurance policy that covers its officers and directors with respect to certain liabilities, including liabilities arising under the Securities Act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Note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4"/>
        <w:gridCol w:w="491"/>
        <w:gridCol w:w="9150"/>
      </w:tblGrid>
      <w:tr>
        <w:trPr/>
        <w:tc>
          <w:tcPr>
            <w:tcW w:w="564"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9150" w:type="dxa"/>
            <w:tcBorders/>
            <w:vAlign w:val="center"/>
          </w:tcPr>
          <w:p>
            <w:pPr>
              <w:pStyle w:val="TableContents"/>
              <w:bidi w:val="0"/>
              <w:spacing w:before="0" w:after="283"/>
              <w:jc w:val="left"/>
              <w:rPr>
                <w:sz w:val="4"/>
                <w:szCs w:val="4"/>
              </w:rPr>
            </w:pPr>
            <w:r>
              <w:rPr>
                <w:sz w:val="4"/>
                <w:szCs w:val="4"/>
              </w:rPr>
            </w:r>
          </w:p>
        </w:tc>
      </w:tr>
      <w:tr>
        <w:trPr/>
        <w:tc>
          <w:tcPr>
            <w:tcW w:w="56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491" w:type="dxa"/>
            <w:tcBorders/>
            <w:vAlign w:val="bottom"/>
          </w:tcPr>
          <w:p>
            <w:pPr>
              <w:pStyle w:val="TableContents"/>
              <w:bidi w:val="0"/>
              <w:spacing w:before="0" w:after="283"/>
              <w:jc w:val="left"/>
              <w:rPr/>
            </w:pPr>
            <w:r>
              <w:rPr/>
              <w:t>  </w:t>
            </w:r>
          </w:p>
        </w:tc>
        <w:tc>
          <w:tcPr>
            <w:tcW w:w="9150" w:type="dxa"/>
            <w:tcBorders/>
            <w:vAlign w:val="bottom"/>
          </w:tcPr>
          <w:p>
            <w:pPr>
              <w:pStyle w:val="TableContents"/>
              <w:bidi w:val="0"/>
              <w:spacing w:before="0" w:after="283"/>
              <w:jc w:val="left"/>
              <w:rPr>
                <w:b/>
              </w:rPr>
            </w:pPr>
            <w:r>
              <w:rPr>
                <w:b/>
              </w:rPr>
              <w:t>Description</w:t>
            </w:r>
          </w:p>
        </w:tc>
      </w:tr>
      <w:tr>
        <w:trPr>
          <w:trHeight w:val="120" w:hRule="atLeast"/>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tcPr>
          <w:p>
            <w:pPr>
              <w:pStyle w:val="TableContents"/>
              <w:bidi w:val="0"/>
              <w:spacing w:before="0" w:after="283"/>
              <w:jc w:val="left"/>
              <w:rPr/>
            </w:pPr>
            <w:r>
              <w:rPr/>
              <w:t> </w:t>
            </w:r>
            <w:r>
              <w:rPr/>
              <w:t>4.1</w:t>
            </w:r>
          </w:p>
        </w:tc>
        <w:tc>
          <w:tcPr>
            <w:tcW w:w="491" w:type="dxa"/>
            <w:tcBorders/>
            <w:vAlign w:val="bottom"/>
          </w:tcPr>
          <w:p>
            <w:pPr>
              <w:pStyle w:val="TableContents"/>
              <w:bidi w:val="0"/>
              <w:spacing w:before="0" w:after="283"/>
              <w:jc w:val="left"/>
              <w:rPr/>
            </w:pPr>
            <w:r>
              <w:rPr/>
              <w:t>  </w:t>
            </w:r>
          </w:p>
        </w:tc>
        <w:tc>
          <w:tcPr>
            <w:tcW w:w="9150" w:type="dxa"/>
            <w:tcBorders/>
          </w:tcPr>
          <w:p>
            <w:pPr>
              <w:pStyle w:val="TableContents"/>
              <w:bidi w:val="0"/>
              <w:spacing w:before="0" w:after="283"/>
              <w:jc w:val="left"/>
              <w:rPr/>
            </w:pPr>
            <w:hyperlink r:id="rId14">
              <w:r>
                <w:rPr>
                  <w:rStyle w:val="InternetLink"/>
                </w:rPr>
                <w:t xml:space="preserve">Universal Health Services, Inc. Restated Certificate of Incorporation, and Amendments thereto (incorporated herein by reference to Exhibit 3.1 to the Company’s Quarterly Report on Form 10-Q for the quarter ended June 30, 1997). </w:t>
              </w:r>
            </w:hyperlink>
          </w:p>
        </w:tc>
      </w:tr>
      <w:tr>
        <w:trPr>
          <w:trHeight w:val="120" w:hRule="atLeast"/>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tcPr>
          <w:p>
            <w:pPr>
              <w:pStyle w:val="TableContents"/>
              <w:bidi w:val="0"/>
              <w:spacing w:before="0" w:after="283"/>
              <w:jc w:val="left"/>
              <w:rPr/>
            </w:pPr>
            <w:r>
              <w:rPr/>
              <w:t> </w:t>
            </w:r>
            <w:r>
              <w:rPr/>
              <w:t>4.2</w:t>
            </w:r>
          </w:p>
        </w:tc>
        <w:tc>
          <w:tcPr>
            <w:tcW w:w="491" w:type="dxa"/>
            <w:tcBorders/>
            <w:vAlign w:val="bottom"/>
          </w:tcPr>
          <w:p>
            <w:pPr>
              <w:pStyle w:val="TableContents"/>
              <w:bidi w:val="0"/>
              <w:spacing w:before="0" w:after="283"/>
              <w:jc w:val="left"/>
              <w:rPr/>
            </w:pPr>
            <w:r>
              <w:rPr/>
              <w:t>  </w:t>
            </w:r>
          </w:p>
        </w:tc>
        <w:tc>
          <w:tcPr>
            <w:tcW w:w="9150" w:type="dxa"/>
            <w:tcBorders/>
          </w:tcPr>
          <w:p>
            <w:pPr>
              <w:pStyle w:val="TableContents"/>
              <w:bidi w:val="0"/>
              <w:spacing w:before="0" w:after="283"/>
              <w:jc w:val="left"/>
              <w:rPr/>
            </w:pPr>
            <w:hyperlink r:id="rId15">
              <w:r>
                <w:rPr>
                  <w:rStyle w:val="InternetLink"/>
                </w:rPr>
                <w:t xml:space="preserve">Amendment to the Restated Certificate of Incorporation of Universal Health Services, Inc. (incorporated herein by reference to Exhibit 3.1 to the Company’s Current Report on Form 8-K filed on July 3, 2001). </w:t>
              </w:r>
            </w:hyperlink>
          </w:p>
        </w:tc>
      </w:tr>
      <w:tr>
        <w:trPr>
          <w:trHeight w:val="120" w:hRule="atLeast"/>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tcPr>
          <w:p>
            <w:pPr>
              <w:pStyle w:val="TableContents"/>
              <w:bidi w:val="0"/>
              <w:spacing w:before="0" w:after="283"/>
              <w:jc w:val="left"/>
              <w:rPr/>
            </w:pPr>
            <w:r>
              <w:rPr/>
              <w:t> </w:t>
            </w:r>
            <w:r>
              <w:rPr/>
              <w:t>4.3</w:t>
            </w:r>
          </w:p>
        </w:tc>
        <w:tc>
          <w:tcPr>
            <w:tcW w:w="491" w:type="dxa"/>
            <w:tcBorders/>
            <w:vAlign w:val="bottom"/>
          </w:tcPr>
          <w:p>
            <w:pPr>
              <w:pStyle w:val="TableContents"/>
              <w:bidi w:val="0"/>
              <w:spacing w:before="0" w:after="283"/>
              <w:jc w:val="left"/>
              <w:rPr/>
            </w:pPr>
            <w:r>
              <w:rPr/>
              <w:t>  </w:t>
            </w:r>
          </w:p>
        </w:tc>
        <w:tc>
          <w:tcPr>
            <w:tcW w:w="9150" w:type="dxa"/>
            <w:tcBorders/>
          </w:tcPr>
          <w:p>
            <w:pPr>
              <w:pStyle w:val="TableContents"/>
              <w:bidi w:val="0"/>
              <w:spacing w:before="0" w:after="283"/>
              <w:jc w:val="left"/>
              <w:rPr/>
            </w:pPr>
            <w:hyperlink r:id="rId16">
              <w:r>
                <w:rPr>
                  <w:rStyle w:val="InternetLink"/>
                </w:rPr>
                <w:t xml:space="preserve">Amended and Restated Bylaws of Universal Health Services, Inc. (incorporated herein by reference to Exhibit 3.1 to the Company’s Current Report on Form 8-K filed on September 22, 2022). </w:t>
              </w:r>
            </w:hyperlink>
          </w:p>
        </w:tc>
      </w:tr>
      <w:tr>
        <w:trPr>
          <w:trHeight w:val="120" w:hRule="atLeast"/>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tcPr>
          <w:p>
            <w:pPr>
              <w:pStyle w:val="TableContents"/>
              <w:bidi w:val="0"/>
              <w:spacing w:before="0" w:after="283"/>
              <w:jc w:val="left"/>
              <w:rPr/>
            </w:pPr>
            <w:r>
              <w:rPr/>
              <w:t> </w:t>
            </w:r>
            <w:r>
              <w:rPr/>
              <w:t>4.4</w:t>
            </w:r>
          </w:p>
        </w:tc>
        <w:tc>
          <w:tcPr>
            <w:tcW w:w="491" w:type="dxa"/>
            <w:tcBorders/>
            <w:vAlign w:val="bottom"/>
          </w:tcPr>
          <w:p>
            <w:pPr>
              <w:pStyle w:val="TableContents"/>
              <w:bidi w:val="0"/>
              <w:spacing w:before="0" w:after="283"/>
              <w:jc w:val="left"/>
              <w:rPr/>
            </w:pPr>
            <w:r>
              <w:rPr/>
              <w:t>  </w:t>
            </w:r>
          </w:p>
        </w:tc>
        <w:tc>
          <w:tcPr>
            <w:tcW w:w="9150" w:type="dxa"/>
            <w:tcBorders/>
          </w:tcPr>
          <w:p>
            <w:pPr>
              <w:pStyle w:val="TableContents"/>
              <w:bidi w:val="0"/>
              <w:spacing w:before="0" w:after="283"/>
              <w:jc w:val="left"/>
              <w:rPr/>
            </w:pPr>
            <w:hyperlink r:id="rId17">
              <w:r>
                <w:rPr>
                  <w:rStyle w:val="InternetLink"/>
                </w:rPr>
                <w:t xml:space="preserve">Talkspace, Inc. 2021 Incentive Award Plan (incorporated by reference to Exhibit  99.1 to Talkspace’s Registration Statement on Form S-8 filed on August 30, 2021). </w:t>
              </w:r>
            </w:hyperlink>
          </w:p>
        </w:tc>
      </w:tr>
      <w:tr>
        <w:trPr>
          <w:trHeight w:val="120" w:hRule="atLeast"/>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tcPr>
          <w:p>
            <w:pPr>
              <w:pStyle w:val="TableContents"/>
              <w:bidi w:val="0"/>
              <w:spacing w:before="0" w:after="283"/>
              <w:jc w:val="left"/>
              <w:rPr/>
            </w:pPr>
            <w:r>
              <w:rPr/>
              <w:t> </w:t>
            </w:r>
            <w:r>
              <w:rPr/>
              <w:t>5.1*</w:t>
            </w:r>
          </w:p>
        </w:tc>
        <w:tc>
          <w:tcPr>
            <w:tcW w:w="491" w:type="dxa"/>
            <w:tcBorders/>
            <w:vAlign w:val="bottom"/>
          </w:tcPr>
          <w:p>
            <w:pPr>
              <w:pStyle w:val="TableContents"/>
              <w:bidi w:val="0"/>
              <w:spacing w:before="0" w:after="283"/>
              <w:jc w:val="left"/>
              <w:rPr/>
            </w:pPr>
            <w:r>
              <w:rPr/>
              <w:t>  </w:t>
            </w:r>
          </w:p>
        </w:tc>
        <w:tc>
          <w:tcPr>
            <w:tcW w:w="9150" w:type="dxa"/>
            <w:tcBorders/>
          </w:tcPr>
          <w:p>
            <w:pPr>
              <w:pStyle w:val="TableContents"/>
              <w:bidi w:val="0"/>
              <w:spacing w:before="0" w:after="283"/>
              <w:jc w:val="left"/>
              <w:rPr/>
            </w:pPr>
            <w:hyperlink w:anchor="d150373dex51.htm">
              <w:r>
                <w:rPr>
                  <w:rStyle w:val="InternetLink"/>
                </w:rPr>
                <w:t xml:space="preserve">Opinion of Norton Rose Fulbright US LLP. </w:t>
              </w:r>
            </w:hyperlink>
          </w:p>
        </w:tc>
      </w:tr>
      <w:tr>
        <w:trPr>
          <w:trHeight w:val="120" w:hRule="atLeast"/>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tcPr>
          <w:p>
            <w:pPr>
              <w:pStyle w:val="TableContents"/>
              <w:bidi w:val="0"/>
              <w:spacing w:before="0" w:after="283"/>
              <w:jc w:val="left"/>
              <w:rPr/>
            </w:pPr>
            <w:r>
              <w:rPr/>
              <w:t>23.1*</w:t>
            </w:r>
          </w:p>
        </w:tc>
        <w:tc>
          <w:tcPr>
            <w:tcW w:w="491" w:type="dxa"/>
            <w:tcBorders/>
            <w:vAlign w:val="bottom"/>
          </w:tcPr>
          <w:p>
            <w:pPr>
              <w:pStyle w:val="TableContents"/>
              <w:bidi w:val="0"/>
              <w:spacing w:before="0" w:after="283"/>
              <w:jc w:val="left"/>
              <w:rPr/>
            </w:pPr>
            <w:r>
              <w:rPr/>
              <w:t>  </w:t>
            </w:r>
          </w:p>
        </w:tc>
        <w:tc>
          <w:tcPr>
            <w:tcW w:w="9150" w:type="dxa"/>
            <w:tcBorders/>
          </w:tcPr>
          <w:p>
            <w:pPr>
              <w:pStyle w:val="TableContents"/>
              <w:bidi w:val="0"/>
              <w:spacing w:before="0" w:after="283"/>
              <w:jc w:val="left"/>
              <w:rPr/>
            </w:pPr>
            <w:hyperlink w:anchor="d150373dex231.htm">
              <w:r>
                <w:rPr>
                  <w:rStyle w:val="InternetLink"/>
                </w:rPr>
                <w:t xml:space="preserve">Consent of PricewaterhouseCoopers LLP. </w:t>
              </w:r>
            </w:hyperlink>
          </w:p>
        </w:tc>
      </w:tr>
      <w:tr>
        <w:trPr>
          <w:trHeight w:val="120" w:hRule="atLeast"/>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tcPr>
          <w:p>
            <w:pPr>
              <w:pStyle w:val="TableContents"/>
              <w:bidi w:val="0"/>
              <w:spacing w:before="0" w:after="283"/>
              <w:jc w:val="left"/>
              <w:rPr/>
            </w:pPr>
            <w:r>
              <w:rPr/>
              <w:t>23.2*</w:t>
            </w:r>
          </w:p>
        </w:tc>
        <w:tc>
          <w:tcPr>
            <w:tcW w:w="491" w:type="dxa"/>
            <w:tcBorders/>
            <w:vAlign w:val="bottom"/>
          </w:tcPr>
          <w:p>
            <w:pPr>
              <w:pStyle w:val="TableContents"/>
              <w:bidi w:val="0"/>
              <w:spacing w:before="0" w:after="283"/>
              <w:jc w:val="left"/>
              <w:rPr/>
            </w:pPr>
            <w:r>
              <w:rPr/>
              <w:t>  </w:t>
            </w:r>
          </w:p>
        </w:tc>
        <w:tc>
          <w:tcPr>
            <w:tcW w:w="9150" w:type="dxa"/>
            <w:tcBorders/>
          </w:tcPr>
          <w:p>
            <w:pPr>
              <w:pStyle w:val="TableContents"/>
              <w:bidi w:val="0"/>
              <w:spacing w:before="0" w:after="283"/>
              <w:jc w:val="left"/>
              <w:rPr/>
            </w:pPr>
            <w:hyperlink w:anchor="d150373dex51.htm">
              <w:r>
                <w:rPr>
                  <w:rStyle w:val="InternetLink"/>
                </w:rPr>
                <w:t xml:space="preserve">Consent of Norton Rose Fulbright US LLP (included in Exhibit 5.1). </w:t>
              </w:r>
            </w:hyperlink>
          </w:p>
        </w:tc>
      </w:tr>
      <w:tr>
        <w:trPr>
          <w:trHeight w:val="120" w:hRule="atLeast"/>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tcPr>
          <w:p>
            <w:pPr>
              <w:pStyle w:val="TableContents"/>
              <w:bidi w:val="0"/>
              <w:spacing w:before="0" w:after="283"/>
              <w:jc w:val="left"/>
              <w:rPr/>
            </w:pPr>
            <w:r>
              <w:rPr/>
              <w:t>24.1*</w:t>
            </w:r>
          </w:p>
        </w:tc>
        <w:tc>
          <w:tcPr>
            <w:tcW w:w="491" w:type="dxa"/>
            <w:tcBorders/>
            <w:vAlign w:val="bottom"/>
          </w:tcPr>
          <w:p>
            <w:pPr>
              <w:pStyle w:val="TableContents"/>
              <w:bidi w:val="0"/>
              <w:spacing w:before="0" w:after="283"/>
              <w:jc w:val="left"/>
              <w:rPr/>
            </w:pPr>
            <w:r>
              <w:rPr/>
              <w:t>  </w:t>
            </w:r>
          </w:p>
        </w:tc>
        <w:tc>
          <w:tcPr>
            <w:tcW w:w="9150" w:type="dxa"/>
            <w:tcBorders/>
          </w:tcPr>
          <w:p>
            <w:pPr>
              <w:pStyle w:val="TableContents"/>
              <w:bidi w:val="0"/>
              <w:spacing w:before="0" w:after="283"/>
              <w:jc w:val="left"/>
              <w:rPr/>
            </w:pPr>
            <w:hyperlink w:anchor="sig">
              <w:r>
                <w:rPr>
                  <w:rStyle w:val="InternetLink"/>
                </w:rPr>
                <w:t xml:space="preserve">Power of Attorney (included in the signature page). </w:t>
              </w:r>
            </w:hyperlink>
          </w:p>
        </w:tc>
      </w:tr>
      <w:tr>
        <w:trPr>
          <w:trHeight w:val="120" w:hRule="atLeast"/>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tcPr>
          <w:p>
            <w:pPr>
              <w:pStyle w:val="TableContents"/>
              <w:bidi w:val="0"/>
              <w:spacing w:before="0" w:after="283"/>
              <w:jc w:val="left"/>
              <w:rPr/>
            </w:pPr>
            <w:r>
              <w:rPr/>
              <w:t>107*</w:t>
            </w:r>
          </w:p>
        </w:tc>
        <w:tc>
          <w:tcPr>
            <w:tcW w:w="491" w:type="dxa"/>
            <w:tcBorders/>
            <w:vAlign w:val="bottom"/>
          </w:tcPr>
          <w:p>
            <w:pPr>
              <w:pStyle w:val="TableContents"/>
              <w:bidi w:val="0"/>
              <w:spacing w:before="0" w:after="283"/>
              <w:jc w:val="left"/>
              <w:rPr/>
            </w:pPr>
            <w:r>
              <w:rPr/>
              <w:t>  </w:t>
            </w:r>
          </w:p>
        </w:tc>
        <w:tc>
          <w:tcPr>
            <w:tcW w:w="9150" w:type="dxa"/>
            <w:tcBorders/>
          </w:tcPr>
          <w:p>
            <w:pPr>
              <w:pStyle w:val="TableContents"/>
              <w:bidi w:val="0"/>
              <w:spacing w:before="0" w:after="283"/>
              <w:jc w:val="left"/>
              <w:rPr/>
            </w:pPr>
            <w:hyperlink w:anchor="d150373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however, that paragraphs (a)(1)(i) and (a)(1)(ii)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this Registration Statement on Form S-8 and has duly caused this Registration Statement to be signed on its behalf by the undersigned, thereunto duly authorized, in the City of King of Prussia, Commonwealth of Pennsylvania, on this 18th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UNIVERSAL HEALTH SERVICES,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 Miller</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Marc D. Miller</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22"/>
        <w:gridCol w:w="120"/>
        <w:gridCol w:w="4202"/>
        <w:gridCol w:w="105"/>
        <w:gridCol w:w="1856"/>
      </w:tblGrid>
      <w:tr>
        <w:trPr/>
        <w:tc>
          <w:tcPr>
            <w:tcW w:w="39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02"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392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42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5" w:type="dxa"/>
            <w:tcBorders/>
            <w:vAlign w:val="bottom"/>
          </w:tcPr>
          <w:p>
            <w:pPr>
              <w:pStyle w:val="TableContents"/>
              <w:bidi w:val="0"/>
              <w:spacing w:before="0" w:after="283"/>
              <w:jc w:val="left"/>
              <w:rPr/>
            </w:pPr>
            <w:r>
              <w:rPr/>
              <w:t> </w:t>
            </w:r>
          </w:p>
        </w:tc>
        <w:tc>
          <w:tcPr>
            <w:tcW w:w="18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922" w:type="dxa"/>
            <w:tcBorders/>
            <w:vAlign w:val="center"/>
          </w:tcPr>
          <w:p>
            <w:pPr>
              <w:pStyle w:val="TableContents"/>
              <w:bidi w:val="0"/>
              <w:spacing w:before="0" w:after="283"/>
              <w:jc w:val="left"/>
              <w:rPr>
                <w:sz w:val="4"/>
                <w:szCs w:val="4"/>
              </w:rPr>
            </w:pPr>
            <w:r>
              <w:rPr>
                <w:sz w:val="4"/>
                <w:szCs w:val="4"/>
              </w:rPr>
            </w:r>
          </w:p>
        </w:tc>
        <w:tc>
          <w:tcPr>
            <w:tcW w:w="4322"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r>
      <w:tr>
        <w:trPr/>
        <w:tc>
          <w:tcPr>
            <w:tcW w:w="392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ALAN B. MILLER</w:t>
            </w:r>
          </w:p>
          <w:p>
            <w:pPr>
              <w:pStyle w:val="TableContents"/>
              <w:bidi w:val="0"/>
              <w:spacing w:before="0" w:after="20"/>
              <w:jc w:val="left"/>
              <w:rPr>
                <w:rFonts w:ascii="Times New Roman" w:hAnsi="Times New Roman"/>
                <w:b/>
                <w:sz w:val="20"/>
              </w:rPr>
            </w:pPr>
            <w:r>
              <w:rPr>
                <w:rFonts w:ascii="Times New Roman" w:hAnsi="Times New Roman"/>
                <w:b/>
                <w:sz w:val="20"/>
              </w:rPr>
              <w:t>Alan B. Miller</w:t>
            </w:r>
          </w:p>
        </w:tc>
        <w:tc>
          <w:tcPr>
            <w:tcW w:w="120" w:type="dxa"/>
            <w:tcBorders/>
            <w:vAlign w:val="bottom"/>
          </w:tcPr>
          <w:p>
            <w:pPr>
              <w:pStyle w:val="TableContents"/>
              <w:bidi w:val="0"/>
              <w:spacing w:before="0" w:after="283"/>
              <w:jc w:val="left"/>
              <w:rPr/>
            </w:pPr>
            <w:r>
              <w:rPr/>
              <w:t>  </w:t>
            </w:r>
          </w:p>
        </w:tc>
        <w:tc>
          <w:tcPr>
            <w:tcW w:w="4202" w:type="dxa"/>
            <w:tcBorders/>
          </w:tcPr>
          <w:p>
            <w:pPr>
              <w:pStyle w:val="TableContents"/>
              <w:bidi w:val="0"/>
              <w:spacing w:before="0" w:after="283"/>
              <w:jc w:val="left"/>
              <w:rPr/>
            </w:pPr>
            <w:r>
              <w:rPr/>
              <w:t>Executive Chairman of the Board</w:t>
            </w:r>
          </w:p>
        </w:tc>
        <w:tc>
          <w:tcPr>
            <w:tcW w:w="105"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18, 2026</w:t>
            </w:r>
          </w:p>
        </w:tc>
      </w:tr>
      <w:tr>
        <w:trPr>
          <w:trHeight w:val="240" w:hRule="atLeast"/>
        </w:trPr>
        <w:tc>
          <w:tcPr>
            <w:tcW w:w="3922" w:type="dxa"/>
            <w:tcBorders/>
            <w:vAlign w:val="center"/>
          </w:tcPr>
          <w:p>
            <w:pPr>
              <w:pStyle w:val="TableContents"/>
              <w:bidi w:val="0"/>
              <w:spacing w:before="0" w:after="283"/>
              <w:jc w:val="left"/>
              <w:rPr>
                <w:sz w:val="4"/>
                <w:szCs w:val="4"/>
              </w:rPr>
            </w:pPr>
            <w:r>
              <w:rPr>
                <w:sz w:val="4"/>
                <w:szCs w:val="4"/>
              </w:rPr>
            </w:r>
          </w:p>
        </w:tc>
        <w:tc>
          <w:tcPr>
            <w:tcW w:w="4322"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r>
      <w:tr>
        <w:trPr/>
        <w:tc>
          <w:tcPr>
            <w:tcW w:w="392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MARC D. MILLER</w:t>
            </w:r>
          </w:p>
          <w:p>
            <w:pPr>
              <w:pStyle w:val="TableContents"/>
              <w:bidi w:val="0"/>
              <w:spacing w:before="0" w:after="20"/>
              <w:jc w:val="left"/>
              <w:rPr>
                <w:rFonts w:ascii="Times New Roman" w:hAnsi="Times New Roman"/>
                <w:b/>
                <w:sz w:val="20"/>
              </w:rPr>
            </w:pPr>
            <w:r>
              <w:rPr>
                <w:rFonts w:ascii="Times New Roman" w:hAnsi="Times New Roman"/>
                <w:b/>
                <w:sz w:val="20"/>
              </w:rPr>
              <w:t>Marc D. Miller</w:t>
            </w:r>
          </w:p>
        </w:tc>
        <w:tc>
          <w:tcPr>
            <w:tcW w:w="120" w:type="dxa"/>
            <w:tcBorders/>
            <w:vAlign w:val="bottom"/>
          </w:tcPr>
          <w:p>
            <w:pPr>
              <w:pStyle w:val="TableContents"/>
              <w:bidi w:val="0"/>
              <w:spacing w:before="0" w:after="283"/>
              <w:jc w:val="left"/>
              <w:rPr/>
            </w:pPr>
            <w:r>
              <w:rPr/>
              <w:t>  </w:t>
            </w:r>
          </w:p>
        </w:tc>
        <w:tc>
          <w:tcPr>
            <w:tcW w:w="4202" w:type="dxa"/>
            <w:tcBorders/>
          </w:tcPr>
          <w:p>
            <w:pPr>
              <w:pStyle w:val="TableContents"/>
              <w:bidi w:val="0"/>
              <w:spacing w:before="0" w:after="283"/>
              <w:jc w:val="left"/>
              <w:rPr/>
            </w:pPr>
            <w:r>
              <w:rPr/>
              <w:t>Director, President and Chief Executive Officer (Principal Executive Officer)</w:t>
            </w:r>
          </w:p>
        </w:tc>
        <w:tc>
          <w:tcPr>
            <w:tcW w:w="105"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18, 2026</w:t>
            </w:r>
          </w:p>
        </w:tc>
      </w:tr>
      <w:tr>
        <w:trPr>
          <w:trHeight w:val="240" w:hRule="atLeast"/>
        </w:trPr>
        <w:tc>
          <w:tcPr>
            <w:tcW w:w="3922" w:type="dxa"/>
            <w:tcBorders/>
            <w:vAlign w:val="center"/>
          </w:tcPr>
          <w:p>
            <w:pPr>
              <w:pStyle w:val="TableContents"/>
              <w:bidi w:val="0"/>
              <w:spacing w:before="0" w:after="283"/>
              <w:jc w:val="left"/>
              <w:rPr>
                <w:sz w:val="4"/>
                <w:szCs w:val="4"/>
              </w:rPr>
            </w:pPr>
            <w:r>
              <w:rPr>
                <w:sz w:val="4"/>
                <w:szCs w:val="4"/>
              </w:rPr>
            </w:r>
          </w:p>
        </w:tc>
        <w:tc>
          <w:tcPr>
            <w:tcW w:w="4322"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r>
      <w:tr>
        <w:trPr/>
        <w:tc>
          <w:tcPr>
            <w:tcW w:w="392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NINA CHEN-LANGENMAYR</w:t>
            </w:r>
          </w:p>
          <w:p>
            <w:pPr>
              <w:pStyle w:val="TableContents"/>
              <w:bidi w:val="0"/>
              <w:spacing w:before="0" w:after="20"/>
              <w:jc w:val="left"/>
              <w:rPr>
                <w:rFonts w:ascii="Times New Roman" w:hAnsi="Times New Roman"/>
                <w:b/>
                <w:sz w:val="20"/>
              </w:rPr>
            </w:pPr>
            <w:r>
              <w:rPr>
                <w:rFonts w:ascii="Times New Roman" w:hAnsi="Times New Roman"/>
                <w:b/>
                <w:sz w:val="20"/>
              </w:rPr>
              <w:t>Nina Chen-Langenmayr</w:t>
            </w:r>
          </w:p>
        </w:tc>
        <w:tc>
          <w:tcPr>
            <w:tcW w:w="120" w:type="dxa"/>
            <w:tcBorders/>
            <w:vAlign w:val="bottom"/>
          </w:tcPr>
          <w:p>
            <w:pPr>
              <w:pStyle w:val="TableContents"/>
              <w:bidi w:val="0"/>
              <w:spacing w:before="0" w:after="283"/>
              <w:jc w:val="left"/>
              <w:rPr/>
            </w:pPr>
            <w:r>
              <w:rPr/>
              <w:t>  </w:t>
            </w:r>
          </w:p>
        </w:tc>
        <w:tc>
          <w:tcPr>
            <w:tcW w:w="4202" w:type="dxa"/>
            <w:tcBorders/>
          </w:tcPr>
          <w:p>
            <w:pPr>
              <w:pStyle w:val="TableContents"/>
              <w:bidi w:val="0"/>
              <w:spacing w:before="0" w:after="283"/>
              <w:jc w:val="left"/>
              <w:rPr/>
            </w:pPr>
            <w:r>
              <w:rPr/>
              <w:t>Director</w:t>
            </w:r>
          </w:p>
        </w:tc>
        <w:tc>
          <w:tcPr>
            <w:tcW w:w="105"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18, 2026</w:t>
            </w:r>
          </w:p>
        </w:tc>
      </w:tr>
      <w:tr>
        <w:trPr>
          <w:trHeight w:val="240" w:hRule="atLeast"/>
        </w:trPr>
        <w:tc>
          <w:tcPr>
            <w:tcW w:w="3922" w:type="dxa"/>
            <w:tcBorders/>
            <w:vAlign w:val="center"/>
          </w:tcPr>
          <w:p>
            <w:pPr>
              <w:pStyle w:val="TableContents"/>
              <w:bidi w:val="0"/>
              <w:spacing w:before="0" w:after="283"/>
              <w:jc w:val="left"/>
              <w:rPr>
                <w:sz w:val="4"/>
                <w:szCs w:val="4"/>
              </w:rPr>
            </w:pPr>
            <w:r>
              <w:rPr>
                <w:sz w:val="4"/>
                <w:szCs w:val="4"/>
              </w:rPr>
            </w:r>
          </w:p>
        </w:tc>
        <w:tc>
          <w:tcPr>
            <w:tcW w:w="4322"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r>
      <w:tr>
        <w:trPr/>
        <w:tc>
          <w:tcPr>
            <w:tcW w:w="392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EILEEN C. MCDONNELL</w:t>
            </w:r>
          </w:p>
          <w:p>
            <w:pPr>
              <w:pStyle w:val="TableContents"/>
              <w:bidi w:val="0"/>
              <w:spacing w:before="0" w:after="20"/>
              <w:jc w:val="left"/>
              <w:rPr>
                <w:rFonts w:ascii="Times New Roman" w:hAnsi="Times New Roman"/>
                <w:b/>
                <w:sz w:val="20"/>
              </w:rPr>
            </w:pPr>
            <w:r>
              <w:rPr>
                <w:rFonts w:ascii="Times New Roman" w:hAnsi="Times New Roman"/>
                <w:b/>
                <w:sz w:val="20"/>
              </w:rPr>
              <w:t>Eileen C. McDonnell</w:t>
            </w:r>
          </w:p>
        </w:tc>
        <w:tc>
          <w:tcPr>
            <w:tcW w:w="120" w:type="dxa"/>
            <w:tcBorders/>
            <w:vAlign w:val="bottom"/>
          </w:tcPr>
          <w:p>
            <w:pPr>
              <w:pStyle w:val="TableContents"/>
              <w:bidi w:val="0"/>
              <w:spacing w:before="0" w:after="283"/>
              <w:jc w:val="left"/>
              <w:rPr/>
            </w:pPr>
            <w:r>
              <w:rPr/>
              <w:t>  </w:t>
            </w:r>
          </w:p>
        </w:tc>
        <w:tc>
          <w:tcPr>
            <w:tcW w:w="4202" w:type="dxa"/>
            <w:tcBorders/>
          </w:tcPr>
          <w:p>
            <w:pPr>
              <w:pStyle w:val="TableContents"/>
              <w:bidi w:val="0"/>
              <w:spacing w:before="0" w:after="283"/>
              <w:jc w:val="left"/>
              <w:rPr/>
            </w:pPr>
            <w:r>
              <w:rPr/>
              <w:t>Director</w:t>
            </w:r>
          </w:p>
        </w:tc>
        <w:tc>
          <w:tcPr>
            <w:tcW w:w="105"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18, 2026</w:t>
            </w:r>
          </w:p>
        </w:tc>
      </w:tr>
      <w:tr>
        <w:trPr>
          <w:trHeight w:val="240" w:hRule="atLeast"/>
        </w:trPr>
        <w:tc>
          <w:tcPr>
            <w:tcW w:w="3922" w:type="dxa"/>
            <w:tcBorders/>
            <w:vAlign w:val="center"/>
          </w:tcPr>
          <w:p>
            <w:pPr>
              <w:pStyle w:val="TableContents"/>
              <w:bidi w:val="0"/>
              <w:spacing w:before="0" w:after="283"/>
              <w:jc w:val="left"/>
              <w:rPr>
                <w:sz w:val="4"/>
                <w:szCs w:val="4"/>
              </w:rPr>
            </w:pPr>
            <w:r>
              <w:rPr>
                <w:sz w:val="4"/>
                <w:szCs w:val="4"/>
              </w:rPr>
            </w:r>
          </w:p>
        </w:tc>
        <w:tc>
          <w:tcPr>
            <w:tcW w:w="4322"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r>
      <w:tr>
        <w:trPr/>
        <w:tc>
          <w:tcPr>
            <w:tcW w:w="392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WARREN J. NIMETZ</w:t>
            </w:r>
          </w:p>
          <w:p>
            <w:pPr>
              <w:pStyle w:val="TableContents"/>
              <w:bidi w:val="0"/>
              <w:spacing w:before="0" w:after="20"/>
              <w:jc w:val="left"/>
              <w:rPr>
                <w:rFonts w:ascii="Times New Roman" w:hAnsi="Times New Roman"/>
                <w:b/>
                <w:sz w:val="20"/>
              </w:rPr>
            </w:pPr>
            <w:r>
              <w:rPr>
                <w:rFonts w:ascii="Times New Roman" w:hAnsi="Times New Roman"/>
                <w:b/>
                <w:sz w:val="20"/>
              </w:rPr>
              <w:t>Warren J. Nimetz</w:t>
            </w:r>
          </w:p>
        </w:tc>
        <w:tc>
          <w:tcPr>
            <w:tcW w:w="120" w:type="dxa"/>
            <w:tcBorders/>
            <w:vAlign w:val="bottom"/>
          </w:tcPr>
          <w:p>
            <w:pPr>
              <w:pStyle w:val="TableContents"/>
              <w:bidi w:val="0"/>
              <w:spacing w:before="0" w:after="283"/>
              <w:jc w:val="left"/>
              <w:rPr/>
            </w:pPr>
            <w:r>
              <w:rPr/>
              <w:t>  </w:t>
            </w:r>
          </w:p>
        </w:tc>
        <w:tc>
          <w:tcPr>
            <w:tcW w:w="4202" w:type="dxa"/>
            <w:tcBorders/>
          </w:tcPr>
          <w:p>
            <w:pPr>
              <w:pStyle w:val="TableContents"/>
              <w:bidi w:val="0"/>
              <w:spacing w:before="0" w:after="283"/>
              <w:jc w:val="left"/>
              <w:rPr/>
            </w:pPr>
            <w:r>
              <w:rPr/>
              <w:t>Director</w:t>
            </w:r>
          </w:p>
        </w:tc>
        <w:tc>
          <w:tcPr>
            <w:tcW w:w="105"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18, 2026</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297"/>
        <w:gridCol w:w="120"/>
        <w:gridCol w:w="4861"/>
        <w:gridCol w:w="99"/>
        <w:gridCol w:w="1828"/>
      </w:tblGrid>
      <w:tr>
        <w:trPr/>
        <w:tc>
          <w:tcPr>
            <w:tcW w:w="32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329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MARIA SINGER</w:t>
            </w:r>
          </w:p>
          <w:p>
            <w:pPr>
              <w:pStyle w:val="TableContents"/>
              <w:bidi w:val="0"/>
              <w:spacing w:before="0" w:after="20"/>
              <w:jc w:val="left"/>
              <w:rPr>
                <w:rFonts w:ascii="Times New Roman" w:hAnsi="Times New Roman"/>
                <w:b/>
                <w:sz w:val="20"/>
              </w:rPr>
            </w:pPr>
            <w:r>
              <w:rPr>
                <w:rFonts w:ascii="Times New Roman" w:hAnsi="Times New Roman"/>
                <w:b/>
                <w:sz w:val="20"/>
              </w:rPr>
              <w:t>Maria Singer</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pPr>
            <w:r>
              <w:rPr/>
              <w:t>Director</w:t>
            </w:r>
          </w:p>
        </w:tc>
        <w:tc>
          <w:tcPr>
            <w:tcW w:w="99" w:type="dxa"/>
            <w:tcBorders/>
            <w:vAlign w:val="bottom"/>
          </w:tcPr>
          <w:p>
            <w:pPr>
              <w:pStyle w:val="TableContents"/>
              <w:bidi w:val="0"/>
              <w:spacing w:before="0" w:after="283"/>
              <w:jc w:val="left"/>
              <w:rPr/>
            </w:pPr>
            <w:r>
              <w:rPr/>
              <w:t> </w:t>
            </w:r>
          </w:p>
        </w:tc>
        <w:tc>
          <w:tcPr>
            <w:tcW w:w="1828" w:type="dxa"/>
            <w:tcBorders/>
          </w:tcPr>
          <w:p>
            <w:pPr>
              <w:pStyle w:val="TableContents"/>
              <w:bidi w:val="0"/>
              <w:spacing w:before="0" w:after="283"/>
              <w:jc w:val="left"/>
              <w:rPr/>
            </w:pPr>
            <w:r>
              <w:rPr/>
              <w:t>August 18, 2026</w:t>
            </w:r>
          </w:p>
        </w:tc>
      </w:tr>
      <w:tr>
        <w:trPr>
          <w:trHeight w:val="240" w:hRule="atLeast"/>
        </w:trPr>
        <w:tc>
          <w:tcPr>
            <w:tcW w:w="3297" w:type="dxa"/>
            <w:tcBorders/>
            <w:vAlign w:val="center"/>
          </w:tcPr>
          <w:p>
            <w:pPr>
              <w:pStyle w:val="TableContents"/>
              <w:bidi w:val="0"/>
              <w:spacing w:before="0" w:after="283"/>
              <w:jc w:val="left"/>
              <w:rPr>
                <w:sz w:val="4"/>
                <w:szCs w:val="4"/>
              </w:rPr>
            </w:pPr>
            <w:r>
              <w:rPr>
                <w:sz w:val="4"/>
                <w:szCs w:val="4"/>
              </w:rPr>
            </w:r>
          </w:p>
        </w:tc>
        <w:tc>
          <w:tcPr>
            <w:tcW w:w="4981" w:type="dxa"/>
            <w:gridSpan w:val="2"/>
            <w:tcBorders/>
            <w:vAlign w:val="center"/>
          </w:tcPr>
          <w:p>
            <w:pPr>
              <w:pStyle w:val="TableContents"/>
              <w:bidi w:val="0"/>
              <w:spacing w:before="0" w:after="283"/>
              <w:jc w:val="left"/>
              <w:rPr>
                <w:sz w:val="4"/>
                <w:szCs w:val="4"/>
              </w:rPr>
            </w:pPr>
            <w:r>
              <w:rPr>
                <w:sz w:val="4"/>
                <w:szCs w:val="4"/>
              </w:rPr>
            </w:r>
          </w:p>
        </w:tc>
        <w:tc>
          <w:tcPr>
            <w:tcW w:w="1927" w:type="dxa"/>
            <w:gridSpan w:val="2"/>
            <w:tcBorders/>
            <w:vAlign w:val="center"/>
          </w:tcPr>
          <w:p>
            <w:pPr>
              <w:pStyle w:val="TableContents"/>
              <w:bidi w:val="0"/>
              <w:spacing w:before="0" w:after="283"/>
              <w:jc w:val="left"/>
              <w:rPr>
                <w:sz w:val="4"/>
                <w:szCs w:val="4"/>
              </w:rPr>
            </w:pPr>
            <w:r>
              <w:rPr>
                <w:sz w:val="4"/>
                <w:szCs w:val="4"/>
              </w:rPr>
            </w:r>
          </w:p>
        </w:tc>
      </w:tr>
      <w:tr>
        <w:trPr/>
        <w:tc>
          <w:tcPr>
            <w:tcW w:w="329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ELLIOTT J. SUSSMAN M.D</w:t>
            </w:r>
          </w:p>
          <w:p>
            <w:pPr>
              <w:pStyle w:val="TableContents"/>
              <w:bidi w:val="0"/>
              <w:spacing w:before="0" w:after="20"/>
              <w:jc w:val="left"/>
              <w:rPr>
                <w:rFonts w:ascii="Times New Roman" w:hAnsi="Times New Roman"/>
                <w:b/>
                <w:sz w:val="20"/>
              </w:rPr>
            </w:pPr>
            <w:r>
              <w:rPr>
                <w:rFonts w:ascii="Times New Roman" w:hAnsi="Times New Roman"/>
                <w:b/>
                <w:sz w:val="20"/>
              </w:rPr>
              <w:t>Elliot J. Sussman M.D.</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99" w:type="dxa"/>
            <w:tcBorders/>
            <w:vAlign w:val="bottom"/>
          </w:tcPr>
          <w:p>
            <w:pPr>
              <w:pStyle w:val="TableContents"/>
              <w:bidi w:val="0"/>
              <w:spacing w:before="0" w:after="283"/>
              <w:jc w:val="left"/>
              <w:rPr/>
            </w:pPr>
            <w:r>
              <w:rPr/>
              <w:t> </w:t>
            </w:r>
          </w:p>
        </w:tc>
        <w:tc>
          <w:tcPr>
            <w:tcW w:w="1828" w:type="dxa"/>
            <w:tcBorders/>
          </w:tcPr>
          <w:p>
            <w:pPr>
              <w:pStyle w:val="TableContents"/>
              <w:bidi w:val="0"/>
              <w:spacing w:before="0" w:after="283"/>
              <w:jc w:val="left"/>
              <w:rPr/>
            </w:pPr>
            <w:r>
              <w:rPr/>
              <w:t>August 18, 2026</w:t>
            </w:r>
          </w:p>
        </w:tc>
      </w:tr>
      <w:tr>
        <w:trPr>
          <w:trHeight w:val="240" w:hRule="atLeast"/>
        </w:trPr>
        <w:tc>
          <w:tcPr>
            <w:tcW w:w="3297" w:type="dxa"/>
            <w:tcBorders/>
            <w:vAlign w:val="center"/>
          </w:tcPr>
          <w:p>
            <w:pPr>
              <w:pStyle w:val="TableContents"/>
              <w:bidi w:val="0"/>
              <w:spacing w:before="0" w:after="283"/>
              <w:jc w:val="left"/>
              <w:rPr>
                <w:sz w:val="4"/>
                <w:szCs w:val="4"/>
              </w:rPr>
            </w:pPr>
            <w:r>
              <w:rPr>
                <w:sz w:val="4"/>
                <w:szCs w:val="4"/>
              </w:rPr>
            </w:r>
          </w:p>
        </w:tc>
        <w:tc>
          <w:tcPr>
            <w:tcW w:w="4981" w:type="dxa"/>
            <w:gridSpan w:val="2"/>
            <w:tcBorders/>
            <w:vAlign w:val="center"/>
          </w:tcPr>
          <w:p>
            <w:pPr>
              <w:pStyle w:val="TableContents"/>
              <w:bidi w:val="0"/>
              <w:spacing w:before="0" w:after="283"/>
              <w:jc w:val="left"/>
              <w:rPr>
                <w:sz w:val="4"/>
                <w:szCs w:val="4"/>
              </w:rPr>
            </w:pPr>
            <w:r>
              <w:rPr>
                <w:sz w:val="4"/>
                <w:szCs w:val="4"/>
              </w:rPr>
            </w:r>
          </w:p>
        </w:tc>
        <w:tc>
          <w:tcPr>
            <w:tcW w:w="1927" w:type="dxa"/>
            <w:gridSpan w:val="2"/>
            <w:tcBorders/>
            <w:vAlign w:val="center"/>
          </w:tcPr>
          <w:p>
            <w:pPr>
              <w:pStyle w:val="TableContents"/>
              <w:bidi w:val="0"/>
              <w:spacing w:before="0" w:after="283"/>
              <w:jc w:val="left"/>
              <w:rPr>
                <w:sz w:val="4"/>
                <w:szCs w:val="4"/>
              </w:rPr>
            </w:pPr>
            <w:r>
              <w:rPr>
                <w:sz w:val="4"/>
                <w:szCs w:val="4"/>
              </w:rPr>
            </w:r>
          </w:p>
        </w:tc>
      </w:tr>
      <w:tr>
        <w:trPr/>
        <w:tc>
          <w:tcPr>
            <w:tcW w:w="329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pPr>
            <w:r>
              <w:rPr/>
              <w:t>Executive Vice President, Chief Financial Officer and Secretary (Principal Financial and Accounting Officer)</w:t>
            </w:r>
          </w:p>
        </w:tc>
        <w:tc>
          <w:tcPr>
            <w:tcW w:w="99" w:type="dxa"/>
            <w:tcBorders/>
            <w:vAlign w:val="bottom"/>
          </w:tcPr>
          <w:p>
            <w:pPr>
              <w:pStyle w:val="TableContents"/>
              <w:bidi w:val="0"/>
              <w:spacing w:before="0" w:after="283"/>
              <w:jc w:val="left"/>
              <w:rPr/>
            </w:pPr>
            <w:r>
              <w:rPr/>
              <w:t> </w:t>
            </w:r>
          </w:p>
        </w:tc>
        <w:tc>
          <w:tcPr>
            <w:tcW w:w="1828" w:type="dxa"/>
            <w:tcBorders/>
          </w:tcPr>
          <w:p>
            <w:pPr>
              <w:pStyle w:val="TableContents"/>
              <w:bidi w:val="0"/>
              <w:spacing w:before="0" w:after="283"/>
              <w:jc w:val="left"/>
              <w:rPr/>
            </w:pPr>
            <w:r>
              <w:rPr/>
              <w:t>August 18, 2026</w:t>
            </w:r>
          </w:p>
        </w:tc>
      </w:tr>
    </w:tbl>
    <w:p>
      <w:pPr>
        <w:pStyle w:val="TextBody"/>
        <w:bidi w:val="0"/>
        <w:spacing w:before="0" w:after="0"/>
        <w:jc w:val="right"/>
        <w:rPr>
          <w:rFonts w:ascii="Times New Roman" w:hAnsi="Times New Roman"/>
          <w:b/>
          <w:sz w:val="20"/>
        </w:rPr>
      </w:pPr>
      <w:bookmarkStart w:id="3" w:name="d150373dex51.htm"/>
      <w:bookmarkStart w:id="4" w:name="ksd150373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14"/>
        <w:gridCol w:w="133"/>
        <w:gridCol w:w="2460"/>
        <w:gridCol w:w="133"/>
        <w:gridCol w:w="4465"/>
      </w:tblGrid>
      <w:tr>
        <w:trPr/>
        <w:tc>
          <w:tcPr>
            <w:tcW w:w="301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465" w:type="dxa"/>
            <w:tcBorders/>
            <w:vAlign w:val="center"/>
          </w:tcPr>
          <w:p>
            <w:pPr>
              <w:pStyle w:val="TableContents"/>
              <w:bidi w:val="0"/>
              <w:spacing w:before="0" w:after="283"/>
              <w:jc w:val="left"/>
              <w:rPr>
                <w:sz w:val="4"/>
                <w:szCs w:val="4"/>
              </w:rPr>
            </w:pPr>
            <w:r>
              <w:rPr>
                <w:sz w:val="4"/>
                <w:szCs w:val="4"/>
              </w:rPr>
            </w:r>
          </w:p>
        </w:tc>
      </w:tr>
      <w:tr>
        <w:trPr/>
        <w:tc>
          <w:tcPr>
            <w:tcW w:w="3014"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460"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465" w:type="dxa"/>
            <w:tcBorders/>
          </w:tcPr>
          <w:p>
            <w:pPr>
              <w:pStyle w:val="TableContents"/>
              <w:bidi w:val="0"/>
              <w:spacing w:before="0" w:after="283"/>
              <w:jc w:val="left"/>
              <w:rPr/>
            </w:pPr>
            <w:r>
              <w:rPr/>
              <w:drawing>
                <wp:inline distT="0" distB="0" distL="0" distR="0">
                  <wp:extent cx="280035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2800350" cy="314325"/>
                          </a:xfrm>
                          <a:prstGeom prst="rect">
                            <a:avLst/>
                          </a:prstGeom>
                        </pic:spPr>
                      </pic:pic>
                    </a:graphicData>
                  </a:graphic>
                </wp:inline>
              </w:drawing>
            </w:r>
            <w:r>
              <w:rPr/>
              <w:t xml:space="preserve"> </w:t>
            </w:r>
          </w:p>
        </w:tc>
      </w:tr>
      <w:tr>
        <w:trPr>
          <w:trHeight w:val="240" w:hRule="atLeast"/>
        </w:trPr>
        <w:tc>
          <w:tcPr>
            <w:tcW w:w="3014" w:type="dxa"/>
            <w:tcBorders/>
            <w:vAlign w:val="center"/>
          </w:tcPr>
          <w:p>
            <w:pPr>
              <w:pStyle w:val="TableContents"/>
              <w:bidi w:val="0"/>
              <w:spacing w:before="0" w:after="283"/>
              <w:jc w:val="left"/>
              <w:rPr>
                <w:sz w:val="4"/>
                <w:szCs w:val="4"/>
              </w:rPr>
            </w:pPr>
            <w:r>
              <w:rPr>
                <w:sz w:val="4"/>
                <w:szCs w:val="4"/>
              </w:rPr>
            </w:r>
          </w:p>
        </w:tc>
        <w:tc>
          <w:tcPr>
            <w:tcW w:w="2593" w:type="dxa"/>
            <w:gridSpan w:val="2"/>
            <w:tcBorders/>
            <w:vAlign w:val="center"/>
          </w:tcPr>
          <w:p>
            <w:pPr>
              <w:pStyle w:val="TableContents"/>
              <w:bidi w:val="0"/>
              <w:spacing w:before="0" w:after="283"/>
              <w:jc w:val="left"/>
              <w:rPr>
                <w:sz w:val="4"/>
                <w:szCs w:val="4"/>
              </w:rPr>
            </w:pPr>
            <w:r>
              <w:rPr>
                <w:sz w:val="4"/>
                <w:szCs w:val="4"/>
              </w:rPr>
            </w:r>
          </w:p>
        </w:tc>
        <w:tc>
          <w:tcPr>
            <w:tcW w:w="4598" w:type="dxa"/>
            <w:gridSpan w:val="2"/>
            <w:tcBorders/>
            <w:vAlign w:val="center"/>
          </w:tcPr>
          <w:p>
            <w:pPr>
              <w:pStyle w:val="TableContents"/>
              <w:bidi w:val="0"/>
              <w:spacing w:before="0" w:after="283"/>
              <w:jc w:val="left"/>
              <w:rPr>
                <w:sz w:val="4"/>
                <w:szCs w:val="4"/>
              </w:rPr>
            </w:pPr>
            <w:r>
              <w:rPr>
                <w:sz w:val="4"/>
                <w:szCs w:val="4"/>
              </w:rPr>
            </w:r>
          </w:p>
        </w:tc>
      </w:tr>
      <w:tr>
        <w:trPr/>
        <w:tc>
          <w:tcPr>
            <w:tcW w:w="3014"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460"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465" w:type="dxa"/>
            <w:tcBorders/>
          </w:tcPr>
          <w:p>
            <w:pPr>
              <w:pStyle w:val="TableContents"/>
              <w:bidi w:val="0"/>
              <w:spacing w:before="0" w:after="0"/>
              <w:jc w:val="left"/>
              <w:rPr>
                <w:rFonts w:ascii="Times New Roman" w:hAnsi="Times New Roman"/>
                <w:sz w:val="20"/>
              </w:rPr>
            </w:pPr>
            <w:r>
              <w:rPr>
                <w:rFonts w:ascii="Times New Roman" w:hAnsi="Times New Roman"/>
                <w:sz w:val="20"/>
              </w:rPr>
              <w:t>Norton Rose Fulbright US LLP</w:t>
            </w:r>
          </w:p>
          <w:p>
            <w:pPr>
              <w:pStyle w:val="TableContents"/>
              <w:bidi w:val="0"/>
              <w:spacing w:before="0" w:after="0"/>
              <w:jc w:val="left"/>
              <w:rPr>
                <w:rFonts w:ascii="Times New Roman" w:hAnsi="Times New Roman"/>
                <w:sz w:val="20"/>
              </w:rPr>
            </w:pPr>
            <w:r>
              <w:rPr>
                <w:rFonts w:ascii="Times New Roman" w:hAnsi="Times New Roman"/>
                <w:sz w:val="20"/>
              </w:rPr>
              <w:t>1301 Avenue of the Americas</w:t>
            </w:r>
          </w:p>
          <w:p>
            <w:pPr>
              <w:pStyle w:val="TableContents"/>
              <w:bidi w:val="0"/>
              <w:spacing w:before="0" w:after="0"/>
              <w:jc w:val="left"/>
              <w:rPr>
                <w:rFonts w:ascii="Times New Roman" w:hAnsi="Times New Roman"/>
                <w:sz w:val="20"/>
              </w:rPr>
            </w:pPr>
            <w:r>
              <w:rPr>
                <w:rFonts w:ascii="Times New Roman" w:hAnsi="Times New Roman"/>
                <w:sz w:val="20"/>
              </w:rPr>
              <w:t>New York, New York 10019-6022</w:t>
            </w:r>
          </w:p>
          <w:p>
            <w:pPr>
              <w:pStyle w:val="TableContents"/>
              <w:bidi w:val="0"/>
              <w:spacing w:before="0" w:after="20"/>
              <w:jc w:val="left"/>
              <w:rPr>
                <w:rFonts w:ascii="Times New Roman" w:hAnsi="Times New Roman"/>
                <w:sz w:val="20"/>
              </w:rPr>
            </w:pPr>
            <w:r>
              <w:rPr>
                <w:rFonts w:ascii="Times New Roman" w:hAnsi="Times New Roman"/>
                <w:sz w:val="20"/>
              </w:rPr>
              <w:t>United States</w:t>
            </w:r>
          </w:p>
        </w:tc>
      </w:tr>
      <w:tr>
        <w:trPr>
          <w:trHeight w:val="120" w:hRule="atLeast"/>
        </w:trPr>
        <w:tc>
          <w:tcPr>
            <w:tcW w:w="3014" w:type="dxa"/>
            <w:tcBorders/>
            <w:vAlign w:val="center"/>
          </w:tcPr>
          <w:p>
            <w:pPr>
              <w:pStyle w:val="TableContents"/>
              <w:bidi w:val="0"/>
              <w:spacing w:before="0" w:after="283"/>
              <w:jc w:val="left"/>
              <w:rPr>
                <w:sz w:val="4"/>
                <w:szCs w:val="4"/>
              </w:rPr>
            </w:pPr>
            <w:r>
              <w:rPr>
                <w:sz w:val="4"/>
                <w:szCs w:val="4"/>
              </w:rPr>
            </w:r>
          </w:p>
        </w:tc>
        <w:tc>
          <w:tcPr>
            <w:tcW w:w="2593" w:type="dxa"/>
            <w:gridSpan w:val="2"/>
            <w:tcBorders/>
            <w:vAlign w:val="center"/>
          </w:tcPr>
          <w:p>
            <w:pPr>
              <w:pStyle w:val="TableContents"/>
              <w:bidi w:val="0"/>
              <w:spacing w:before="0" w:after="283"/>
              <w:jc w:val="left"/>
              <w:rPr>
                <w:sz w:val="4"/>
                <w:szCs w:val="4"/>
              </w:rPr>
            </w:pPr>
            <w:r>
              <w:rPr>
                <w:sz w:val="4"/>
                <w:szCs w:val="4"/>
              </w:rPr>
            </w:r>
          </w:p>
        </w:tc>
        <w:tc>
          <w:tcPr>
            <w:tcW w:w="4598" w:type="dxa"/>
            <w:gridSpan w:val="2"/>
            <w:tcBorders/>
            <w:vAlign w:val="center"/>
          </w:tcPr>
          <w:p>
            <w:pPr>
              <w:pStyle w:val="TableContents"/>
              <w:bidi w:val="0"/>
              <w:spacing w:before="0" w:after="283"/>
              <w:jc w:val="left"/>
              <w:rPr>
                <w:sz w:val="4"/>
                <w:szCs w:val="4"/>
              </w:rPr>
            </w:pPr>
            <w:r>
              <w:rPr>
                <w:sz w:val="4"/>
                <w:szCs w:val="4"/>
              </w:rPr>
            </w:r>
          </w:p>
        </w:tc>
      </w:tr>
      <w:tr>
        <w:trPr/>
        <w:tc>
          <w:tcPr>
            <w:tcW w:w="3014" w:type="dxa"/>
            <w:tcBorders/>
          </w:tcPr>
          <w:p>
            <w:pPr>
              <w:pStyle w:val="TableContents"/>
              <w:bidi w:val="0"/>
              <w:spacing w:before="0" w:after="283"/>
              <w:jc w:val="left"/>
              <w:rPr/>
            </w:pPr>
            <w:r>
              <w:rPr/>
              <w:t>August 18, 2026</w:t>
            </w:r>
          </w:p>
        </w:tc>
        <w:tc>
          <w:tcPr>
            <w:tcW w:w="133" w:type="dxa"/>
            <w:tcBorders/>
            <w:vAlign w:val="bottom"/>
          </w:tcPr>
          <w:p>
            <w:pPr>
              <w:pStyle w:val="TableContents"/>
              <w:bidi w:val="0"/>
              <w:spacing w:before="0" w:after="283"/>
              <w:jc w:val="left"/>
              <w:rPr/>
            </w:pPr>
            <w:r>
              <w:rPr/>
              <w:t>  </w:t>
            </w:r>
          </w:p>
        </w:tc>
        <w:tc>
          <w:tcPr>
            <w:tcW w:w="2460"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465" w:type="dxa"/>
            <w:tcBorders/>
          </w:tcPr>
          <w:p>
            <w:pPr>
              <w:pStyle w:val="TableContents"/>
              <w:bidi w:val="0"/>
              <w:spacing w:before="0" w:after="0"/>
              <w:jc w:val="left"/>
              <w:rPr>
                <w:rFonts w:ascii="Times New Roman" w:hAnsi="Times New Roman"/>
                <w:sz w:val="20"/>
              </w:rPr>
            </w:pPr>
            <w:r>
              <w:rPr>
                <w:rFonts w:ascii="Times New Roman" w:hAnsi="Times New Roman"/>
                <w:sz w:val="20"/>
              </w:rPr>
              <w:t>Tel +1 212 318 3000</w:t>
            </w:r>
          </w:p>
          <w:p>
            <w:pPr>
              <w:pStyle w:val="TableContents"/>
              <w:bidi w:val="0"/>
              <w:spacing w:before="0" w:after="0"/>
              <w:jc w:val="left"/>
              <w:rPr>
                <w:rFonts w:ascii="Times New Roman" w:hAnsi="Times New Roman"/>
                <w:sz w:val="20"/>
              </w:rPr>
            </w:pPr>
            <w:r>
              <w:rPr>
                <w:rFonts w:ascii="Times New Roman" w:hAnsi="Times New Roman"/>
                <w:sz w:val="20"/>
              </w:rPr>
              <w:t>Fax +1 212 318 3400</w:t>
            </w:r>
          </w:p>
          <w:p>
            <w:pPr>
              <w:pStyle w:val="TableContents"/>
              <w:bidi w:val="0"/>
              <w:spacing w:before="0" w:after="20"/>
              <w:jc w:val="left"/>
              <w:rPr>
                <w:rFonts w:ascii="Times New Roman" w:hAnsi="Times New Roman"/>
                <w:sz w:val="20"/>
              </w:rPr>
            </w:pPr>
            <w:r>
              <w:rPr>
                <w:rFonts w:ascii="Times New Roman" w:hAnsi="Times New Roman"/>
                <w:sz w:val="20"/>
              </w:rPr>
              <w:t>nortonrosefulbright.com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Universal Corporate Center </w:t>
      </w:r>
    </w:p>
    <w:p>
      <w:pPr>
        <w:pStyle w:val="TextBody"/>
        <w:bidi w:val="0"/>
        <w:spacing w:before="0" w:after="0"/>
        <w:jc w:val="left"/>
        <w:rPr>
          <w:rFonts w:ascii="Times New Roman" w:hAnsi="Times New Roman"/>
          <w:sz w:val="20"/>
        </w:rPr>
      </w:pPr>
      <w:r>
        <w:rPr>
          <w:rFonts w:ascii="Times New Roman" w:hAnsi="Times New Roman"/>
          <w:sz w:val="20"/>
        </w:rPr>
        <w:t xml:space="preserve">367 South Gulph Road </w:t>
      </w:r>
    </w:p>
    <w:p>
      <w:pPr>
        <w:pStyle w:val="TextBody"/>
        <w:bidi w:val="0"/>
        <w:spacing w:before="0" w:after="0"/>
        <w:jc w:val="left"/>
        <w:rPr>
          <w:rFonts w:ascii="Times New Roman" w:hAnsi="Times New Roman"/>
          <w:sz w:val="20"/>
        </w:rPr>
      </w:pPr>
      <w:r>
        <w:rPr>
          <w:rFonts w:ascii="Times New Roman" w:hAnsi="Times New Roman"/>
          <w:sz w:val="20"/>
        </w:rPr>
        <w:t xml:space="preserve">P.O. Box 61558 </w:t>
      </w:r>
    </w:p>
    <w:p>
      <w:pPr>
        <w:pStyle w:val="TextBody"/>
        <w:bidi w:val="0"/>
        <w:spacing w:before="0" w:after="0"/>
        <w:jc w:val="left"/>
        <w:rPr>
          <w:rFonts w:ascii="Times New Roman" w:hAnsi="Times New Roman"/>
          <w:sz w:val="20"/>
        </w:rPr>
      </w:pPr>
      <w:r>
        <w:rPr>
          <w:rFonts w:ascii="Times New Roman" w:hAnsi="Times New Roman"/>
          <w:sz w:val="20"/>
        </w:rPr>
        <w:t xml:space="preserve">King of Prussia, Pennsylvania 19406-0958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refer to the Registration Statement on Form S-8 (the “Registration Statement”) to be filed with the Securities and Exchange Commission under the Securities Act of 1933, as amended (the “Act”), by Universal Health Services, Inc. (the “Company”), relating to 156,202 shares of Class B Common Stock, $0.01 par value per share, of the Company (the “Shares”), which may be issued under the Talkspace, Inc. 2021 Incentive Award Plan, as amended (the “Plan”). </w:t>
      </w:r>
    </w:p>
    <w:p>
      <w:pPr>
        <w:pStyle w:val="TextBody"/>
        <w:bidi w:val="0"/>
        <w:spacing w:before="240" w:after="0"/>
        <w:jc w:val="left"/>
        <w:rPr>
          <w:rFonts w:ascii="Times New Roman" w:hAnsi="Times New Roman"/>
          <w:sz w:val="20"/>
        </w:rPr>
      </w:pPr>
      <w:r>
        <w:rPr>
          <w:rFonts w:ascii="Times New Roman" w:hAnsi="Times New Roman"/>
          <w:sz w:val="20"/>
        </w:rPr>
        <w:t xml:space="preserve">As counsel to the Company, we have examined the Plan and such corporate records, other documents, and such questions of law as we have considered necessary or appropriate for the purposes of this opinion and, upon the basis of such examination, advise you that in our opinion, all necessary corporate proceedings by the Company have been duly taken to authorize the issuance of the Shares pursuant to the Plan and the Shares being registered pursuant to the Registration Statement, when issued and paid for in accordance with the terms of the Plan, will be duly authorized, legally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of this opinion as a part of the Registration Statement. This consent is not to be construed as an admission that we are a person whose consent is required to be filed with the Registration Statement under the provisions of the Act.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Norton Rose Fulbright US LLP </w:t>
      </w:r>
    </w:p>
    <w:p>
      <w:pPr>
        <w:pStyle w:val="TextBody"/>
        <w:bidi w:val="0"/>
        <w:spacing w:before="240" w:after="0"/>
        <w:jc w:val="left"/>
        <w:rPr>
          <w:rFonts w:ascii="Times New Roman" w:hAnsi="Times New Roman"/>
          <w:sz w:val="20"/>
        </w:rPr>
      </w:pPr>
      <w:r>
        <w:rPr>
          <w:rFonts w:ascii="Times New Roman" w:hAnsi="Times New Roman"/>
          <w:sz w:val="20"/>
        </w:rPr>
        <w:t xml:space="preserve">Norton Rose Fulbright US LLP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Norton Rose Fulbright US LLP is a limited liability partnership registered under the laws of Texas. </w:t>
      </w:r>
    </w:p>
    <w:p>
      <w:pPr>
        <w:pStyle w:val="TextBody"/>
        <w:bidi w:val="0"/>
        <w:spacing w:before="120" w:after="0"/>
        <w:jc w:val="left"/>
        <w:rPr>
          <w:rFonts w:ascii="Times New Roman" w:hAnsi="Times New Roman"/>
          <w:sz w:val="20"/>
        </w:rPr>
      </w:pPr>
      <w:r>
        <w:rPr>
          <w:rFonts w:ascii="Times New Roman" w:hAnsi="Times New Roman"/>
          <w:sz w:val="20"/>
        </w:rPr>
        <w:t xml:space="preserve">Norton Rose Fulbright US LLP, Norton Rose Fulbright LLP, Norton and Norton Rose Fulbright Canada LLP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 </w:t>
      </w:r>
    </w:p>
    <w:p>
      <w:pPr>
        <w:pStyle w:val="TextBody"/>
        <w:bidi w:val="0"/>
        <w:spacing w:before="0" w:after="0"/>
        <w:jc w:val="right"/>
        <w:rPr>
          <w:rFonts w:ascii="Times New Roman" w:hAnsi="Times New Roman"/>
          <w:b/>
          <w:sz w:val="20"/>
        </w:rPr>
      </w:pPr>
      <w:bookmarkStart w:id="5" w:name="d150373dex231.htm"/>
      <w:bookmarkStart w:id="6" w:name="ksd150373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Universal Health Services, Inc. of our report dated February 25, 2026 relating to the financial statements, financial statement schedule and the effectiveness of internal control over financial reporting, which appears in Universal Health Services, Inc.’s Annual Report on Form 10-K 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 PricewaterhouseCoopers LLP</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Philadelphia, Pennsylvania</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August 18,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Normal"/>
        <w:bidi w:val="0"/>
        <w:spacing w:before="0" w:after="0"/>
        <w:jc w:val="left"/>
        <w:rPr>
          <w:sz w:val="4"/>
          <w:szCs w:val="4"/>
        </w:rPr>
      </w:pPr>
      <w:r>
        <w:rPr>
          <w:sz w:val="4"/>
          <w:szCs w:val="4"/>
        </w:rPr>
      </w:r>
      <w:bookmarkStart w:id="7" w:name="d150373dexfilingfees.htm"/>
      <w:bookmarkStart w:id="8" w:name="ksd150373dexfilingfees"/>
      <w:bookmarkStart w:id="9" w:name="d150373dexfilingfees.htm"/>
      <w:bookmarkStart w:id="10" w:name="ksd150373dexfilingfees"/>
      <w:bookmarkEnd w:id="9"/>
      <w:bookmarkEnd w:id="10"/>
      <w:r>
        <w:br w:type="page"/>
      </w:r>
    </w:p>
    <w:tbl>
      <w:tblPr>
        <w:tblW w:w="4685" w:type="dxa"/>
        <w:jc w:val="left"/>
        <w:tblInd w:w="0" w:type="dxa"/>
        <w:tblLayout w:type="fixed"/>
        <w:tblCellMar>
          <w:top w:w="28" w:type="dxa"/>
          <w:left w:w="28" w:type="dxa"/>
          <w:bottom w:w="28" w:type="dxa"/>
          <w:right w:w="28" w:type="dxa"/>
        </w:tblCellMar>
      </w:tblPr>
      <w:tblGrid>
        <w:gridCol w:w="4531"/>
        <w:gridCol w:w="154"/>
      </w:tblGrid>
      <w:tr>
        <w:trPr/>
        <w:tc>
          <w:tcPr>
            <w:tcW w:w="468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53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b/>
              </w:rPr>
            </w:pPr>
            <w:r>
              <w:rPr>
                <w:b/>
              </w:rPr>
              <w:t xml:space="preserve">UNIVERSAL HEALTH SERVICES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6"/>
        <w:gridCol w:w="1208"/>
        <w:gridCol w:w="1276"/>
        <w:gridCol w:w="1186"/>
        <w:gridCol w:w="1157"/>
        <w:gridCol w:w="1666"/>
        <w:gridCol w:w="1126"/>
        <w:gridCol w:w="139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08"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7"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08" w:type="dxa"/>
            <w:tcBorders/>
            <w:shd w:fill="E7E7E2" w:val="clear"/>
            <w:vAlign w:val="center"/>
          </w:tcPr>
          <w:p>
            <w:pPr>
              <w:pStyle w:val="TableContents"/>
              <w:bidi w:val="0"/>
              <w:spacing w:before="0" w:after="283"/>
              <w:jc w:val="left"/>
              <w:rPr/>
            </w:pPr>
            <w:r>
              <w:rPr/>
              <w:t xml:space="preserve">Class B Common Stock, par value $0.01 per share, issuable in respect of assumed outstanding awards of unvested stock options under the Talkspace, Inc. 2021 Incentive Award Plan, as amended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9,214 </w:t>
            </w:r>
          </w:p>
        </w:tc>
        <w:tc>
          <w:tcPr>
            <w:tcW w:w="1157" w:type="dxa"/>
            <w:tcBorders/>
            <w:shd w:fill="E7E7E2" w:val="clear"/>
            <w:vAlign w:val="center"/>
          </w:tcPr>
          <w:p>
            <w:pPr>
              <w:pStyle w:val="TableContents"/>
              <w:bidi w:val="0"/>
              <w:spacing w:before="0" w:after="283"/>
              <w:jc w:val="right"/>
              <w:rPr/>
            </w:pPr>
            <w:r>
              <w:rPr/>
              <w:t xml:space="preserve">$ 85.00 </w:t>
            </w:r>
          </w:p>
        </w:tc>
        <w:tc>
          <w:tcPr>
            <w:tcW w:w="1666" w:type="dxa"/>
            <w:tcBorders/>
            <w:shd w:fill="E7E7E2" w:val="clear"/>
            <w:vAlign w:val="center"/>
          </w:tcPr>
          <w:p>
            <w:pPr>
              <w:pStyle w:val="TableContents"/>
              <w:bidi w:val="0"/>
              <w:spacing w:before="0" w:after="283"/>
              <w:jc w:val="right"/>
              <w:rPr/>
            </w:pPr>
            <w:r>
              <w:rPr/>
              <w:t xml:space="preserve">$ 783,190.00 </w:t>
            </w:r>
          </w:p>
        </w:tc>
        <w:tc>
          <w:tcPr>
            <w:tcW w:w="1126" w:type="dxa"/>
            <w:tcBorders/>
            <w:shd w:fill="E7E7E2" w:val="clear"/>
            <w:vAlign w:val="center"/>
          </w:tcPr>
          <w:p>
            <w:pPr>
              <w:pStyle w:val="TableContents"/>
              <w:bidi w:val="0"/>
              <w:spacing w:before="0" w:after="283"/>
              <w:jc w:val="right"/>
              <w:rPr/>
            </w:pPr>
            <w:r>
              <w:rPr/>
              <w:t xml:space="preserve">0.0001381 </w:t>
            </w:r>
          </w:p>
        </w:tc>
        <w:tc>
          <w:tcPr>
            <w:tcW w:w="1399" w:type="dxa"/>
            <w:tcBorders/>
            <w:shd w:fill="E7E7E2" w:val="clear"/>
            <w:vAlign w:val="center"/>
          </w:tcPr>
          <w:p>
            <w:pPr>
              <w:pStyle w:val="TableContents"/>
              <w:bidi w:val="0"/>
              <w:spacing w:before="0" w:after="283"/>
              <w:jc w:val="right"/>
              <w:rPr/>
            </w:pPr>
            <w:r>
              <w:rPr/>
              <w:t xml:space="preserve">$ 108.16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08" w:type="dxa"/>
            <w:tcBorders/>
            <w:shd w:fill="E7E7E2" w:val="clear"/>
            <w:vAlign w:val="center"/>
          </w:tcPr>
          <w:p>
            <w:pPr>
              <w:pStyle w:val="TableContents"/>
              <w:bidi w:val="0"/>
              <w:spacing w:before="0" w:after="283"/>
              <w:jc w:val="left"/>
              <w:rPr/>
            </w:pPr>
            <w:r>
              <w:rPr/>
              <w:t xml:space="preserve">Class B Common Stock, par value $0.01 per share, issuable in respect of assumed outstanding awards of unvested restricted stock units under the Talkspace, Inc. 2021 Incentive Award Plan, as amended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146,988 </w:t>
            </w:r>
          </w:p>
        </w:tc>
        <w:tc>
          <w:tcPr>
            <w:tcW w:w="1157" w:type="dxa"/>
            <w:tcBorders/>
            <w:shd w:fill="E7E7E2" w:val="clear"/>
            <w:vAlign w:val="center"/>
          </w:tcPr>
          <w:p>
            <w:pPr>
              <w:pStyle w:val="TableContents"/>
              <w:bidi w:val="0"/>
              <w:spacing w:before="0" w:after="283"/>
              <w:jc w:val="right"/>
              <w:rPr/>
            </w:pPr>
            <w:r>
              <w:rPr/>
              <w:t xml:space="preserve">$ 168.71 </w:t>
            </w:r>
          </w:p>
        </w:tc>
        <w:tc>
          <w:tcPr>
            <w:tcW w:w="1666" w:type="dxa"/>
            <w:tcBorders/>
            <w:shd w:fill="E7E7E2" w:val="clear"/>
            <w:vAlign w:val="center"/>
          </w:tcPr>
          <w:p>
            <w:pPr>
              <w:pStyle w:val="TableContents"/>
              <w:bidi w:val="0"/>
              <w:spacing w:before="0" w:after="283"/>
              <w:jc w:val="right"/>
              <w:rPr/>
            </w:pPr>
            <w:r>
              <w:rPr/>
              <w:t xml:space="preserve">$ 24,798,345.48 </w:t>
            </w:r>
          </w:p>
        </w:tc>
        <w:tc>
          <w:tcPr>
            <w:tcW w:w="1126" w:type="dxa"/>
            <w:tcBorders/>
            <w:shd w:fill="E7E7E2" w:val="clear"/>
            <w:vAlign w:val="center"/>
          </w:tcPr>
          <w:p>
            <w:pPr>
              <w:pStyle w:val="TableContents"/>
              <w:bidi w:val="0"/>
              <w:spacing w:before="0" w:after="283"/>
              <w:jc w:val="right"/>
              <w:rPr/>
            </w:pPr>
            <w:r>
              <w:rPr/>
              <w:t xml:space="preserve">0.0001381 </w:t>
            </w:r>
          </w:p>
        </w:tc>
        <w:tc>
          <w:tcPr>
            <w:tcW w:w="1399" w:type="dxa"/>
            <w:tcBorders/>
            <w:shd w:fill="E7E7E2" w:val="clear"/>
            <w:vAlign w:val="center"/>
          </w:tcPr>
          <w:p>
            <w:pPr>
              <w:pStyle w:val="TableContents"/>
              <w:bidi w:val="0"/>
              <w:spacing w:before="0" w:after="283"/>
              <w:jc w:val="right"/>
              <w:rPr/>
            </w:pPr>
            <w:r>
              <w:rPr/>
              <w:t xml:space="preserve">$ 3,424.65 </w:t>
            </w:r>
          </w:p>
        </w:tc>
      </w:tr>
      <w:tr>
        <w:trPr/>
        <w:tc>
          <w:tcPr>
            <w:tcW w:w="4857" w:type="dxa"/>
            <w:gridSpan w:val="5"/>
            <w:tcBorders/>
            <w:vAlign w:val="center"/>
          </w:tcPr>
          <w:p>
            <w:pPr>
              <w:pStyle w:val="TableContents"/>
              <w:bidi w:val="0"/>
              <w:spacing w:before="0" w:after="0"/>
              <w:ind w:left="0" w:right="0" w:hanging="0"/>
              <w:jc w:val="right"/>
              <w:rPr/>
            </w:pPr>
            <w:r>
              <w:rPr/>
              <w:t>Total Offering Amounts:</w:t>
            </w:r>
          </w:p>
        </w:tc>
        <w:tc>
          <w:tcPr>
            <w:tcW w:w="115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1" w:name="MaxAggtOfferingPrice"/>
            <w:bookmarkEnd w:id="11"/>
            <w:r>
              <w:rPr/>
              <w:t xml:space="preserve">$ 25,581,535.48 </w:t>
            </w:r>
          </w:p>
        </w:tc>
        <w:tc>
          <w:tcPr>
            <w:tcW w:w="1126" w:type="dxa"/>
            <w:tcBorders/>
            <w:vAlign w:val="center"/>
          </w:tcPr>
          <w:p>
            <w:pPr>
              <w:pStyle w:val="TableContents"/>
              <w:bidi w:val="0"/>
              <w:spacing w:before="0" w:after="283"/>
              <w:jc w:val="left"/>
              <w:rPr>
                <w:sz w:val="4"/>
                <w:szCs w:val="4"/>
              </w:rPr>
            </w:pPr>
            <w:r>
              <w:rPr>
                <w:sz w:val="4"/>
                <w:szCs w:val="4"/>
              </w:rPr>
            </w:r>
          </w:p>
        </w:tc>
        <w:tc>
          <w:tcPr>
            <w:tcW w:w="139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$ 3,532.81 </w:t>
            </w:r>
          </w:p>
        </w:tc>
      </w:tr>
      <w:tr>
        <w:trPr/>
        <w:tc>
          <w:tcPr>
            <w:tcW w:w="4857" w:type="dxa"/>
            <w:gridSpan w:val="5"/>
            <w:tcBorders/>
            <w:vAlign w:val="center"/>
          </w:tcPr>
          <w:p>
            <w:pPr>
              <w:pStyle w:val="TableContents"/>
              <w:bidi w:val="0"/>
              <w:spacing w:before="0" w:after="0"/>
              <w:ind w:left="0" w:right="0" w:hanging="0"/>
              <w:jc w:val="right"/>
              <w:rPr/>
            </w:pPr>
            <w:r>
              <w:rPr/>
              <w:t xml:space="preserve">Total Fee Offsets: </w:t>
            </w:r>
          </w:p>
        </w:tc>
        <w:tc>
          <w:tcPr>
            <w:tcW w:w="115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57" w:type="dxa"/>
            <w:gridSpan w:val="5"/>
            <w:tcBorders/>
            <w:vAlign w:val="center"/>
          </w:tcPr>
          <w:p>
            <w:pPr>
              <w:pStyle w:val="TableContents"/>
              <w:bidi w:val="0"/>
              <w:spacing w:before="0" w:after="0"/>
              <w:ind w:left="0" w:right="0" w:hanging="0"/>
              <w:jc w:val="right"/>
              <w:rPr/>
            </w:pPr>
            <w:r>
              <w:rPr/>
              <w:t xml:space="preserve">Net Fee Due: </w:t>
            </w:r>
          </w:p>
        </w:tc>
        <w:tc>
          <w:tcPr>
            <w:tcW w:w="115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0"/>
              <w:ind w:left="0" w:right="0" w:hanging="0"/>
              <w:jc w:val="right"/>
              <w:rPr/>
            </w:pPr>
            <w:bookmarkStart w:id="14" w:name="NetFeeAmt"/>
            <w:bookmarkEnd w:id="14"/>
            <w:r>
              <w:rPr/>
              <w:t xml:space="preserve">$ 3,532.81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3"/>
        <w:gridCol w:w="8713"/>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This Registration Statement (the "Registration Statement") registers the issuance of Class B Common Stock, par value $0.01 per share ("Class B Common Stock"), of Universal Health Services, Inc. (the "Company" or the "Registrant") issuable pursuant to the outstanding awards of unvested stock options and unvested restricted stock units assumed by the Company as a result of the consummation on August 17, 2026 of the transaction contemplated by that certain Agreement and Plan of Merger, dated as of March 9, 2026, by and among the Company, UHS Merger Subsidiary, Inc., a Delaware corporation and indirect wholly owned subsidiary of the Company, and Talkspace, Inc. Pursuant to Rule 416(a) of the Securities Act of 1933, as amended (the "Securities Act"), this Registration Statement on Form S-8 also covers any additional securities of the Company that may be offered or become issuable under the Talkspace, Inc. 2021 Incentive Award Plan, as amended (the "Talkspace Plan"), in connection with any stock split, stock dividend, recapitalization, or any other similar transaction effected without receipt of consideration, which results in an increase in the number of outstanding shares of Class B Common Stock. (2) Estimated solely for the purpose of calculating the registration fee pursuant to Rule 457(h) under the Securities Act. The offering price per share and aggregate offering price are based upon the weighted average exercise price for shares subject to the outstanding unvested options granted pursuant to the Talkspace Plan.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(1) This Registration Statement (the "Registration Statement") registers the issuance of Class B Common Stock, par value $0.01 per share ("Class B Common Stock"), of Universal Health Services, Inc. (the "Company" or the "Registrant") issuable pursuant to the outstanding awards of unvested stock options and unvested restricted stock units assumed by the Company as a result of the consummation on August 17, 2026 of the transaction contemplated by that certain Agreement and Plan of Merger, dated as of March 9, 2026, by and among the Company, UHS Merger Subsidiary, Inc., a Delaware corporation and indirect wholly owned subsidiary of the Company, and Talkspace, Inc. Pursuant to Rule 416(a) of the Securities Act of 1933, as amended (the "Securities Act"), this Registration Statement on Form S-8 also covers any additional securities of the Company that may be offered or become issuable under the Talkspace, Inc. 2021 Incentive Award Plan, as amended (the "Talkspace Plan"), in connection with any stock split, stock dividend, recapitalization, or any other similar transaction effected without receipt of consideration, which results in an increase in the number of outstanding shares of Class B Common Stock. (3) Estimated solely for the purpose of calculating the registration fee pursuant to Rules 457(c) and 457(h) under the Securities Act, based on the average of the high and low prices of Class B Common Stock as reported on the New York Stock Exchange on August 12, 2026.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352915/000119312526071676/uhs-20251231.htm" TargetMode="External"/><Relationship Id="rId3" Type="http://schemas.openxmlformats.org/officeDocument/2006/relationships/hyperlink" Target="http://www.sec.gov/Archives/edgar/data/../../../ix?doc=/Archives/edgar/data/352915/000119312526211992/uhs-20260331.htm" TargetMode="External"/><Relationship Id="rId4" Type="http://schemas.openxmlformats.org/officeDocument/2006/relationships/hyperlink" Target="http://www.sec.gov/Archives/edgar/data/../../../ix?doc=/Archives/edgar/data/352915/000119312526340278/uhs-20260630.htm" TargetMode="External"/><Relationship Id="rId5" Type="http://schemas.openxmlformats.org/officeDocument/2006/relationships/hyperlink" Target="http://www.sec.gov/Archives/edgar/data/../../../ix?doc=/Archives/edgar/data/352915/000119312526073545/uhs-20260225.htm" TargetMode="External"/><Relationship Id="rId6" Type="http://schemas.openxmlformats.org/officeDocument/2006/relationships/hyperlink" Target="http://www.sec.gov/Archives/edgar/data/../../../ix?doc=/Archives/edgar/data/352915/000119312526097674/uhs-20260309.htm" TargetMode="External"/><Relationship Id="rId7" Type="http://schemas.openxmlformats.org/officeDocument/2006/relationships/hyperlink" Target="http://www.sec.gov/Archives/edgar/data/../../../ix?doc=/Archives/edgar/data/352915/000119312526131809/uhs-20260326.htm" TargetMode="External"/><Relationship Id="rId8" Type="http://schemas.openxmlformats.org/officeDocument/2006/relationships/hyperlink" Target="http://www.sec.gov/Archives/edgar/data/../../../ix?doc=/Archives/edgar/data/352915/000119312526175197/uhs-20260422.htm" TargetMode="External"/><Relationship Id="rId9" Type="http://schemas.openxmlformats.org/officeDocument/2006/relationships/hyperlink" Target="http://www.sec.gov/Archives/edgar/data/../../../ix?doc=/Archives/edgar/data/352915/000119312526233402/uhs-20260518.htm" TargetMode="External"/><Relationship Id="rId10" Type="http://schemas.openxmlformats.org/officeDocument/2006/relationships/hyperlink" Target="http://www.sec.gov/Archives/edgar/data/../../../ix?doc=/Archives/edgar/data/352915/000119312526235480/uhs-20260520.htm" TargetMode="External"/><Relationship Id="rId11" Type="http://schemas.openxmlformats.org/officeDocument/2006/relationships/hyperlink" Target="http://www.sec.gov/Archives/edgar/data/../../../ix?doc=/Archives/edgar/data/352915/000119312526310330/uhs-20260720.htm" TargetMode="External"/><Relationship Id="rId12" Type="http://schemas.openxmlformats.org/officeDocument/2006/relationships/hyperlink" Target="http://www.sec.gov/Archives/edgar/data/../../../ix?doc=/Archives/edgar/data/352915/000119312526348057/d177070d8k.htm" TargetMode="External"/><Relationship Id="rId13" Type="http://schemas.openxmlformats.org/officeDocument/2006/relationships/hyperlink" Target="http://www.sec.gov/Archives/edgar/data/352915/000156459020006793/uhs-ex45_148.htm" TargetMode="External"/><Relationship Id="rId14" Type="http://schemas.openxmlformats.org/officeDocument/2006/relationships/hyperlink" Target="http://www.sec.gov/Archives/edgar/data/352915/000089322097001362/0000893220-97-001362.txt" TargetMode="External"/><Relationship Id="rId15" Type="http://schemas.openxmlformats.org/officeDocument/2006/relationships/hyperlink" Target="http://www.sec.gov/Archives/edgar/data/352915/000095013001502858/dex31.txt" TargetMode="External"/><Relationship Id="rId16" Type="http://schemas.openxmlformats.org/officeDocument/2006/relationships/hyperlink" Target="http://www.sec.gov/Archives/edgar/data/352915/000156459022032142/uhs-ex31_9.htm" TargetMode="External"/><Relationship Id="rId17" Type="http://schemas.openxmlformats.org/officeDocument/2006/relationships/hyperlink" Target="http://www.sec.gov/Archives/edgar/data/1803901/000119312521260654/d552255dex991.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4633</Words>
  <Characters>24358</Characters>
  <CharactersWithSpaces>29044</CharactersWithSpaces>
  <Paragraphs>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