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329184d8k.htm"/>
      <w:bookmarkStart w:id="1" w:name="ksd329184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20,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UNIVERSAL HEALTH SERVICES,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815" w:type="dxa"/>
        <w:jc w:val="left"/>
        <w:tblInd w:w="0" w:type="dxa"/>
        <w:tblLayout w:type="fixed"/>
        <w:tblCellMar>
          <w:top w:w="0" w:type="dxa"/>
          <w:left w:w="0" w:type="dxa"/>
          <w:bottom w:w="0" w:type="dxa"/>
          <w:right w:w="0" w:type="dxa"/>
        </w:tblCellMar>
      </w:tblPr>
      <w:tblGrid>
        <w:gridCol w:w="2345"/>
        <w:gridCol w:w="60"/>
        <w:gridCol w:w="980"/>
        <w:gridCol w:w="60"/>
        <w:gridCol w:w="1370"/>
      </w:tblGrid>
      <w:tr>
        <w:trPr/>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345" w:type="dxa"/>
            <w:tcBorders/>
            <w:vAlign w:val="center"/>
          </w:tcPr>
          <w:p>
            <w:pPr>
              <w:pStyle w:val="TableContents"/>
              <w:bidi w:val="0"/>
              <w:spacing w:before="0" w:after="283"/>
              <w:jc w:val="center"/>
              <w:rPr>
                <w:b/>
                <w:caps/>
              </w:rPr>
            </w:pPr>
            <w:r>
              <w:rPr>
                <w:b/>
                <w:caps/>
              </w:rPr>
              <w:t>Delaware</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1-10765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23-2077891</w:t>
            </w:r>
          </w:p>
        </w:tc>
      </w:tr>
      <w:tr>
        <w:trPr/>
        <w:tc>
          <w:tcPr>
            <w:tcW w:w="234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UNIVERSAL CORPORATE CENTER</w:t>
      </w:r>
    </w:p>
    <w:p>
      <w:pPr>
        <w:pStyle w:val="TextBody"/>
        <w:bidi w:val="0"/>
        <w:spacing w:before="0" w:after="0"/>
        <w:jc w:val="center"/>
        <w:rPr>
          <w:rFonts w:ascii="Times New Roman" w:hAnsi="Times New Roman"/>
          <w:b/>
          <w:sz w:val="20"/>
        </w:rPr>
      </w:pPr>
      <w:r>
        <w:rPr>
          <w:rFonts w:ascii="Times New Roman" w:hAnsi="Times New Roman"/>
          <w:b/>
          <w:sz w:val="20"/>
        </w:rPr>
        <w:t>367 SOUTH GULPH ROAD</w:t>
      </w:r>
    </w:p>
    <w:p>
      <w:pPr>
        <w:pStyle w:val="TextBody"/>
        <w:bidi w:val="0"/>
        <w:spacing w:before="0" w:after="0"/>
        <w:jc w:val="center"/>
        <w:rPr>
          <w:rFonts w:ascii="Times New Roman" w:hAnsi="Times New Roman"/>
          <w:b/>
          <w:sz w:val="20"/>
        </w:rPr>
      </w:pPr>
      <w:r>
        <w:rPr>
          <w:rFonts w:ascii="Times New Roman" w:hAnsi="Times New Roman"/>
          <w:b/>
          <w:sz w:val="20"/>
        </w:rPr>
        <w:t xml:space="preserve">KING OF PRUSSIA, </w:t>
      </w:r>
      <w:r>
        <w:rPr>
          <w:rFonts w:ascii="Times New Roman" w:hAnsi="Times New Roman"/>
          <w:b/>
          <w:caps/>
          <w:sz w:val="20"/>
        </w:rPr>
        <w:t>Pennsylvania</w:t>
      </w:r>
      <w:r>
        <w:rPr>
          <w:rFonts w:ascii="Times New Roman" w:hAnsi="Times New Roman"/>
          <w:b/>
          <w:sz w:val="20"/>
        </w:rPr>
        <w:t xml:space="preserve"> 19406</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 (Zip Code)</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(610) 768-3300</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5835" w:type="dxa"/>
        <w:jc w:val="left"/>
        <w:tblInd w:w="0" w:type="dxa"/>
        <w:tblLayout w:type="fixed"/>
        <w:tblCellMar>
          <w:top w:w="0" w:type="dxa"/>
          <w:left w:w="0" w:type="dxa"/>
          <w:bottom w:w="0" w:type="dxa"/>
          <w:right w:w="0" w:type="dxa"/>
        </w:tblCellMar>
      </w:tblPr>
      <w:tblGrid>
        <w:gridCol w:w="2315"/>
        <w:gridCol w:w="60"/>
        <w:gridCol w:w="740"/>
        <w:gridCol w:w="60"/>
        <w:gridCol w:w="2660"/>
      </w:tblGrid>
      <w:tr>
        <w:trPr/>
        <w:tc>
          <w:tcPr>
            <w:tcW w:w="23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231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6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315" w:type="dxa"/>
            <w:tcBorders/>
            <w:vAlign w:val="center"/>
          </w:tcPr>
          <w:p>
            <w:pPr>
              <w:pStyle w:val="TableContents"/>
              <w:bidi w:val="0"/>
              <w:spacing w:before="0" w:after="283"/>
              <w:jc w:val="center"/>
              <w:rPr/>
            </w:pPr>
            <w:r>
              <w:rPr/>
              <w:t>Class B 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UHS</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New York Stock Exchange</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05" w:type="dxa"/>
        <w:jc w:val="left"/>
        <w:tblInd w:w="0" w:type="dxa"/>
        <w:tblLayout w:type="fixed"/>
        <w:tblCellMar>
          <w:top w:w="0" w:type="dxa"/>
          <w:left w:w="0" w:type="dxa"/>
          <w:bottom w:w="0" w:type="dxa"/>
          <w:right w:w="0" w:type="dxa"/>
        </w:tblCellMar>
      </w:tblPr>
      <w:tblGrid>
        <w:gridCol w:w="965"/>
        <w:gridCol w:w="3740"/>
      </w:tblGrid>
      <w:tr>
        <w:trPr/>
        <w:tc>
          <w:tcPr>
            <w:tcW w:w="965" w:type="dxa"/>
            <w:tcBorders/>
            <w:vAlign w:val="center"/>
          </w:tcPr>
          <w:p>
            <w:pPr>
              <w:pStyle w:val="TableContents"/>
              <w:bidi w:val="0"/>
              <w:spacing w:before="0" w:after="283"/>
              <w:jc w:val="left"/>
              <w:rPr>
                <w:b/>
              </w:rPr>
            </w:pPr>
            <w:r>
              <w:rPr>
                <w:b/>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Issuance of Senior Secured Notes </w:t>
      </w:r>
    </w:p>
    <w:p>
      <w:pPr>
        <w:pStyle w:val="TextBody"/>
        <w:bidi w:val="0"/>
        <w:spacing w:before="120" w:after="0"/>
        <w:jc w:val="left"/>
        <w:rPr>
          <w:rFonts w:ascii="Times New Roman" w:hAnsi="Times New Roman"/>
          <w:sz w:val="20"/>
        </w:rPr>
      </w:pPr>
      <w:r>
        <w:rPr>
          <w:rFonts w:ascii="Times New Roman" w:hAnsi="Times New Roman"/>
          <w:sz w:val="20"/>
        </w:rPr>
        <w:t xml:space="preserve">On August 20, 2026, Universal Health Services, Inc. (the “Issuer”), completed the public offering of (i) $600,000,000 aggregate principal amount of its 5.500% Senior Secured Notes due 2031 (the “2031 Notes”), and (ii) $500,000,000 aggregate principal amount of its 6.000% Senior Secured Notes due 2036 (the “2036 Notes “and, together with the 2031 Notes, the “Notes”), each guaranteed on a senior secured basis by all of the Issuer’s existing and future direct and indirect subsidiaries that guarantee the Issuer’s senior secured credit facility or the Issuer’s other first lien obligations or any junior lien obligations (the “Subsidiary Guarantors”). The Notes have been registered under the Securities Act of 1933, as amended (the “Securities Act”), pursuant to the Issuer’s and the Subsidiary Guarantors’ registration statement on Form S-3 (File No. 333-282135), as amended by the Post-Effective Amendment No. 1 thereto as filed with the Securities and Exchange Commission (the “SEC”) on August 7, 2026, including the prospectus dated September 16, 2024, and a related prospectus supplement dated August 11, 2026 (the “Prospectus Supplement”) as filed with the SEC on August 13, 2026. </w:t>
      </w:r>
    </w:p>
    <w:p>
      <w:pPr>
        <w:pStyle w:val="TextBody"/>
        <w:bidi w:val="0"/>
        <w:spacing w:before="240" w:after="0"/>
        <w:jc w:val="left"/>
        <w:rPr>
          <w:rFonts w:ascii="Times New Roman" w:hAnsi="Times New Roman"/>
          <w:sz w:val="20"/>
        </w:rPr>
      </w:pPr>
      <w:r>
        <w:rPr>
          <w:rFonts w:ascii="Times New Roman" w:hAnsi="Times New Roman"/>
          <w:sz w:val="20"/>
        </w:rPr>
        <w:t xml:space="preserve">On August 20, 2026, the Notes were issued pursuant to an indenture dated as of September 26, 2024 (the “Base Indenture”), among the Issuer, the Subsidiary Guarantors, U.S. Bank Trust Company, National Association, as trustee (the “Trustee”), and JPMorgan Chase Bank, N.A., as collateral agent (the “Collateral Agent”), as amended and supplemented by the Second Supplemental Indenture, dated as of April 22, 2026, and the Third Supplemental Indenture, dated as of August 20, 2026, among the Issuer, the Subsidiary Guarantors, the Trustee and the Collateral Agent (the “Third Supplemental Indenture”, and the Base Indenture as amended and supplemented, the “Indenture”).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Indenture and Notes </w:t>
      </w:r>
    </w:p>
    <w:p>
      <w:pPr>
        <w:pStyle w:val="TextBody"/>
        <w:bidi w:val="0"/>
        <w:spacing w:before="120" w:after="0"/>
        <w:jc w:val="left"/>
        <w:rPr>
          <w:rFonts w:ascii="Times New Roman" w:hAnsi="Times New Roman"/>
          <w:i/>
          <w:sz w:val="20"/>
        </w:rPr>
      </w:pPr>
      <w:r>
        <w:rPr>
          <w:rFonts w:ascii="Times New Roman" w:hAnsi="Times New Roman"/>
          <w:i/>
          <w:sz w:val="20"/>
        </w:rPr>
        <w:t xml:space="preserve">Maturity and Interest Payment Dates </w:t>
      </w:r>
    </w:p>
    <w:p>
      <w:pPr>
        <w:pStyle w:val="TextBody"/>
        <w:bidi w:val="0"/>
        <w:spacing w:before="120" w:after="0"/>
        <w:jc w:val="left"/>
        <w:rPr>
          <w:rFonts w:ascii="Times New Roman" w:hAnsi="Times New Roman"/>
          <w:sz w:val="20"/>
        </w:rPr>
      </w:pPr>
      <w:r>
        <w:rPr>
          <w:rFonts w:ascii="Times New Roman" w:hAnsi="Times New Roman"/>
          <w:sz w:val="20"/>
        </w:rPr>
        <w:t xml:space="preserve">The 2031 Notes will mature on September 1, 2031 and the 2036 Notes will mature on September 1, 2036. Interest on the 2031 Notes will be payable semi-annually, on March 1 and September 1 of each year, commencing on March 1, 2027, to the person in whose name such Note is registered at the close of business on February 15 and August 15, as the case may be. Interest on the 2036 Notes will be payable semi-annually, on March 1 and September 1 of each year, commencing on March 1, 2027, to the person in whose name such Note is registered at the close of business on February 15 and August 15, as the case may be. </w:t>
      </w:r>
    </w:p>
    <w:p>
      <w:pPr>
        <w:pStyle w:val="TextBody"/>
        <w:bidi w:val="0"/>
        <w:spacing w:before="360" w:after="0"/>
        <w:jc w:val="left"/>
        <w:rPr>
          <w:rFonts w:ascii="Times New Roman" w:hAnsi="Times New Roman"/>
          <w:i/>
          <w:sz w:val="20"/>
        </w:rPr>
      </w:pPr>
      <w:r>
        <w:rPr>
          <w:rFonts w:ascii="Times New Roman" w:hAnsi="Times New Roman"/>
          <w:i/>
          <w:sz w:val="20"/>
        </w:rPr>
        <w:t xml:space="preserve">Note Guarantees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guaranteed on a senior secured basis by the Subsidiary Guarantors, which include all of the Issuer’s existing and future direct and indirect subsidiaries that guarantee the Issuer’s senior secured credit facility or the Issuer’s other first lien obligations or any junior lien obligations (the “Note Guarantees”). Under certain circumstances, the Subsidiary Guarantors may be released from their Note Guarantees without the consent of the holders of the Notes, including if the Notes then have investment grade ratings, no default has occurred and is continuing, the guarantees of other first lien and any junior lien obligations have been released and liens on the collateral securing all first lien obligations and any junior lien obligations have been released. Any Note Guarantee will also be released if that Subsidiary Guarantor’s guarantees of the senior credit facility, other first lien obligations and any junior lien obligations are released. </w:t>
      </w:r>
    </w:p>
    <w:p>
      <w:pPr>
        <w:pStyle w:val="TextBody"/>
        <w:bidi w:val="0"/>
        <w:spacing w:before="360" w:after="0"/>
        <w:jc w:val="left"/>
        <w:rPr>
          <w:rFonts w:ascii="Times New Roman" w:hAnsi="Times New Roman"/>
          <w:i/>
          <w:sz w:val="20"/>
        </w:rPr>
      </w:pPr>
      <w:r>
        <w:rPr>
          <w:rFonts w:ascii="Times New Roman" w:hAnsi="Times New Roman"/>
          <w:i/>
          <w:sz w:val="20"/>
        </w:rPr>
        <w:t xml:space="preserve">Collateral </w:t>
      </w:r>
    </w:p>
    <w:p>
      <w:pPr>
        <w:pStyle w:val="TextBody"/>
        <w:bidi w:val="0"/>
        <w:spacing w:before="120" w:after="0"/>
        <w:jc w:val="left"/>
        <w:rPr>
          <w:rFonts w:ascii="Times New Roman" w:hAnsi="Times New Roman"/>
          <w:sz w:val="20"/>
        </w:rPr>
      </w:pPr>
      <w:r>
        <w:rPr>
          <w:rFonts w:ascii="Times New Roman" w:hAnsi="Times New Roman"/>
          <w:sz w:val="20"/>
        </w:rPr>
        <w:t xml:space="preserve">The Notes and the Note Guarantees are secured by first-priority liens, subject to permitted liens, on certain of the Issuer’s assets and certain assets of those Subsidiary Guarantors that have pledged those assets to secure certain of the Issuer’s other indebtedness or indebtedness of those Subsidiary Guarantors (the “Secured Guarantors”) now owned or acquired in the future by the Issuer and the Secured Guarantors (other than real property and certain other excluded assets). The Issuer’s obligations with respect to the Notes, the obligations of the Subsidiary Guarantors under the Note Guarantees and the performance of all the Issuer and the Subsidiary Guarantors’ other obligations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the Indenture are secured equally and ratably with the Issuer’s and the Secured Guarantors’ obligations under the Issuer’s senior secured credit facility, the Issuer’s 1.650% Senior Secured Notes due 2026 (the “Existing 2026 Notes”), 4.625% Senior Secured Notes due 2029 (the “Existing 2029 Notes”), 2.650% Senior Secured Notes due 2030 (the “Existing 2030 Notes”), 2.650% Senior Secured Notes due 2032 (the “Existing 2032 Notes”) and 5.050% Senior Secured Notes due 2034 (the “Existing 2034 Notes”) by a perfected first-priority security interest, subject to permitted liens, in the collateral owned by the Issuer and the Secured Guarantors, whether now owned or hereafter acquired. However, the liens on the collateral securing the Notes and the Note Guarantees of the Secured Guarantors will be released if (i)(x) the Notes then have investment grade ratings, (y) no default has occurred and is continuing and (z) the liens on the collateral securing all first lien obligations (including the senior secured credit facility, the Existing 2026 Notes, the Existing 2029 Notes, the Existing 2030 Notes, the Existing 2032 Notes and the Existing 2034 Notes) and any junior lien obligations have been released or (ii) the collateral under the senior secured credit facility, any other first lien obligations and any junior lien obligations has been released or no longer required to be pledged. The Notes have investment grade ratings from both Moody’s Investors Service (“Moody’s”) and Standard &amp; Poor’s Ratings Services (“S&amp;P”) as of their date of issuance; however, the condition in clause (i)(z) of the preceding sentence has not been met as of the date of issuance because the conditions to the release of the collateral under the senior secured credit facility have not been met as of that date. </w:t>
      </w:r>
    </w:p>
    <w:p>
      <w:pPr>
        <w:pStyle w:val="TextBody"/>
        <w:bidi w:val="0"/>
        <w:spacing w:before="360" w:after="0"/>
        <w:jc w:val="left"/>
        <w:rPr>
          <w:rFonts w:ascii="Times New Roman" w:hAnsi="Times New Roman"/>
          <w:i/>
          <w:sz w:val="20"/>
        </w:rPr>
      </w:pPr>
      <w:r>
        <w:rPr>
          <w:rFonts w:ascii="Times New Roman" w:hAnsi="Times New Roman"/>
          <w:i/>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and the Note Guarantees are the Issuer’s and the Secured Guarantors’ senior secured obligations and: </w:t>
      </w:r>
    </w:p>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125"/>
        <w:gridCol w:w="60"/>
        <w:gridCol w:w="96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6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rank senior in right of payment to any of the Issuer’s and the Subsidiary Guarantors’ future subordinated indebtedness;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rank equally in right of payment with all of the Issuer’s and the Subsidiary Guarantors’ existing and future senior indebtedness;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rank equally in right of payment with the Issuer’s obligations under the Issuer’s senior secured credit facility, the Existing 2026 Notes, the Existing 2029 Notes, the Existing 2030 Notes, Existing 2032 Notes and the Existing 2034 Notes to the extent of the value of the collateral;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rank effectively senior to the Issuer’s and the Subsidiary Guarantors’ existing and future unsecured debt to the extent of the value of the assets securing the Notes and the Note Guarantees;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to any of the Issuers’ and the Subsidiary Guarantors’ existing and future indebtedness that is secured by assets that do not constitute collateral to the extent of the value of such assets; and </w:t>
            </w:r>
          </w:p>
        </w:tc>
      </w:tr>
    </w:tbl>
    <w:p>
      <w:pPr>
        <w:pStyle w:val="TextBody"/>
        <w:bidi w:val="0"/>
        <w:spacing w:before="0" w:after="0"/>
        <w:jc w:val="left"/>
        <w:rPr/>
      </w:pPr>
      <w:r>
        <w:rPr/>
        <w:t> </w:t>
      </w:r>
    </w:p>
    <w:tbl>
      <w:tblPr>
        <w:tblW w:w="7135" w:type="dxa"/>
        <w:jc w:val="left"/>
        <w:tblInd w:w="0" w:type="dxa"/>
        <w:tblLayout w:type="fixed"/>
        <w:tblCellMar>
          <w:top w:w="0" w:type="dxa"/>
          <w:left w:w="0" w:type="dxa"/>
          <w:bottom w:w="0" w:type="dxa"/>
          <w:right w:w="0" w:type="dxa"/>
        </w:tblCellMar>
      </w:tblPr>
      <w:tblGrid>
        <w:gridCol w:w="125"/>
        <w:gridCol w:w="60"/>
        <w:gridCol w:w="69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 structurally subordinated to obligations of the Issuer’s non-guarantor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Issuer elects to add unsecured guarantors in the future, the Note Guarantees of such guarantors will be senior unsecured obligations of the unsecured guarantors, rank senior in right of payment to any of the unsecured guarantors’ future subordinated indebtedness, rank equally in right of payment with the unsecured guarantors’ existing and future senior indebtedness and rank effectively junior to all existing and future senior secured debt of the unsecured guarantors to the extent of the value of any assets securing such senior debt. </w:t>
      </w:r>
    </w:p>
    <w:p>
      <w:pPr>
        <w:pStyle w:val="TextBody"/>
        <w:bidi w:val="0"/>
        <w:spacing w:before="360" w:after="0"/>
        <w:jc w:val="left"/>
        <w:rPr>
          <w:rFonts w:ascii="Times New Roman" w:hAnsi="Times New Roman"/>
          <w:i/>
          <w:sz w:val="20"/>
        </w:rPr>
      </w:pPr>
      <w:r>
        <w:rPr>
          <w:rFonts w:ascii="Times New Roman" w:hAnsi="Times New Roman"/>
          <w:i/>
          <w:sz w:val="20"/>
        </w:rPr>
        <w:t xml:space="preserve">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among other things, limit the Issuer’s ability and the ability of its subsidiaries to (1) consolidate, merge, sell or otherwise dispose of all or substantially all of its assets; (2) create mortgages on certain of the Issuer’s and its subsidiaries’ principal properties to secure debt; and (3) engage in certain sale and lease-back transactions. </w:t>
      </w:r>
    </w:p>
    <w:p>
      <w:pPr>
        <w:pStyle w:val="TextBody"/>
        <w:bidi w:val="0"/>
        <w:spacing w:before="360" w:after="0"/>
        <w:jc w:val="left"/>
        <w:rPr>
          <w:rFonts w:ascii="Times New Roman" w:hAnsi="Times New Roman"/>
          <w:i/>
          <w:sz w:val="20"/>
        </w:rPr>
      </w:pPr>
      <w:r>
        <w:rPr>
          <w:rFonts w:ascii="Times New Roman" w:hAnsi="Times New Roman"/>
          <w:i/>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Issuer may redeem some or all of the 2031 Notes at any time prior to August 1, 2031, and some or all of the 2036 Notes at any time prior to June 1, 2036, in each case at a price equal to 100% of the principal amount thereof, plus accrued and unpaid interest, plus a “make whole” premium. Each of the 2031 Notes and the 2036 Notes may be redeemed on or after the applicable date specified in the preceding sentence at a redemption price equal to 100% of the principal amount of such Notes of such series plus accrued and unpaid interest, if any, thereon to, but excluding, such redemption date.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Change of Control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certain kinds of changes of control, if the Notes have ceased to have investment grade ratings (including as a result of entering into an agreement that would result in such a change of control), holders of the Notes of each series will have the right to cause the Issuer to repurchase the Notes of such series at 101% of the principal amount thereof, plus accrued and unpaid interest and additional interest, if any, to, but excluding, the repurchase date. Because the Notes have investment grade ratings from both Moody’s and S&amp;P as of the issue date of the Notes, this covenant will initially be suspended. </w:t>
      </w:r>
    </w:p>
    <w:p>
      <w:pPr>
        <w:pStyle w:val="TextBody"/>
        <w:bidi w:val="0"/>
        <w:spacing w:before="360" w:after="0"/>
        <w:jc w:val="left"/>
        <w:rPr>
          <w:rFonts w:ascii="Times New Roman" w:hAnsi="Times New Roman"/>
          <w:i/>
          <w:sz w:val="20"/>
        </w:rPr>
      </w:pPr>
      <w:r>
        <w:rPr>
          <w:rFonts w:ascii="Times New Roman" w:hAnsi="Times New Roman"/>
          <w:i/>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also provides for events of default which, if any of them occurs, would permit or require the principal amount of, premium, if any, and accrued and unpaid interest, if any, on the Notes to become or to be declared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In addition, an Additional Authorized Representative Joinder Agreement (the “Additional Authorized Representative Joinder Agreement”), dated as of August 20, 2026, among U.S. Bank Trust Company, National Association, as trustee and additional authorized representative for the holders of the Notes, the Issuer, the Subsidiary Guarantors party thereto, and JPMorgan Chase Bank, N.A., as collateral agent and administrative agent, relating to the guarantees and collateral described above, is filed with this Current Report on Form 8-K as Exhibit 4.6.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Notes, the Note Guarantees, the Indenture (including the forms of the Notes) and the Additional Authorized Representative Joinder Agreement are qualified in their entirety by the terms of such agreements, which are incorporated herein by reference and attached hereto as Exhibits 4.1 through 4.6.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Relationships </w:t>
      </w:r>
    </w:p>
    <w:p>
      <w:pPr>
        <w:pStyle w:val="TextBody"/>
        <w:bidi w:val="0"/>
        <w:spacing w:before="120" w:after="0"/>
        <w:jc w:val="left"/>
        <w:rPr>
          <w:rFonts w:ascii="Times New Roman" w:hAnsi="Times New Roman"/>
          <w:sz w:val="20"/>
        </w:rPr>
      </w:pPr>
      <w:r>
        <w:rPr>
          <w:rFonts w:ascii="Times New Roman" w:hAnsi="Times New Roman"/>
          <w:sz w:val="20"/>
        </w:rPr>
        <w:t xml:space="preserve">As more fully described under the caption “Underwriting” in the Prospectus Supplement, certain of the underwriters and their respective affiliates have provided, and may in the future provide, a variety of these services to the Issuer and to persons and entities with relationships with the Issuer, for which they have received or will receive customary fees and expenses. In particular, JPMorgan Chase Bank, N.A., an affiliate of J.P. Morgan Securities LLC, acts as a joint lead arranger and acts as administrative agent under the Issuer’s senior secured credit facility, and affiliates of certain of the other underwriters, including J.P. Morgan Securities LLC, BofA Securities, Inc., Truist Securities, Inc., U.S. Bancorp Investments, Inc. and Wells Fargo Securities, LLC, act as lenders and, in some cases, as joint lead arrangers and agents, under the Issuer’s revolving credit facility and tranche A term loan facilities. In addition, J.P. Morgan Securities LLC acted as the Issuer’s financial advisor in connection with the Issuer’s recent acquisition of Talkspace, Inc. The affiliates of certain underwriters will receive a portion of the proceeds of the transactions as a result of the repayment of the outstanding borrowings under the Issuer’s revolving credit facility. Additionally, certain of the underwriters and/or their respective affiliates may hold some of the Existing 2026 Notes and may receive a portion of the proceeds from the transactions as a result.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87"/>
        <w:gridCol w:w="9218"/>
      </w:tblGrid>
      <w:tr>
        <w:trPr/>
        <w:tc>
          <w:tcPr>
            <w:tcW w:w="987" w:type="dxa"/>
            <w:tcBorders/>
            <w:vAlign w:val="center"/>
          </w:tcPr>
          <w:p>
            <w:pPr>
              <w:pStyle w:val="TableContents"/>
              <w:bidi w:val="0"/>
              <w:spacing w:before="0" w:after="283"/>
              <w:jc w:val="left"/>
              <w:rPr>
                <w:b/>
              </w:rPr>
            </w:pPr>
            <w:r>
              <w:rPr>
                <w:b/>
              </w:rPr>
              <w:t>Item 2.03.</w:t>
            </w:r>
          </w:p>
        </w:tc>
        <w:tc>
          <w:tcPr>
            <w:tcW w:w="9218"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response to Item 1.01 under the headings “Issuance of Senior Secured Notes” and “Indenture and Notes” is incorporated by reference into this Item 2.03. </w:t>
      </w:r>
      <w:r>
        <w:br w:type="page"/>
      </w:r>
    </w:p>
    <w:p>
      <w:pPr>
        <w:pStyle w:val="HorizontalLine"/>
        <w:bidi w:val="0"/>
        <w:jc w:val="left"/>
        <w:rPr/>
      </w:pPr>
      <w:r>
        <w:rPr/>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5"/>
        <w:gridCol w:w="120"/>
        <w:gridCol w:w="954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4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bidi w:val="0"/>
              <w:spacing w:before="0" w:after="20"/>
              <w:jc w:val="center"/>
              <w:rPr>
                <w:rFonts w:ascii="Times New Roman" w:hAnsi="Times New Roman"/>
                <w:sz w:val="16"/>
              </w:rPr>
            </w:pPr>
            <w:r>
              <w:rPr>
                <w:rFonts w:ascii="Times New Roman" w:hAnsi="Times New Roman"/>
                <w:sz w:val="16"/>
              </w:rPr>
              <w:t>No.</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center"/>
              <w:rPr/>
            </w:pPr>
            <w:r>
              <w:rPr/>
              <w:t>Exhibit 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r:id="rId2">
              <w:r>
                <w:rPr>
                  <w:rStyle w:val="InternetLink"/>
                </w:rPr>
                <w:t xml:space="preserve">Indenture, dated as of September 26, 2024, among the Issuer, the Subsidiary Guarantors party thereto, U.S. Bank Trust Company, National Association, as trustee, and JPMorgan Chase Bank, N.A., as collateral agent , previously filed as Exhibit 4.1 to the Issuer’s Current Report on Form 8-K dated October 1, 2024, is incorporated herein by reference.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r:id="rId3">
              <w:r>
                <w:rPr>
                  <w:rStyle w:val="InternetLink"/>
                </w:rPr>
                <w:t xml:space="preserve">Second Supplemental Indenture, dated as of April 22, 2026, among the Issuer, the Subsidiary Guarantors party thereto, and U.S. Bank Trust Company, National Association (as successor to U.S. Bank National Association), as trustee, to the indenture, dated as of September 26, 2024, previously filed as Exhibit 4.3 to the Issuer’s Current Report on Form 8-K dated April 24, 2026, is incorporated herein by reference.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329184dex43.htm">
              <w:r>
                <w:rPr>
                  <w:rStyle w:val="InternetLink"/>
                </w:rPr>
                <w:t xml:space="preserve">Third Supplemental Indenture, dated as of August 20, 2026, among the Issuer, the Subsidiary Guarantors party thereto, U.S. Bank Trust Company, National Association, as trustee, and JPMorgan Chase Bank, N.A., as collateral agent, to the indenture, dated as of September 26, 2024, governing the Issuer’s 5.500% Senior Secured Notes due 2031 and the Issuer’s 6.000% Senior Secured Notes due 2036.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4.4</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329184dex43.htm">
              <w:r>
                <w:rPr>
                  <w:rStyle w:val="InternetLink"/>
                </w:rPr>
                <w:t xml:space="preserve">Form of Global Note representing the 2031 Notes (included in Exhibit 4.3)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4.5</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329184dex43.htm">
              <w:r>
                <w:rPr>
                  <w:rStyle w:val="InternetLink"/>
                </w:rPr>
                <w:t xml:space="preserve">Form of Global Note representing the 2036 Notes (included in Exhibit 4.3)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4.6</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329184dex46.htm">
              <w:r>
                <w:rPr>
                  <w:rStyle w:val="InternetLink"/>
                </w:rPr>
                <w:t xml:space="preserve">Additional Authorized Representative Joinder Agreement, dated as of August 20, 2026, among U.S. Bank Trust Company, National Association, as trustee and additional authorized representative for the holders of the Notes, the Issuer, the Subsidiary Guarantors party thereto, and JPMorgan Chase Bank, N.A., as collateral agent and administrative agent.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329184dex51.htm">
              <w:r>
                <w:rPr>
                  <w:rStyle w:val="InternetLink"/>
                </w:rPr>
                <w:t xml:space="preserve">Opinion of Norton Rose Fulbright LLP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5.2</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329184dex52.htm">
              <w:r>
                <w:rPr>
                  <w:rStyle w:val="InternetLink"/>
                </w:rPr>
                <w:t xml:space="preserve">Opinion of Matthew D. Klein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329184dex51.htm">
              <w:r>
                <w:rPr>
                  <w:rStyle w:val="InternetLink"/>
                </w:rPr>
                <w:t xml:space="preserve">Consent of Norton Rose Fulbright US LLP (included in Exhibit 5.1)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23.2</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w:anchor="d329184dex52.htm">
              <w:r>
                <w:rPr>
                  <w:rStyle w:val="InternetLink"/>
                </w:rPr>
                <w:t xml:space="preserve">Consent of Matthew D. Klein (included in Exhibit 5.2)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123" w:type="dxa"/>
        <w:jc w:val="left"/>
        <w:tblInd w:w="0" w:type="dxa"/>
        <w:tblLayout w:type="fixed"/>
        <w:tblCellMar>
          <w:top w:w="0" w:type="dxa"/>
          <w:left w:w="0" w:type="dxa"/>
          <w:bottom w:w="0" w:type="dxa"/>
          <w:right w:w="0" w:type="dxa"/>
        </w:tblCellMar>
      </w:tblPr>
      <w:tblGrid>
        <w:gridCol w:w="2195"/>
        <w:gridCol w:w="60"/>
        <w:gridCol w:w="23"/>
        <w:gridCol w:w="60"/>
        <w:gridCol w:w="650"/>
        <w:gridCol w:w="60"/>
        <w:gridCol w:w="507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7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785" w:type="dxa"/>
            <w:gridSpan w:val="3"/>
            <w:tcBorders/>
            <w:vAlign w:val="center"/>
          </w:tcPr>
          <w:p>
            <w:pPr>
              <w:pStyle w:val="TableContents"/>
              <w:bidi w:val="0"/>
              <w:spacing w:before="0" w:after="283"/>
              <w:jc w:val="left"/>
              <w:rPr/>
            </w:pPr>
            <w:r>
              <w:rPr/>
              <w:t>Universal Health Services,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513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Steve Filton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283"/>
              <w:jc w:val="left"/>
              <w:rPr/>
            </w:pPr>
            <w:r>
              <w:rPr/>
              <w:t>Executive Vice President and Chief Financial Officer</w:t>
            </w:r>
          </w:p>
        </w:tc>
      </w:tr>
    </w:tbl>
    <w:p>
      <w:pPr>
        <w:pStyle w:val="TextBody"/>
        <w:bidi w:val="0"/>
        <w:spacing w:before="0" w:after="0"/>
        <w:jc w:val="right"/>
        <w:rPr>
          <w:rFonts w:ascii="Times New Roman" w:hAnsi="Times New Roman"/>
          <w:b/>
          <w:sz w:val="20"/>
        </w:rPr>
      </w:pPr>
      <w:bookmarkStart w:id="2" w:name="d329184dex43.htm"/>
      <w:bookmarkStart w:id="3" w:name="ksd329184dex43"/>
      <w:bookmarkEnd w:id="2"/>
      <w:bookmarkEnd w:id="3"/>
      <w:r>
        <w:rPr>
          <w:rFonts w:ascii="Times New Roman" w:hAnsi="Times New Roman"/>
          <w:b/>
          <w:sz w:val="20"/>
        </w:rPr>
        <w:t xml:space="preserve">Exhibit 4.3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THIRD 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20,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UNIVERSAL HEALTH SERVICES, INC. </w:t>
      </w:r>
    </w:p>
    <w:p>
      <w:pPr>
        <w:pStyle w:val="TextBody"/>
        <w:bidi w:val="0"/>
        <w:spacing w:before="240" w:after="0"/>
        <w:jc w:val="center"/>
        <w:rPr>
          <w:rFonts w:ascii="Times New Roman" w:hAnsi="Times New Roman"/>
          <w:sz w:val="20"/>
        </w:rPr>
      </w:pPr>
      <w:r>
        <w:rPr>
          <w:rFonts w:ascii="Times New Roman" w:hAnsi="Times New Roman"/>
          <w:sz w:val="20"/>
        </w:rPr>
        <w:t xml:space="preserve">THE GUARANTORS NAMED ON THE SIGNATURE PAGES HERETO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2"/>
        </w:rPr>
      </w:pPr>
      <w:r>
        <w:rPr>
          <w:rFonts w:ascii="Times New Roman" w:hAnsi="Times New Roman"/>
          <w:sz w:val="22"/>
        </w:rPr>
        <w:t xml:space="preserve">JPMORGAN CHASE BANK, N.A. </w:t>
      </w:r>
    </w:p>
    <w:p>
      <w:pPr>
        <w:pStyle w:val="TextBody"/>
        <w:bidi w:val="0"/>
        <w:spacing w:before="0" w:after="0"/>
        <w:jc w:val="center"/>
        <w:rPr>
          <w:rFonts w:ascii="Times New Roman" w:hAnsi="Times New Roman"/>
          <w:sz w:val="20"/>
        </w:rPr>
      </w:pPr>
      <w:r>
        <w:rPr>
          <w:rFonts w:ascii="Times New Roman" w:hAnsi="Times New Roman"/>
          <w:sz w:val="20"/>
        </w:rPr>
        <w:t xml:space="preserve">as Collateral Agent </w:t>
      </w:r>
    </w:p>
    <w:p>
      <w:pPr>
        <w:pStyle w:val="TextBody"/>
        <w:bidi w:val="0"/>
        <w:spacing w:before="240" w:after="0"/>
        <w:jc w:val="center"/>
        <w:rPr>
          <w:rFonts w:ascii="Times New Roman" w:hAnsi="Times New Roman"/>
          <w:sz w:val="20"/>
        </w:rPr>
      </w:pPr>
      <w:r>
        <w:rPr>
          <w:rFonts w:ascii="Times New Roman" w:hAnsi="Times New Roman"/>
          <w:sz w:val="20"/>
        </w:rPr>
        <w:t xml:space="preserve">5.500% SENIOR SECURED NOTES DUE 2031 </w:t>
      </w:r>
    </w:p>
    <w:p>
      <w:pPr>
        <w:pStyle w:val="TextBody"/>
        <w:bidi w:val="0"/>
        <w:spacing w:before="240" w:after="0"/>
        <w:jc w:val="center"/>
        <w:rPr>
          <w:rFonts w:ascii="Times New Roman" w:hAnsi="Times New Roman"/>
          <w:sz w:val="20"/>
        </w:rPr>
      </w:pPr>
      <w:r>
        <w:rPr>
          <w:rFonts w:ascii="Times New Roman" w:hAnsi="Times New Roman"/>
          <w:sz w:val="20"/>
        </w:rPr>
        <w:t xml:space="preserve">6.000% SENIOR SECURED NOTES DUE 2036 </w:t>
      </w:r>
    </w:p>
    <w:p>
      <w:pPr>
        <w:pStyle w:val="TextBody"/>
        <w:bidi w:val="0"/>
        <w:spacing w:before="240" w:after="0"/>
        <w:jc w:val="center"/>
        <w:rPr>
          <w:rFonts w:ascii="Times New Roman" w:hAnsi="Times New Roman"/>
          <w:sz w:val="20"/>
        </w:rPr>
      </w:pPr>
      <w:r>
        <w:rPr>
          <w:rFonts w:ascii="Times New Roman" w:hAnsi="Times New Roman"/>
          <w:sz w:val="20"/>
        </w:rPr>
        <w:t xml:space="preserve">Supplemental to Indenture dated as of September 26, 2024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1"/>
        <w:gridCol w:w="176"/>
        <w:gridCol w:w="7749"/>
        <w:gridCol w:w="176"/>
        <w:gridCol w:w="90"/>
        <w:gridCol w:w="400"/>
        <w:gridCol w:w="63"/>
      </w:tblGrid>
      <w:tr>
        <w:trPr/>
        <w:tc>
          <w:tcPr>
            <w:tcW w:w="1551"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7749" w:type="dxa"/>
            <w:tcBorders/>
            <w:vAlign w:val="center"/>
          </w:tcPr>
          <w:p>
            <w:pPr>
              <w:pStyle w:val="TableContents"/>
              <w:bidi w:val="0"/>
              <w:spacing w:before="0" w:after="283"/>
              <w:jc w:val="left"/>
              <w:rPr>
                <w:sz w:val="4"/>
                <w:szCs w:val="4"/>
              </w:rPr>
            </w:pPr>
            <w:r>
              <w:rPr>
                <w:sz w:val="4"/>
                <w:szCs w:val="4"/>
              </w:rPr>
            </w:r>
          </w:p>
        </w:tc>
        <w:tc>
          <w:tcPr>
            <w:tcW w:w="176"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51"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7749"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9476" w:type="dxa"/>
            <w:gridSpan w:val="3"/>
            <w:tcBorders/>
          </w:tcPr>
          <w:p>
            <w:pPr>
              <w:pStyle w:val="TableContents"/>
              <w:bidi w:val="0"/>
              <w:spacing w:before="0" w:after="283"/>
              <w:jc w:val="left"/>
              <w:rPr/>
            </w:pPr>
            <w:r>
              <w:rPr/>
              <w:t>ARTICLE 1 DEFINITIONS AND INCORPORATION BY REFERENCE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551" w:type="dxa"/>
            <w:tcBorders/>
            <w:vAlign w:val="center"/>
          </w:tcPr>
          <w:p>
            <w:pPr>
              <w:pStyle w:val="TableContents"/>
              <w:bidi w:val="0"/>
              <w:spacing w:before="0" w:after="283"/>
              <w:jc w:val="left"/>
              <w:rPr>
                <w:sz w:val="4"/>
                <w:szCs w:val="4"/>
              </w:rPr>
            </w:pPr>
            <w:r>
              <w:rPr>
                <w:sz w:val="4"/>
                <w:szCs w:val="4"/>
              </w:rPr>
            </w:r>
          </w:p>
        </w:tc>
        <w:tc>
          <w:tcPr>
            <w:tcW w:w="7925" w:type="dxa"/>
            <w:gridSpan w:val="2"/>
            <w:tcBorders/>
            <w:vAlign w:val="center"/>
          </w:tcPr>
          <w:p>
            <w:pPr>
              <w:pStyle w:val="TableContents"/>
              <w:bidi w:val="0"/>
              <w:spacing w:before="0" w:after="283"/>
              <w:jc w:val="left"/>
              <w:rPr>
                <w:sz w:val="4"/>
                <w:szCs w:val="4"/>
              </w:rPr>
            </w:pPr>
            <w:r>
              <w:rPr>
                <w:sz w:val="4"/>
                <w:szCs w:val="4"/>
              </w:rPr>
            </w:r>
          </w:p>
        </w:tc>
        <w:tc>
          <w:tcPr>
            <w:tcW w:w="729" w:type="dxa"/>
            <w:gridSpan w:val="4"/>
            <w:tcBorders/>
            <w:vAlign w:val="center"/>
          </w:tcPr>
          <w:p>
            <w:pPr>
              <w:pStyle w:val="TableContents"/>
              <w:bidi w:val="0"/>
              <w:spacing w:before="0" w:after="283"/>
              <w:jc w:val="left"/>
              <w:rPr>
                <w:sz w:val="4"/>
                <w:szCs w:val="4"/>
              </w:rPr>
            </w:pPr>
            <w:r>
              <w:rPr>
                <w:sz w:val="4"/>
                <w:szCs w:val="4"/>
              </w:rPr>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Rules of Construction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476" w:type="dxa"/>
            <w:gridSpan w:val="3"/>
            <w:tcBorders/>
            <w:vAlign w:val="center"/>
          </w:tcPr>
          <w:p>
            <w:pPr>
              <w:pStyle w:val="TableContents"/>
              <w:bidi w:val="0"/>
              <w:spacing w:before="0" w:after="283"/>
              <w:jc w:val="left"/>
              <w:rPr>
                <w:sz w:val="4"/>
                <w:szCs w:val="4"/>
              </w:rPr>
            </w:pPr>
            <w:r>
              <w:rPr>
                <w:sz w:val="4"/>
                <w:szCs w:val="4"/>
              </w:rPr>
            </w:r>
          </w:p>
        </w:tc>
        <w:tc>
          <w:tcPr>
            <w:tcW w:w="729" w:type="dxa"/>
            <w:gridSpan w:val="4"/>
            <w:tcBorders/>
            <w:vAlign w:val="center"/>
          </w:tcPr>
          <w:p>
            <w:pPr>
              <w:pStyle w:val="TableContents"/>
              <w:bidi w:val="0"/>
              <w:spacing w:before="0" w:after="283"/>
              <w:jc w:val="left"/>
              <w:rPr>
                <w:sz w:val="4"/>
                <w:szCs w:val="4"/>
              </w:rPr>
            </w:pPr>
            <w:r>
              <w:rPr>
                <w:sz w:val="4"/>
                <w:szCs w:val="4"/>
              </w:rPr>
            </w:r>
          </w:p>
        </w:tc>
      </w:tr>
      <w:tr>
        <w:trPr/>
        <w:tc>
          <w:tcPr>
            <w:tcW w:w="9476" w:type="dxa"/>
            <w:gridSpan w:val="3"/>
            <w:tcBorders/>
          </w:tcPr>
          <w:p>
            <w:pPr>
              <w:pStyle w:val="TableContents"/>
              <w:bidi w:val="0"/>
              <w:spacing w:before="0" w:after="283"/>
              <w:jc w:val="left"/>
              <w:rPr/>
            </w:pPr>
            <w:r>
              <w:rPr/>
              <w:t>ARTICLE 2 TERMS OF THE NOTES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1551" w:type="dxa"/>
            <w:tcBorders/>
            <w:vAlign w:val="center"/>
          </w:tcPr>
          <w:p>
            <w:pPr>
              <w:pStyle w:val="TableContents"/>
              <w:bidi w:val="0"/>
              <w:spacing w:before="0" w:after="283"/>
              <w:jc w:val="left"/>
              <w:rPr>
                <w:sz w:val="4"/>
                <w:szCs w:val="4"/>
              </w:rPr>
            </w:pPr>
            <w:r>
              <w:rPr>
                <w:sz w:val="4"/>
                <w:szCs w:val="4"/>
              </w:rPr>
            </w:r>
          </w:p>
        </w:tc>
        <w:tc>
          <w:tcPr>
            <w:tcW w:w="7925" w:type="dxa"/>
            <w:gridSpan w:val="2"/>
            <w:tcBorders/>
            <w:vAlign w:val="center"/>
          </w:tcPr>
          <w:p>
            <w:pPr>
              <w:pStyle w:val="TableContents"/>
              <w:bidi w:val="0"/>
              <w:spacing w:before="0" w:after="283"/>
              <w:jc w:val="left"/>
              <w:rPr>
                <w:sz w:val="4"/>
                <w:szCs w:val="4"/>
              </w:rPr>
            </w:pPr>
            <w:r>
              <w:rPr>
                <w:sz w:val="4"/>
                <w:szCs w:val="4"/>
              </w:rPr>
            </w:r>
          </w:p>
        </w:tc>
        <w:tc>
          <w:tcPr>
            <w:tcW w:w="729" w:type="dxa"/>
            <w:gridSpan w:val="4"/>
            <w:tcBorders/>
            <w:vAlign w:val="center"/>
          </w:tcPr>
          <w:p>
            <w:pPr>
              <w:pStyle w:val="TableContents"/>
              <w:bidi w:val="0"/>
              <w:spacing w:before="0" w:after="283"/>
              <w:jc w:val="left"/>
              <w:rPr>
                <w:sz w:val="4"/>
                <w:szCs w:val="4"/>
              </w:rPr>
            </w:pPr>
            <w:r>
              <w:rPr>
                <w:sz w:val="4"/>
                <w:szCs w:val="4"/>
              </w:rPr>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Title and Ranking</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Issue Prices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Principal Amounts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Payment of the Notes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Interest</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Guarantees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Place of Payment and Surrender for Registration of Transfer or Exchange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Optional Redemption</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2.09</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No Sinking Fund</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2.10</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Currencies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2.11</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Collateral and Security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2.12</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Defaults and Remedies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2.13</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Offer to Repurchase Upon Change of Control Following a Reversion Date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2.14</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Amendment, Supplement and Waiver</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2.15</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Defeasance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2.16</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Form and Dating</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2.17</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CUSIP and ISIN Numbers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476" w:type="dxa"/>
            <w:gridSpan w:val="3"/>
            <w:tcBorders/>
            <w:vAlign w:val="center"/>
          </w:tcPr>
          <w:p>
            <w:pPr>
              <w:pStyle w:val="TableContents"/>
              <w:bidi w:val="0"/>
              <w:spacing w:before="0" w:after="283"/>
              <w:jc w:val="left"/>
              <w:rPr>
                <w:sz w:val="4"/>
                <w:szCs w:val="4"/>
              </w:rPr>
            </w:pPr>
            <w:r>
              <w:rPr>
                <w:sz w:val="4"/>
                <w:szCs w:val="4"/>
              </w:rPr>
            </w:r>
          </w:p>
        </w:tc>
        <w:tc>
          <w:tcPr>
            <w:tcW w:w="729" w:type="dxa"/>
            <w:gridSpan w:val="4"/>
            <w:tcBorders/>
            <w:vAlign w:val="center"/>
          </w:tcPr>
          <w:p>
            <w:pPr>
              <w:pStyle w:val="TableContents"/>
              <w:bidi w:val="0"/>
              <w:spacing w:before="0" w:after="283"/>
              <w:jc w:val="left"/>
              <w:rPr>
                <w:sz w:val="4"/>
                <w:szCs w:val="4"/>
              </w:rPr>
            </w:pPr>
            <w:r>
              <w:rPr>
                <w:sz w:val="4"/>
                <w:szCs w:val="4"/>
              </w:rPr>
            </w:r>
          </w:p>
        </w:tc>
      </w:tr>
      <w:tr>
        <w:trPr/>
        <w:tc>
          <w:tcPr>
            <w:tcW w:w="9476" w:type="dxa"/>
            <w:gridSpan w:val="3"/>
            <w:tcBorders/>
          </w:tcPr>
          <w:p>
            <w:pPr>
              <w:pStyle w:val="TableContents"/>
              <w:bidi w:val="0"/>
              <w:spacing w:before="0" w:after="283"/>
              <w:jc w:val="left"/>
              <w:rPr/>
            </w:pPr>
            <w:r>
              <w:rPr/>
              <w:t>ARTICLE 3 MISCELLANEOUS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551" w:type="dxa"/>
            <w:tcBorders/>
            <w:vAlign w:val="center"/>
          </w:tcPr>
          <w:p>
            <w:pPr>
              <w:pStyle w:val="TableContents"/>
              <w:bidi w:val="0"/>
              <w:spacing w:before="0" w:after="283"/>
              <w:jc w:val="left"/>
              <w:rPr>
                <w:sz w:val="4"/>
                <w:szCs w:val="4"/>
              </w:rPr>
            </w:pPr>
            <w:r>
              <w:rPr>
                <w:sz w:val="4"/>
                <w:szCs w:val="4"/>
              </w:rPr>
            </w:r>
          </w:p>
        </w:tc>
        <w:tc>
          <w:tcPr>
            <w:tcW w:w="7925" w:type="dxa"/>
            <w:gridSpan w:val="2"/>
            <w:tcBorders/>
            <w:vAlign w:val="center"/>
          </w:tcPr>
          <w:p>
            <w:pPr>
              <w:pStyle w:val="TableContents"/>
              <w:bidi w:val="0"/>
              <w:spacing w:before="0" w:after="283"/>
              <w:jc w:val="left"/>
              <w:rPr>
                <w:sz w:val="4"/>
                <w:szCs w:val="4"/>
              </w:rPr>
            </w:pPr>
            <w:r>
              <w:rPr>
                <w:sz w:val="4"/>
                <w:szCs w:val="4"/>
              </w:rPr>
            </w:r>
          </w:p>
        </w:tc>
        <w:tc>
          <w:tcPr>
            <w:tcW w:w="729" w:type="dxa"/>
            <w:gridSpan w:val="4"/>
            <w:tcBorders/>
            <w:vAlign w:val="center"/>
          </w:tcPr>
          <w:p>
            <w:pPr>
              <w:pStyle w:val="TableContents"/>
              <w:bidi w:val="0"/>
              <w:spacing w:before="0" w:after="283"/>
              <w:jc w:val="left"/>
              <w:rPr>
                <w:sz w:val="4"/>
                <w:szCs w:val="4"/>
              </w:rPr>
            </w:pPr>
            <w:r>
              <w:rPr>
                <w:sz w:val="4"/>
                <w:szCs w:val="4"/>
              </w:rPr>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Successors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Counterpart Originals; Facsimile and Electronic Delivery of Signature Pages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3.05</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Table of Contents, Headings, etc.</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Section 3.06</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Payments Due on Non-Business Days</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551" w:type="dxa"/>
            <w:tcBorders/>
            <w:vAlign w:val="center"/>
          </w:tcPr>
          <w:p>
            <w:pPr>
              <w:pStyle w:val="TableContents"/>
              <w:bidi w:val="0"/>
              <w:spacing w:before="0" w:after="283"/>
              <w:jc w:val="left"/>
              <w:rPr>
                <w:sz w:val="4"/>
                <w:szCs w:val="4"/>
              </w:rPr>
            </w:pPr>
            <w:r>
              <w:rPr>
                <w:sz w:val="4"/>
                <w:szCs w:val="4"/>
              </w:rPr>
            </w:r>
          </w:p>
        </w:tc>
        <w:tc>
          <w:tcPr>
            <w:tcW w:w="7925" w:type="dxa"/>
            <w:gridSpan w:val="2"/>
            <w:tcBorders/>
            <w:vAlign w:val="center"/>
          </w:tcPr>
          <w:p>
            <w:pPr>
              <w:pStyle w:val="TableContents"/>
              <w:bidi w:val="0"/>
              <w:spacing w:before="0" w:after="283"/>
              <w:jc w:val="left"/>
              <w:rPr>
                <w:sz w:val="4"/>
                <w:szCs w:val="4"/>
              </w:rPr>
            </w:pPr>
            <w:r>
              <w:rPr>
                <w:sz w:val="4"/>
                <w:szCs w:val="4"/>
              </w:rPr>
            </w:r>
          </w:p>
        </w:tc>
        <w:tc>
          <w:tcPr>
            <w:tcW w:w="729" w:type="dxa"/>
            <w:gridSpan w:val="4"/>
            <w:tcBorders/>
            <w:vAlign w:val="center"/>
          </w:tcPr>
          <w:p>
            <w:pPr>
              <w:pStyle w:val="TableContents"/>
              <w:bidi w:val="0"/>
              <w:spacing w:before="0" w:after="283"/>
              <w:jc w:val="left"/>
              <w:rPr>
                <w:sz w:val="4"/>
                <w:szCs w:val="4"/>
              </w:rPr>
            </w:pPr>
            <w:r>
              <w:rPr>
                <w:sz w:val="4"/>
                <w:szCs w:val="4"/>
              </w:rPr>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Exhibit A-1</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Form of 2031 Note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1551" w:type="dxa"/>
            <w:tcBorders/>
          </w:tcPr>
          <w:p>
            <w:pPr>
              <w:pStyle w:val="TableContents"/>
              <w:bidi w:val="0"/>
              <w:spacing w:before="0" w:after="0"/>
              <w:jc w:val="left"/>
              <w:rPr>
                <w:rFonts w:ascii="Times New Roman" w:hAnsi="Times New Roman"/>
                <w:sz w:val="20"/>
              </w:rPr>
            </w:pPr>
            <w:r>
              <w:rPr>
                <w:rFonts w:ascii="Times New Roman" w:hAnsi="Times New Roman"/>
                <w:sz w:val="20"/>
              </w:rPr>
              <w:t>Exhibit A-2</w:t>
            </w:r>
          </w:p>
        </w:tc>
        <w:tc>
          <w:tcPr>
            <w:tcW w:w="176" w:type="dxa"/>
            <w:tcBorders/>
            <w:vAlign w:val="bottom"/>
          </w:tcPr>
          <w:p>
            <w:pPr>
              <w:pStyle w:val="TableContents"/>
              <w:bidi w:val="0"/>
              <w:spacing w:before="0" w:after="283"/>
              <w:jc w:val="left"/>
              <w:rPr/>
            </w:pPr>
            <w:r>
              <w:rPr/>
              <w:t>  </w:t>
            </w:r>
          </w:p>
        </w:tc>
        <w:tc>
          <w:tcPr>
            <w:tcW w:w="7749" w:type="dxa"/>
            <w:tcBorders/>
          </w:tcPr>
          <w:p>
            <w:pPr>
              <w:pStyle w:val="TableContents"/>
              <w:bidi w:val="0"/>
              <w:spacing w:before="0" w:after="0"/>
              <w:jc w:val="left"/>
              <w:rPr>
                <w:rFonts w:ascii="Times New Roman" w:hAnsi="Times New Roman"/>
                <w:sz w:val="20"/>
              </w:rPr>
            </w:pPr>
            <w:r>
              <w:rPr>
                <w:rFonts w:ascii="Times New Roman" w:hAnsi="Times New Roman"/>
                <w:sz w:val="20"/>
              </w:rPr>
              <w:t>Form of 2036 Note</w:t>
            </w:r>
          </w:p>
        </w:tc>
        <w:tc>
          <w:tcPr>
            <w:tcW w:w="176"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400"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THIRD SUPPLEMENTAL INDENTURE, dated as of August 20, 2026, among Universal Health Services, Inc., a Delaware corporation (the “</w:t>
      </w:r>
      <w:r>
        <w:rPr>
          <w:rFonts w:ascii="Times New Roman" w:hAnsi="Times New Roman"/>
          <w:sz w:val="20"/>
          <w:u w:val="single"/>
        </w:rPr>
        <w:t>Issuer</w:t>
      </w:r>
      <w:r>
        <w:rPr>
          <w:rFonts w:ascii="Times New Roman" w:hAnsi="Times New Roman"/>
          <w:sz w:val="20"/>
        </w:rPr>
        <w:t xml:space="preserve">”), the Guarantors (as defined herein) listed on the signature pages hereto, U.S. Bank Trust Company, National Association, as Trustee, and JPMorgan Chase Bank, N.A., as Collateral Agent. </w:t>
      </w:r>
    </w:p>
    <w:p>
      <w:pPr>
        <w:pStyle w:val="TextBody"/>
        <w:bidi w:val="0"/>
        <w:spacing w:before="48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Issuer, the Guarantors, Trustee and the Collateral Agent executed and delivered an Indenture, dated as of September 26, 2024 (the “</w:t>
      </w:r>
      <w:r>
        <w:rPr>
          <w:rFonts w:ascii="Times New Roman" w:hAnsi="Times New Roman"/>
          <w:sz w:val="20"/>
          <w:u w:val="single"/>
        </w:rPr>
        <w:t>Base Indenture</w:t>
      </w:r>
      <w:r>
        <w:rPr>
          <w:rFonts w:ascii="Times New Roman" w:hAnsi="Times New Roman"/>
          <w:sz w:val="20"/>
        </w:rPr>
        <w:t>”) as supplemented by the First Supplemental Indenture, dated as of September 26, 2024, and the Second Supplemental Indenture, dated as of April 22, 2026 (and, as further supplemented hereby, the “</w:t>
      </w:r>
      <w:r>
        <w:rPr>
          <w:rFonts w:ascii="Times New Roman" w:hAnsi="Times New Roman"/>
          <w:sz w:val="20"/>
          <w:u w:val="single"/>
        </w:rPr>
        <w:t>Indenture</w:t>
      </w:r>
      <w:r>
        <w:rPr>
          <w:rFonts w:ascii="Times New Roman" w:hAnsi="Times New Roman"/>
          <w:sz w:val="20"/>
        </w:rPr>
        <w:t xml:space="preserve">”), to provide for the issuance of Notes by the Issuer from time to time, to be issued in one or more series as provided in the Indenture; </w:t>
      </w:r>
    </w:p>
    <w:p>
      <w:pPr>
        <w:pStyle w:val="TextBody"/>
        <w:bidi w:val="0"/>
        <w:spacing w:before="240" w:after="0"/>
        <w:jc w:val="left"/>
        <w:rPr>
          <w:rFonts w:ascii="Times New Roman" w:hAnsi="Times New Roman"/>
          <w:sz w:val="20"/>
        </w:rPr>
      </w:pPr>
      <w:r>
        <w:rPr>
          <w:rFonts w:ascii="Times New Roman" w:hAnsi="Times New Roman"/>
          <w:sz w:val="20"/>
        </w:rPr>
        <w:t>WHEREAS, the Issuer has duly authorized the creation and issue of $600,000,000 aggregate principal amount of 5.500% Senior Secured Notes due 2031 (the “</w:t>
      </w:r>
      <w:r>
        <w:rPr>
          <w:rFonts w:ascii="Times New Roman" w:hAnsi="Times New Roman"/>
          <w:sz w:val="20"/>
          <w:u w:val="single"/>
        </w:rPr>
        <w:t>Initial 2031 Notes</w:t>
      </w:r>
      <w:r>
        <w:rPr>
          <w:rFonts w:ascii="Times New Roman" w:hAnsi="Times New Roman"/>
          <w:sz w:val="20"/>
        </w:rPr>
        <w:t>”) and $500,000,000 aggregate principal amount of 6.000% Senior Secured Notes due 2036 (the “</w:t>
      </w:r>
      <w:r>
        <w:rPr>
          <w:rFonts w:ascii="Times New Roman" w:hAnsi="Times New Roman"/>
          <w:sz w:val="20"/>
          <w:u w:val="single"/>
        </w:rPr>
        <w:t>Initial 2036 Notes</w:t>
      </w:r>
      <w:r>
        <w:rPr>
          <w:rFonts w:ascii="Times New Roman" w:hAnsi="Times New Roman"/>
          <w:sz w:val="20"/>
        </w:rPr>
        <w:t>” and, together with the Initial 2036 Notes, the “</w:t>
      </w:r>
      <w:r>
        <w:rPr>
          <w:rFonts w:ascii="Times New Roman" w:hAnsi="Times New Roman"/>
          <w:sz w:val="20"/>
          <w:u w:val="single"/>
        </w:rPr>
        <w:t>Initial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entry into this Third Supplemental Indenture by the parties hereto is in all respects authorized by the provisions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Issuer desires to establish the terms of each series of the Notes in accordance with Section 2.01(b) of the Base Indenture and to establish the forms of the Notes in accordance with Section 2.01(e) of the Base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Issuer and each of the Guarantors has duly authorized the execution and delivery of this Third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Issuer, the Guarantors, the Trustee and the Collateral Agent agree as follows for the benefit of each other and for the equal and ratable benefit of the Holders of the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1 </w:t>
      </w:r>
    </w:p>
    <w:p>
      <w:pPr>
        <w:pStyle w:val="TextBody"/>
        <w:bidi w:val="0"/>
        <w:spacing w:before="120" w:after="0"/>
        <w:jc w:val="center"/>
        <w:rPr>
          <w:rFonts w:ascii="Times New Roman" w:hAnsi="Times New Roman"/>
          <w:sz w:val="20"/>
        </w:rPr>
      </w:pPr>
      <w:r>
        <w:rPr>
          <w:rFonts w:ascii="Times New Roman" w:hAnsi="Times New Roman"/>
          <w:sz w:val="20"/>
        </w:rPr>
        <w:t xml:space="preserve">DEFINITIONS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2031 Notes</w:t>
      </w:r>
      <w:r>
        <w:rPr>
          <w:rFonts w:ascii="Times New Roman" w:hAnsi="Times New Roman"/>
          <w:sz w:val="20"/>
        </w:rPr>
        <w:t xml:space="preserve">” means the Issuer’s 5.500% Senior Secured Notes due 2031. </w:t>
      </w:r>
    </w:p>
    <w:p>
      <w:pPr>
        <w:pStyle w:val="TextBody"/>
        <w:bidi w:val="0"/>
        <w:spacing w:before="240" w:after="0"/>
        <w:jc w:val="left"/>
        <w:rPr/>
      </w:pPr>
      <w:r>
        <w:rPr/>
        <w:t>“</w:t>
      </w:r>
      <w:r>
        <w:rPr>
          <w:rFonts w:ascii="Times New Roman" w:hAnsi="Times New Roman"/>
          <w:sz w:val="20"/>
          <w:u w:val="single"/>
        </w:rPr>
        <w:t>2036 Notes</w:t>
      </w:r>
      <w:r>
        <w:rPr>
          <w:rFonts w:ascii="Times New Roman" w:hAnsi="Times New Roman"/>
          <w:sz w:val="20"/>
        </w:rPr>
        <w:t xml:space="preserve">” means the Issuer’s 6.000% Senior Secured Notes due 2036. </w:t>
      </w:r>
    </w:p>
    <w:p>
      <w:pPr>
        <w:pStyle w:val="TextBody"/>
        <w:bidi w:val="0"/>
        <w:spacing w:before="240" w:after="0"/>
        <w:jc w:val="left"/>
        <w:rPr/>
      </w:pPr>
      <w:r>
        <w:rPr/>
        <w:t>“</w:t>
      </w:r>
      <w:r>
        <w:rPr>
          <w:rFonts w:ascii="Times New Roman" w:hAnsi="Times New Roman"/>
          <w:sz w:val="20"/>
          <w:u w:val="single"/>
        </w:rPr>
        <w:t>Additional Notes</w:t>
      </w:r>
      <w:r>
        <w:rPr>
          <w:rFonts w:ascii="Times New Roman" w:hAnsi="Times New Roman"/>
          <w:sz w:val="20"/>
        </w:rPr>
        <w:t xml:space="preserve">” means additional 2031 Notes or additional 2036 Notes, as applicable (other than the Initial Notes), issued from time to time under the Indenture in accordance with Section 2.16(b) hereof and any other applicable provisions of the Indenture. </w:t>
      </w:r>
    </w:p>
    <w:p>
      <w:pPr>
        <w:pStyle w:val="TextBody"/>
        <w:bidi w:val="0"/>
        <w:spacing w:before="240" w:after="0"/>
        <w:jc w:val="left"/>
        <w:rPr/>
      </w:pPr>
      <w:r>
        <w:rPr/>
        <w:t>“</w:t>
      </w:r>
      <w:r>
        <w:rPr>
          <w:rFonts w:ascii="Times New Roman" w:hAnsi="Times New Roman"/>
          <w:sz w:val="20"/>
          <w:u w:val="single"/>
        </w:rPr>
        <w:t>beneficial ownership</w:t>
      </w:r>
      <w:r>
        <w:rPr>
          <w:rFonts w:ascii="Times New Roman" w:hAnsi="Times New Roman"/>
          <w:sz w:val="20"/>
        </w:rPr>
        <w:t>” has the meaning assigned to such term in Rule 13d-3 and Rule 13d-5 under the Exchange Act, and “</w:t>
      </w:r>
      <w:r>
        <w:rPr>
          <w:rFonts w:ascii="Times New Roman" w:hAnsi="Times New Roman"/>
          <w:sz w:val="20"/>
          <w:u w:val="single"/>
        </w:rPr>
        <w:t>beneficial owner</w:t>
      </w:r>
      <w:r>
        <w:rPr>
          <w:rFonts w:ascii="Times New Roman" w:hAnsi="Times New Roman"/>
          <w:sz w:val="20"/>
        </w:rPr>
        <w:t xml:space="preserve">” has a corresponding meaning.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Change of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any “person” or “group” of related persons (as such terms are used in Sections 13(d) and 14(d) of the Exchange Act), other than one or more Permitted Holders, becomes the beneficial owner (as defined in Rules 13d-3 and 13d-5 under the Exchange Act, except that such person or group shall be deemed to have “beneficial ownership” of all shares that any such person or group has the right to acquire, whether such right is exercisable immediately or only after the passage of time), directly or indirectly, of more than 50% of the total voting power of the Voting Stock of the Issuer or any of its direct or indirect parent entities (or their successors by merger, consolidation or purchase of all or substantially all of their assets); </w:t>
      </w:r>
    </w:p>
    <w:p>
      <w:pPr>
        <w:pStyle w:val="TextBody"/>
        <w:bidi w:val="0"/>
        <w:spacing w:before="120" w:after="0"/>
        <w:jc w:val="left"/>
        <w:rPr>
          <w:rFonts w:ascii="Times New Roman" w:hAnsi="Times New Roman"/>
          <w:sz w:val="20"/>
        </w:rPr>
      </w:pPr>
      <w:r>
        <w:rPr>
          <w:rFonts w:ascii="Times New Roman" w:hAnsi="Times New Roman"/>
          <w:sz w:val="20"/>
        </w:rPr>
        <w:t xml:space="preserve">(2) the sale, assignment, conveyance, transfer, lease or other disposition (other than by way of merger or consolidation), in one or a series of related transactions, of all or substantially all of the assets of the Issuer and its Restricted Subsidiaries taken as a whole to any “person” (as such term is used in Sections 13(d) and 14(d) of the Exchange Act) other than transactions with a Permitted Holder; or </w:t>
      </w:r>
    </w:p>
    <w:p>
      <w:pPr>
        <w:pStyle w:val="TextBody"/>
        <w:bidi w:val="0"/>
        <w:spacing w:before="120" w:after="0"/>
        <w:jc w:val="left"/>
        <w:rPr>
          <w:rFonts w:ascii="Times New Roman" w:hAnsi="Times New Roman"/>
          <w:sz w:val="20"/>
        </w:rPr>
      </w:pPr>
      <w:r>
        <w:rPr>
          <w:rFonts w:ascii="Times New Roman" w:hAnsi="Times New Roman"/>
          <w:sz w:val="20"/>
        </w:rPr>
        <w:t xml:space="preserve">(3) the adoption by the stockholders of the Issuer of a plan or proposal for the liquidation or dissolution of the Issuer. </w:t>
      </w:r>
    </w:p>
    <w:p>
      <w:pPr>
        <w:pStyle w:val="TextBody"/>
        <w:bidi w:val="0"/>
        <w:spacing w:before="240" w:after="0"/>
        <w:jc w:val="left"/>
        <w:rPr/>
      </w:pPr>
      <w:r>
        <w:rPr/>
        <w:t>“</w:t>
      </w:r>
      <w:r>
        <w:rPr>
          <w:rFonts w:ascii="Times New Roman" w:hAnsi="Times New Roman"/>
          <w:sz w:val="20"/>
          <w:u w:val="single"/>
        </w:rPr>
        <w:t>Depositary</w:t>
      </w:r>
      <w:r>
        <w:rPr>
          <w:rFonts w:ascii="Times New Roman" w:hAnsi="Times New Roman"/>
          <w:sz w:val="20"/>
        </w:rPr>
        <w:t xml:space="preserve">” means, with respect to the Notes issuable or issued in whole or in part in global form, the Person specified in Section 2.07(b) as the Depositary with respect to the Notes, and any and all successors thereto appointed as Depositary hereunder and having become such pursuant to the applicable provision of the Indenture. </w:t>
      </w:r>
    </w:p>
    <w:p>
      <w:pPr>
        <w:pStyle w:val="TextBody"/>
        <w:bidi w:val="0"/>
        <w:spacing w:before="240" w:after="0"/>
        <w:jc w:val="left"/>
        <w:rPr/>
      </w:pPr>
      <w:r>
        <w:rPr/>
        <w:t>“</w:t>
      </w:r>
      <w:r>
        <w:rPr>
          <w:rFonts w:ascii="Times New Roman" w:hAnsi="Times New Roman"/>
          <w:sz w:val="20"/>
          <w:u w:val="single"/>
        </w:rPr>
        <w:t>Euroclear</w:t>
      </w:r>
      <w:r>
        <w:rPr>
          <w:rFonts w:ascii="Times New Roman" w:hAnsi="Times New Roman"/>
          <w:sz w:val="20"/>
        </w:rPr>
        <w:t xml:space="preserve">” means the Euroclear Clearance System or any successor securities clearing agency. </w:t>
      </w:r>
    </w:p>
    <w:p>
      <w:pPr>
        <w:pStyle w:val="TextBody"/>
        <w:bidi w:val="0"/>
        <w:spacing w:before="240" w:after="0"/>
        <w:jc w:val="left"/>
        <w:rPr/>
      </w:pPr>
      <w:r>
        <w:rPr/>
        <w:t>“</w:t>
      </w:r>
      <w:r>
        <w:rPr>
          <w:rFonts w:ascii="Times New Roman" w:hAnsi="Times New Roman"/>
          <w:sz w:val="20"/>
          <w:u w:val="single"/>
        </w:rPr>
        <w:t>Initial Notes</w:t>
      </w:r>
      <w:r>
        <w:rPr>
          <w:rFonts w:ascii="Times New Roman" w:hAnsi="Times New Roman"/>
          <w:sz w:val="20"/>
        </w:rPr>
        <w:t xml:space="preserve">” has the meaning set forth in the recitals hereto. </w:t>
      </w:r>
    </w:p>
    <w:p>
      <w:pPr>
        <w:pStyle w:val="TextBody"/>
        <w:bidi w:val="0"/>
        <w:spacing w:before="240" w:after="0"/>
        <w:jc w:val="left"/>
        <w:rPr/>
      </w:pPr>
      <w:r>
        <w:rPr/>
        <w:t>“</w:t>
      </w:r>
      <w:r>
        <w:rPr>
          <w:rFonts w:ascii="Times New Roman" w:hAnsi="Times New Roman"/>
          <w:sz w:val="20"/>
          <w:u w:val="single"/>
        </w:rPr>
        <w:t>Interest Payment Date</w:t>
      </w:r>
      <w:r>
        <w:rPr>
          <w:rFonts w:ascii="Times New Roman" w:hAnsi="Times New Roman"/>
          <w:sz w:val="20"/>
        </w:rPr>
        <w:t xml:space="preserve">” means, (i) with respect to the 2031 Notes, March 1 and September 1 of each year to the Stated Maturity of the 2031 Notes; </w:t>
      </w:r>
      <w:r>
        <w:rPr>
          <w:rFonts w:ascii="Times New Roman" w:hAnsi="Times New Roman"/>
          <w:sz w:val="20"/>
          <w:u w:val="single"/>
        </w:rPr>
        <w:t>provided</w:t>
      </w:r>
      <w:r>
        <w:rPr>
          <w:rFonts w:ascii="Times New Roman" w:hAnsi="Times New Roman"/>
          <w:sz w:val="20"/>
        </w:rPr>
        <w:t xml:space="preserve"> that the first Interest Payment Date for the 2031 Notes shall be March 1, 2027 and (ii) with respect to the 2036 Notes, March 1 and September 1 of each year to the Stated Maturity of the 2036 Notes; </w:t>
      </w:r>
      <w:r>
        <w:rPr>
          <w:rFonts w:ascii="Times New Roman" w:hAnsi="Times New Roman"/>
          <w:sz w:val="20"/>
          <w:u w:val="single"/>
        </w:rPr>
        <w:t>provided</w:t>
      </w:r>
      <w:r>
        <w:rPr>
          <w:rFonts w:ascii="Times New Roman" w:hAnsi="Times New Roman"/>
          <w:sz w:val="20"/>
        </w:rPr>
        <w:t xml:space="preserve"> that the first Interest Payment Date for the 2036 Notes shall be March 1, 2027. </w:t>
      </w:r>
    </w:p>
    <w:p>
      <w:pPr>
        <w:pStyle w:val="TextBody"/>
        <w:bidi w:val="0"/>
        <w:spacing w:before="240" w:after="0"/>
        <w:jc w:val="left"/>
        <w:rPr/>
      </w:pPr>
      <w:r>
        <w:rPr/>
        <w:t>“</w:t>
      </w:r>
      <w:r>
        <w:rPr>
          <w:rFonts w:ascii="Times New Roman" w:hAnsi="Times New Roman"/>
          <w:sz w:val="20"/>
          <w:u w:val="single"/>
        </w:rPr>
        <w:t>Issue Date</w:t>
      </w:r>
      <w:r>
        <w:rPr>
          <w:rFonts w:ascii="Times New Roman" w:hAnsi="Times New Roman"/>
          <w:sz w:val="20"/>
        </w:rPr>
        <w:t xml:space="preserve">” means August 20, 2026. </w:t>
      </w:r>
    </w:p>
    <w:p>
      <w:pPr>
        <w:pStyle w:val="TextBody"/>
        <w:bidi w:val="0"/>
        <w:spacing w:before="240" w:after="0"/>
        <w:jc w:val="left"/>
        <w:rPr/>
      </w:pPr>
      <w:r>
        <w:rPr/>
        <w:t>“</w:t>
      </w:r>
      <w:r>
        <w:rPr>
          <w:rFonts w:ascii="Times New Roman" w:hAnsi="Times New Roman"/>
          <w:sz w:val="20"/>
          <w:u w:val="single"/>
        </w:rPr>
        <w:t>Notes</w:t>
      </w:r>
      <w:r>
        <w:rPr>
          <w:rFonts w:ascii="Times New Roman" w:hAnsi="Times New Roman"/>
          <w:sz w:val="20"/>
        </w:rPr>
        <w:t xml:space="preserve">” means, with respect to each of the 2031 Notes and the 2036 Notes, the Initial Notes of such series and any Additional Notes of such series that may be issued under a supplemental indenture and Notes of such series to be issued or authenticated upon transfer, replacement or exchange of Notes of such series. </w:t>
      </w:r>
    </w:p>
    <w:p>
      <w:pPr>
        <w:pStyle w:val="TextBody"/>
        <w:bidi w:val="0"/>
        <w:spacing w:before="240" w:after="0"/>
        <w:jc w:val="left"/>
        <w:rPr/>
      </w:pPr>
      <w:r>
        <w:rPr/>
        <w:t>“</w:t>
      </w:r>
      <w:r>
        <w:rPr>
          <w:rFonts w:ascii="Times New Roman" w:hAnsi="Times New Roman"/>
          <w:sz w:val="20"/>
          <w:u w:val="single"/>
        </w:rPr>
        <w:t>Offer to Purchase</w:t>
      </w:r>
      <w:r>
        <w:rPr>
          <w:rFonts w:ascii="Times New Roman" w:hAnsi="Times New Roman"/>
          <w:sz w:val="20"/>
        </w:rPr>
        <w:t xml:space="preserve">” means a Change of Control Offer. </w:t>
      </w:r>
    </w:p>
    <w:p>
      <w:pPr>
        <w:pStyle w:val="TextBody"/>
        <w:bidi w:val="0"/>
        <w:spacing w:before="240" w:after="0"/>
        <w:jc w:val="left"/>
        <w:rPr/>
      </w:pPr>
      <w:r>
        <w:rPr/>
        <w:t>“</w:t>
      </w:r>
      <w:r>
        <w:rPr>
          <w:rFonts w:ascii="Times New Roman" w:hAnsi="Times New Roman"/>
          <w:sz w:val="20"/>
          <w:u w:val="single"/>
        </w:rPr>
        <w:t>Par Call Date</w:t>
      </w:r>
      <w:r>
        <w:rPr>
          <w:rFonts w:ascii="Times New Roman" w:hAnsi="Times New Roman"/>
          <w:sz w:val="20"/>
        </w:rPr>
        <w:t xml:space="preserve">” has the meaning set forth in Section 2.08 hereof. </w:t>
      </w:r>
    </w:p>
    <w:p>
      <w:pPr>
        <w:pStyle w:val="TextBody"/>
        <w:bidi w:val="0"/>
        <w:spacing w:before="240" w:after="0"/>
        <w:jc w:val="left"/>
        <w:rPr/>
      </w:pPr>
      <w:r>
        <w:rPr/>
        <w:t>“</w:t>
      </w:r>
      <w:r>
        <w:rPr>
          <w:rFonts w:ascii="Times New Roman" w:hAnsi="Times New Roman"/>
          <w:sz w:val="20"/>
          <w:u w:val="single"/>
        </w:rPr>
        <w:t>Permitted Holders</w:t>
      </w:r>
      <w:r>
        <w:rPr>
          <w:rFonts w:ascii="Times New Roman" w:hAnsi="Times New Roman"/>
          <w:sz w:val="20"/>
        </w:rPr>
        <w:t xml:space="preserve">” means Alan B. Miller, Marc D. Miller, A. Miller Family, LLC, MMA Family LLC and any trust or other entity owned by or formed for the benefit of the spouses, children, descendants and other family members of Alan B. Miller and Marc D. Miller. Any Person or group whose acquisition of beneficial ownership constitutes a Change of Control in respect of which a Change of Control Offer is made in accordance with the requirements of the Indenture (or would result in a Change of Control Offer in the absence of the waiver of such requirement by Holders in accordance with the Indenture) will thereafter constitute additional Permitted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Record Date</w:t>
      </w:r>
      <w:r>
        <w:rPr>
          <w:rFonts w:ascii="Times New Roman" w:hAnsi="Times New Roman"/>
          <w:sz w:val="20"/>
        </w:rPr>
        <w:t xml:space="preserve">” for the interest payable on any applicable Interest Payment Date means February 15 or August 15 (whether or not a Business Day) next preceding such Interest Payment Date, with respect to each series of the Notes.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collectively, (ii) the offering of the Notes and (iii) the use of proceeds from the foregoing. </w:t>
      </w:r>
    </w:p>
    <w:p>
      <w:pPr>
        <w:pStyle w:val="TextBody"/>
        <w:bidi w:val="0"/>
        <w:spacing w:before="240" w:after="0"/>
        <w:jc w:val="left"/>
        <w:rPr/>
      </w:pPr>
      <w:r>
        <w:rPr/>
        <w:t>“</w:t>
      </w:r>
      <w:r>
        <w:rPr>
          <w:rFonts w:ascii="Times New Roman" w:hAnsi="Times New Roman"/>
          <w:sz w:val="20"/>
          <w:u w:val="single"/>
        </w:rPr>
        <w:t>Voting Stock</w:t>
      </w:r>
      <w:r>
        <w:rPr>
          <w:rFonts w:ascii="Times New Roman" w:hAnsi="Times New Roman"/>
          <w:sz w:val="20"/>
        </w:rPr>
        <w:t xml:space="preserve">” of any Person as of any date means the Capital Stock of such Person that is at the time entitled to vote in the election of the board of directors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Rules of 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(1) a term defined in Section 1.01 has the meaning assigned to it therein, and a term used herein that is defined in the Trust Indenture Act, either directly or by reference therein, shall have the meaning assigned to it therein; </w:t>
      </w:r>
    </w:p>
    <w:p>
      <w:pPr>
        <w:pStyle w:val="TextBody"/>
        <w:bidi w:val="0"/>
        <w:spacing w:before="120" w:after="0"/>
        <w:jc w:val="left"/>
        <w:rPr>
          <w:rFonts w:ascii="Times New Roman" w:hAnsi="Times New Roman"/>
          <w:sz w:val="20"/>
        </w:rPr>
      </w:pPr>
      <w:r>
        <w:rPr>
          <w:rFonts w:ascii="Times New Roman" w:hAnsi="Times New Roman"/>
          <w:sz w:val="20"/>
        </w:rPr>
        <w:t xml:space="preserve">(2) a term not defined herein that is defined in the Base Indenture has the same meaning when used in this Third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(3) an accounting term not otherwise defined has the meaning assigned to it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(4) “or” is not exclusive; </w:t>
      </w:r>
    </w:p>
    <w:p>
      <w:pPr>
        <w:pStyle w:val="TextBody"/>
        <w:bidi w:val="0"/>
        <w:spacing w:before="120" w:after="0"/>
        <w:jc w:val="left"/>
        <w:rPr>
          <w:rFonts w:ascii="Times New Roman" w:hAnsi="Times New Roman"/>
          <w:sz w:val="20"/>
        </w:rPr>
      </w:pPr>
      <w:r>
        <w:rPr>
          <w:rFonts w:ascii="Times New Roman" w:hAnsi="Times New Roman"/>
          <w:sz w:val="20"/>
        </w:rPr>
        <w:t xml:space="preserve">(5) words in the singular include the plural, and words in the plural include the singular; </w:t>
      </w:r>
    </w:p>
    <w:p>
      <w:pPr>
        <w:pStyle w:val="TextBody"/>
        <w:bidi w:val="0"/>
        <w:spacing w:before="120" w:after="0"/>
        <w:jc w:val="left"/>
        <w:rPr>
          <w:rFonts w:ascii="Times New Roman" w:hAnsi="Times New Roman"/>
          <w:sz w:val="20"/>
        </w:rPr>
      </w:pPr>
      <w:r>
        <w:rPr>
          <w:rFonts w:ascii="Times New Roman" w:hAnsi="Times New Roman"/>
          <w:sz w:val="20"/>
        </w:rPr>
        <w:t xml:space="preserve">(6) provisions apply to successive events and transactions; </w:t>
      </w:r>
    </w:p>
    <w:p>
      <w:pPr>
        <w:pStyle w:val="TextBody"/>
        <w:bidi w:val="0"/>
        <w:spacing w:before="120" w:after="0"/>
        <w:jc w:val="left"/>
        <w:rPr>
          <w:rFonts w:ascii="Times New Roman" w:hAnsi="Times New Roman"/>
          <w:sz w:val="20"/>
        </w:rPr>
      </w:pPr>
      <w:r>
        <w:rPr>
          <w:rFonts w:ascii="Times New Roman" w:hAnsi="Times New Roman"/>
          <w:sz w:val="20"/>
        </w:rPr>
        <w:t xml:space="preserve">(7) unless the context otherwise requires, any reference to an “Appendix,” “Article,” “Section,” “clause,” “Schedule” or “Exhibit” refers to an Appendix, Article, Section, clause, Schedule or Exhibit, as the case may be,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(8) the words “herein,” “hereof” and other words of similar import refer to the Indenture as a whole and not any particular Article, Section, clause or other subdivision; </w:t>
      </w:r>
    </w:p>
    <w:p>
      <w:pPr>
        <w:pStyle w:val="TextBody"/>
        <w:bidi w:val="0"/>
        <w:spacing w:before="120" w:after="0"/>
        <w:jc w:val="left"/>
        <w:rPr>
          <w:rFonts w:ascii="Times New Roman" w:hAnsi="Times New Roman"/>
          <w:sz w:val="20"/>
        </w:rPr>
      </w:pPr>
      <w:r>
        <w:rPr>
          <w:rFonts w:ascii="Times New Roman" w:hAnsi="Times New Roman"/>
          <w:sz w:val="20"/>
        </w:rPr>
        <w:t xml:space="preserve">(9) “including” means including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(10) references to sections of, or rules under, the Securities Act, the Exchange Act or the Trust Indenture Act shall be deemed to include substitute, replacement or successor sections or rules adopted by the SEC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(11) unless otherwise provided, references to agreements and other instruments shall be deemed to include all amendments and other modifications to such agreements or instruments, but only to the extent such amendments and other modifications are not prohibited by the terms of the Indenture; and </w:t>
      </w:r>
    </w:p>
    <w:p>
      <w:pPr>
        <w:pStyle w:val="TextBody"/>
        <w:bidi w:val="0"/>
        <w:spacing w:before="120" w:after="0"/>
        <w:jc w:val="left"/>
        <w:rPr>
          <w:rFonts w:ascii="Times New Roman" w:hAnsi="Times New Roman"/>
          <w:sz w:val="20"/>
        </w:rPr>
      </w:pPr>
      <w:r>
        <w:rPr>
          <w:rFonts w:ascii="Times New Roman" w:hAnsi="Times New Roman"/>
          <w:sz w:val="20"/>
        </w:rPr>
        <w:t xml:space="preserve">(12) in the event that a transaction meets the criteria of more than one category of permitted transactions or listed exceptions, the Issuer may classify such transaction as it, in its sole discretion, determines.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2 </w:t>
      </w:r>
    </w:p>
    <w:p>
      <w:pPr>
        <w:pStyle w:val="TextBody"/>
        <w:bidi w:val="0"/>
        <w:spacing w:before="120" w:after="0"/>
        <w:jc w:val="center"/>
        <w:rPr>
          <w:rFonts w:ascii="Times New Roman" w:hAnsi="Times New Roman"/>
          <w:sz w:val="20"/>
        </w:rPr>
      </w:pPr>
      <w:r>
        <w:rPr>
          <w:rFonts w:ascii="Times New Roman" w:hAnsi="Times New Roman"/>
          <w:sz w:val="20"/>
        </w:rPr>
        <w:t xml:space="preserve">TERMS OF THE NOTES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2.01(b) of the Base Indenture, the Notes are hereby established with the following terms and other provisions: </w:t>
      </w:r>
    </w:p>
    <w:p>
      <w:pPr>
        <w:pStyle w:val="TextBody"/>
        <w:bidi w:val="0"/>
        <w:spacing w:before="12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Title and Ranking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2031 Notes shall constitute a series of securities having the title “5.500% Senior Secured Notes due 2031,” and the 2036 Notes shall constitute a series of securities having the title “6.000% Senior Secured Notes due 2036”. </w:t>
      </w:r>
    </w:p>
    <w:p>
      <w:pPr>
        <w:pStyle w:val="TextBody"/>
        <w:bidi w:val="0"/>
        <w:spacing w:before="240" w:after="0"/>
        <w:jc w:val="left"/>
        <w:rPr>
          <w:rFonts w:ascii="Times New Roman" w:hAnsi="Times New Roman"/>
          <w:sz w:val="20"/>
        </w:rPr>
      </w:pPr>
      <w:r>
        <w:rPr>
          <w:rFonts w:ascii="Times New Roman" w:hAnsi="Times New Roman"/>
          <w:sz w:val="20"/>
        </w:rPr>
        <w:t xml:space="preserve">(b) Each of the 2031 Notes and the 2036 Notes shall constitute senior debt obligations of the Issuer and shall rank equally in right of payment with all other existing and future senior debt obligations of the Issuer.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Issue Prices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2031 Notes will initially be issued at 99.937% of the principal amount, and the 2036 Notes will initially be issued at 99.359% of the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Principal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shall authenticate and make available for delivery upon a written order of the Issuer signed by one Officer of the Issuer (a) Initial Notes for original issue on the date hereof in an aggregate principal amount of $600,000,000 with respect to the Initial 2031 Notes and an aggregate principal amount of $500,000,000 with respect to the Initial 2036 Notes, (b) subject to the terms of the Indenture, Additional Notes of each series and (c) any other Global Notes issued in exchange for any of the foregoing in accordance with the Indenture. Such order shall specify the amount of the Notes of the applicable series to be authenticated, the date on which the original issue of Notes is to be authenticated and whether the Notes are to be Initial Notes, Additional Notes or other Global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Payment of the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entire outstanding principal amounts of the 2031 Notes and the 2036 Notes shall be payable on September 1, 2031 and September 1, 2036, respectively, plus, in each case, any unpaid interest accrued to such date. Any payments under the Indenture shall be received by the Paying Agent no later than 11:00 a.m. (New York City time) on the applicable payment date in accordance with Section 2.04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rates at which the 2031 Notes and the 2036 Notes shall bear interest shall be 5.500% per annum and 6.000% per annum, respectively; the date from which interest shall accrue on the 2031 Notes shall be August 20, 2026 or from the most recent Interest Payment Date to which interest has been paid; and the basis upon which interest on the Notes shall be calculated shall be that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Guarantees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contained in Article 10 of the Base Indenture shall apply to each series of the Notes, and each Guarantor hereby guarantees each of the 2031 Notes and the 2036 Notes in accordance with such Article 10. As of the date hereof, each Guarantor that has executed this Third Supplemental Indenture will be a Secured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Place of Payment and Surrender for Registration of Transfer or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Payment of the principal of (and premium, if any) and interest on each series of the Notes shall be made, the transfer of each series of the Notes will be registrable, and each series of the Notes will be exchangeable at the office or agency of the Issuer maintained for such purpose, initially the Corporate Trust Office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(b) The Issuer initially appoints DTC to act as Depositary with respect to the Global Notes. The Issuer initially appoints the Trustee at its Corporate Trust Office to act as Paying Agent and Registrar for the Notes and to act as Custodian with respect to the Global Notes. The Issuer initially appoints J.P. Morgan Chase Bank, N.A. to act as Collateral Agent in accordance with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 xml:space="preserve">Optional Redemption </w:t>
      </w:r>
    </w:p>
    <w:p>
      <w:pPr>
        <w:pStyle w:val="TextBody"/>
        <w:bidi w:val="0"/>
        <w:spacing w:before="240" w:after="0"/>
        <w:jc w:val="left"/>
        <w:rPr>
          <w:rFonts w:ascii="Times New Roman" w:hAnsi="Times New Roman"/>
          <w:sz w:val="20"/>
        </w:rPr>
      </w:pPr>
      <w:r>
        <w:rPr>
          <w:rFonts w:ascii="Times New Roman" w:hAnsi="Times New Roman"/>
          <w:sz w:val="20"/>
        </w:rPr>
        <w:t xml:space="preserve">The Notes shall be redeemable at the option of the Issuer in accordance with Article 3 of the Base Indenture and as set forth in this Section 2.08. </w:t>
      </w:r>
    </w:p>
    <w:p>
      <w:pPr>
        <w:pStyle w:val="TextBody"/>
        <w:bidi w:val="0"/>
        <w:spacing w:before="240" w:after="0"/>
        <w:jc w:val="left"/>
        <w:rPr>
          <w:rFonts w:ascii="Times New Roman" w:hAnsi="Times New Roman"/>
          <w:sz w:val="20"/>
        </w:rPr>
      </w:pPr>
      <w:r>
        <w:rPr>
          <w:rFonts w:ascii="Times New Roman" w:hAnsi="Times New Roman"/>
          <w:sz w:val="20"/>
        </w:rPr>
        <w:t>The redemption price (the “</w:t>
      </w:r>
      <w:r>
        <w:rPr>
          <w:rFonts w:ascii="Times New Roman" w:hAnsi="Times New Roman"/>
          <w:sz w:val="20"/>
          <w:u w:val="single"/>
        </w:rPr>
        <w:t>Redemption Price</w:t>
      </w:r>
      <w:r>
        <w:rPr>
          <w:rFonts w:ascii="Times New Roman" w:hAnsi="Times New Roman"/>
          <w:sz w:val="20"/>
        </w:rPr>
        <w:t xml:space="preserve">”) of the Notes to be redeemed shall be calculated as follows: </w:t>
      </w:r>
    </w:p>
    <w:p>
      <w:pPr>
        <w:pStyle w:val="TextBody"/>
        <w:bidi w:val="0"/>
        <w:spacing w:before="120" w:after="0"/>
        <w:jc w:val="left"/>
        <w:rPr>
          <w:rFonts w:ascii="Times New Roman" w:hAnsi="Times New Roman"/>
          <w:sz w:val="20"/>
        </w:rPr>
      </w:pPr>
      <w:r>
        <w:rPr>
          <w:rFonts w:ascii="Times New Roman" w:hAnsi="Times New Roman"/>
          <w:sz w:val="20"/>
        </w:rPr>
        <w:t>(a) Prior to August 1, 2031 (one month prior to the Stated Maturity of the 2031 Notes) in the case of the 2031 Notes or June 1, 2036 (three months prior to the Stated Maturity of the 2036 Notes) in the case of the 2036 Notes (each such date, a “</w:t>
      </w:r>
      <w:r>
        <w:rPr>
          <w:rFonts w:ascii="Times New Roman" w:hAnsi="Times New Roman"/>
          <w:sz w:val="20"/>
          <w:u w:val="single"/>
        </w:rPr>
        <w:t>Par Call Date</w:t>
      </w:r>
      <w:r>
        <w:rPr>
          <w:rFonts w:ascii="Times New Roman" w:hAnsi="Times New Roman"/>
          <w:sz w:val="20"/>
        </w:rPr>
        <w:t xml:space="preserve">”), the Issuer may redeem such Notes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such Notes matured on the applicable Par Call Date) on a semiannual basis (assuming a 360-day year consisting of twelve 30-day months) at the Treasury Rate plus 20 basis points, in the case of the 2031 Notes, or 25 basis points, in the case of the 2036 Notes, less (b) interest accrued to, but excluding, the redemption date, and </w:t>
      </w:r>
    </w:p>
    <w:p>
      <w:pPr>
        <w:pStyle w:val="TextBody"/>
        <w:bidi w:val="0"/>
        <w:spacing w:before="120" w:after="0"/>
        <w:jc w:val="left"/>
        <w:rPr>
          <w:rFonts w:ascii="Times New Roman" w:hAnsi="Times New Roman"/>
          <w:sz w:val="20"/>
        </w:rPr>
      </w:pPr>
      <w:r>
        <w:rPr>
          <w:rFonts w:ascii="Times New Roman" w:hAnsi="Times New Roman"/>
          <w:sz w:val="20"/>
        </w:rPr>
        <w:t xml:space="preserve">(2) 100% of the principal amount of the Notes to be redeemed, </w:t>
      </w:r>
    </w:p>
    <w:p>
      <w:pPr>
        <w:pStyle w:val="TextBody"/>
        <w:bidi w:val="0"/>
        <w:spacing w:before="120" w:after="0"/>
        <w:jc w:val="left"/>
        <w:rPr>
          <w:rFonts w:ascii="Times New Roman" w:hAnsi="Times New Roman"/>
          <w:sz w:val="20"/>
        </w:rPr>
      </w:pPr>
      <w:r>
        <w:rPr>
          <w:rFonts w:ascii="Times New Roman" w:hAnsi="Times New Roman"/>
          <w:i/>
          <w:sz w:val="20"/>
        </w:rPr>
        <w:t>plus</w:t>
      </w:r>
      <w:r>
        <w:rPr>
          <w:rFonts w:ascii="Times New Roman" w:hAnsi="Times New Roman"/>
          <w:sz w:val="20"/>
        </w:rPr>
        <w:t xml:space="preserve">, in either case, accrued and unpaid interest on the principal amount being redeemed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(b) On or after the applicable Par Call Date, the Issuer may redeem the applicable series of Notes at its option, in whole or in part, at any time and from time to time, at a Redemption Price equal to 100% of the principal amount of such Notes being redeemed plus accrued and unpaid interest on the principal amount being redeemed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(c) Except pursuant to clause (a) of this Section 2.08, the Notes are not redeemable at the Issuer’s option prior to the applicable Par Call Date. </w:t>
      </w:r>
    </w:p>
    <w:p>
      <w:pPr>
        <w:pStyle w:val="TextBody"/>
        <w:bidi w:val="0"/>
        <w:spacing w:before="240" w:after="0"/>
        <w:jc w:val="left"/>
        <w:rPr>
          <w:rFonts w:ascii="Times New Roman" w:hAnsi="Times New Roman"/>
          <w:sz w:val="20"/>
        </w:rPr>
      </w:pPr>
      <w:r>
        <w:rPr>
          <w:rFonts w:ascii="Times New Roman" w:hAnsi="Times New Roman"/>
          <w:sz w:val="20"/>
        </w:rPr>
        <w:t xml:space="preserve">(d) Any redemption pursuant to this Section 2.08 shall be made pursuant to the provisions of Sections 3.01 through 3.06 of the Base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 redemption or notice in connection with this Section 2.08 may, at the Issuer’s discretion, be subject to one or more conditions precedent, including, but not limited to, completion of a financing transaction or other corporate transaction. </w:t>
      </w:r>
    </w:p>
    <w:p>
      <w:pPr>
        <w:pStyle w:val="TextBody"/>
        <w:bidi w:val="0"/>
        <w:spacing w:before="240" w:after="0"/>
        <w:jc w:val="left"/>
        <w:rPr>
          <w:rFonts w:ascii="Times New Roman" w:hAnsi="Times New Roman"/>
          <w:sz w:val="20"/>
        </w:rPr>
      </w:pPr>
      <w:r>
        <w:rPr>
          <w:rFonts w:ascii="Times New Roman" w:hAnsi="Times New Roman"/>
          <w:sz w:val="20"/>
        </w:rPr>
        <w:t xml:space="preserve">(f) The Issuer or its Affiliates may acquire Notes by means other than a redemption, whether by tender offer, exchange offer, open market purchases, negotiated transactions or otherwise, in accordance with applicable securities laws, so long as such acquisition does not otherwise violate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(g) As used herein: </w:t>
      </w:r>
    </w:p>
    <w:p>
      <w:pPr>
        <w:pStyle w:val="TextBody"/>
        <w:bidi w:val="0"/>
        <w:spacing w:before="120" w:after="0"/>
        <w:jc w:val="left"/>
        <w:rPr/>
      </w:pPr>
      <w:r>
        <w:rPr/>
        <w:t>“</w:t>
      </w:r>
      <w:r>
        <w:rPr>
          <w:rFonts w:ascii="Times New Roman" w:hAnsi="Times New Roman"/>
          <w:sz w:val="20"/>
          <w:u w:val="single"/>
        </w:rPr>
        <w:t>Treasury Rate</w:t>
      </w:r>
      <w:r>
        <w:rPr>
          <w:rFonts w:ascii="Times New Roman" w:hAnsi="Times New Roman"/>
          <w:sz w:val="20"/>
        </w:rPr>
        <w:t xml:space="preserve">” means, with respect to any redemption date, the yield determined by the Issuer in accordance with the following two paragraphs. </w:t>
      </w:r>
    </w:p>
    <w:p>
      <w:pPr>
        <w:pStyle w:val="TextBody"/>
        <w:bidi w:val="0"/>
        <w:spacing w:before="120" w:after="0"/>
        <w:jc w:val="left"/>
        <w:rPr>
          <w:rFonts w:ascii="Times New Roman" w:hAnsi="Times New Roman"/>
          <w:sz w:val="20"/>
        </w:rPr>
      </w:pPr>
      <w:r>
        <w:rPr>
          <w:rFonts w:ascii="Times New Roman" w:hAnsi="Times New Roman"/>
          <w:sz w:val="20"/>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sz w:val="20"/>
          <w:u w:val="single"/>
        </w:rPr>
        <w:t>H.15</w:t>
      </w:r>
      <w:r>
        <w:rPr>
          <w:rFonts w:ascii="Times New Roman" w:hAnsi="Times New Roman"/>
          <w:sz w:val="20"/>
        </w:rPr>
        <w:t>”) under the caption “U.S. government securities—Treasury constant maturities—Nominal” (or any successor caption or heading) (“</w:t>
      </w:r>
      <w:r>
        <w:rPr>
          <w:rFonts w:ascii="Times New Roman" w:hAnsi="Times New Roman"/>
          <w:sz w:val="20"/>
          <w:u w:val="single"/>
        </w:rPr>
        <w:t>H.15 TCM</w:t>
      </w:r>
      <w:r>
        <w:rPr>
          <w:rFonts w:ascii="Times New Roman" w:hAnsi="Times New Roman"/>
          <w:sz w:val="20"/>
        </w:rPr>
        <w:t>”). In determining the Treasury Rate, the Issuer shall select, as applicable: (1) the yield for the Treasury constant maturity on H.15 exactly equal to the period from the redemption date to the applicable Par Call Date (the “</w:t>
      </w:r>
      <w:r>
        <w:rPr>
          <w:rFonts w:ascii="Times New Roman" w:hAnsi="Times New Roman"/>
          <w:sz w:val="20"/>
          <w:u w:val="single"/>
        </w:rPr>
        <w:t>Remaining Life</w:t>
      </w:r>
      <w:r>
        <w:rPr>
          <w:rFonts w:ascii="Times New Roman" w:hAnsi="Times New Roman"/>
          <w:sz w:val="20"/>
        </w:rPr>
        <w:t xml:space="preserve">”);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If on the third business day preceding the redemption date H.15 TCM or any successor designation or publication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Issuer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shall have no obligation to calculate or verify the calculation of the Redemption Price. The Issuer’s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No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 will not be required to make mandatory redemption or sinking fund payments with respect to either series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 xml:space="preserve">Currencies </w:t>
      </w:r>
    </w:p>
    <w:p>
      <w:pPr>
        <w:pStyle w:val="TextBody"/>
        <w:bidi w:val="0"/>
        <w:spacing w:before="240" w:after="0"/>
        <w:jc w:val="left"/>
        <w:rPr>
          <w:rFonts w:ascii="Times New Roman" w:hAnsi="Times New Roman"/>
          <w:sz w:val="20"/>
        </w:rPr>
      </w:pPr>
      <w:r>
        <w:rPr>
          <w:rFonts w:ascii="Times New Roman" w:hAnsi="Times New Roman"/>
          <w:sz w:val="20"/>
        </w:rPr>
        <w:t xml:space="preserve">(a) Payment of the principal of (and premium, if any) and interest on each series of the Notes shall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 xml:space="preserve">Collateral and Security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contained in Article 11 of the Base Indenture shall apply to each series of the Notes. Each Holder, by accepting the Notes and Guarantees of the applicable series, consents and agrees to each of the provisions of Article 11.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Defaults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contained in Article 6 of the Base Indenture shall apply to each series of the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2.13 </w:t>
      </w:r>
      <w:r>
        <w:rPr>
          <w:rFonts w:ascii="Times New Roman" w:hAnsi="Times New Roman"/>
          <w:sz w:val="20"/>
          <w:u w:val="single"/>
        </w:rPr>
        <w:t>Offer to Repurchase Upon Change of Control Following a Reversion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Article 4 of the Base Indenture is hereby supplemented by the following additional covenant: </w:t>
      </w:r>
    </w:p>
    <w:p>
      <w:pPr>
        <w:pStyle w:val="TextBody"/>
        <w:bidi w:val="0"/>
        <w:spacing w:before="120" w:after="0"/>
        <w:jc w:val="left"/>
        <w:rPr>
          <w:rFonts w:ascii="Times New Roman" w:hAnsi="Times New Roman"/>
          <w:sz w:val="20"/>
        </w:rPr>
      </w:pPr>
      <w:r>
        <w:rPr>
          <w:rFonts w:ascii="Times New Roman" w:hAnsi="Times New Roman"/>
          <w:sz w:val="20"/>
        </w:rPr>
        <w:t xml:space="preserve">(a) If on any date following the Issue Date, one or both of the Rating Agencies (i) withdraw their Investment Grade Rating or downgrade the rating assigned to the Notes of a series below an Investment Grade Rating and, thereafter, the Issuer or any of its Affiliates enters into an agreement to effect a transaction that would result in a Change of Control or (ii) the Issuer or any of its Affiliates enters into an agreement to effect a transaction that would result in a Change of Control and one or both of the Rating Agencies indicate that if consummated, such transaction (alone or together with any related recapitalization or refinancing transactions) would cause such Rating Agency to withdraw its Investment Grade Rating or downgrade the ratings assigned to the Notes of such series below an Investment Grade Rating, then the Issuer and the Subsidiaries will thereafter be subject to Section 2.13(b) through (j) with respect to future events, including, without limitation, a proposed transaction described in clause (ii)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Subject to Section 2.13(a), if a Change of Control occurs, unless the Issuer has previously or concurrently delivered a redemption notice with respect to all the outstanding Notes of the applicable series pursuant to Section 2.08, the Issuer will make an offer to purchase all of the Notes of such series pursuant to the offer described below (the “</w:t>
      </w:r>
      <w:r>
        <w:rPr>
          <w:rFonts w:ascii="Times New Roman" w:hAnsi="Times New Roman"/>
          <w:sz w:val="20"/>
          <w:u w:val="single"/>
        </w:rPr>
        <w:t>Change of Control Offer</w:t>
      </w:r>
      <w:r>
        <w:rPr>
          <w:rFonts w:ascii="Times New Roman" w:hAnsi="Times New Roman"/>
          <w:sz w:val="20"/>
        </w:rPr>
        <w:t>”) at a price in cash (the “</w:t>
      </w:r>
      <w:r>
        <w:rPr>
          <w:rFonts w:ascii="Times New Roman" w:hAnsi="Times New Roman"/>
          <w:sz w:val="20"/>
          <w:u w:val="single"/>
        </w:rPr>
        <w:t>Change of Control Payment</w:t>
      </w:r>
      <w:r>
        <w:rPr>
          <w:rFonts w:ascii="Times New Roman" w:hAnsi="Times New Roman"/>
          <w:sz w:val="20"/>
        </w:rPr>
        <w:t xml:space="preserve">”) equal to 101% of the aggregate principal amount of the Notes of such series plus accrued and unpaid interest, if any, to the date of purchase, subject to the right of Holders on the relevant Record Date to receive interest due on the relevant Interest Payment Date. Within 30 days following any Change of Control, the Issuer will deliver notice of such Change of Control Offer (in accordance with the applicable rules and procedures of DTC), with a copy to the Trustee and the Registrar, to each Holder of Notes to the address of such Holder appearing in the Note Register with a copy to the Trustee and the Registrar, or otherwise deliver such notice in accordance with the procedures of DTC, with the following information: </w:t>
      </w:r>
    </w:p>
    <w:p>
      <w:pPr>
        <w:pStyle w:val="TextBody"/>
        <w:bidi w:val="0"/>
        <w:spacing w:before="120" w:after="0"/>
        <w:jc w:val="left"/>
        <w:rPr>
          <w:rFonts w:ascii="Times New Roman" w:hAnsi="Times New Roman"/>
          <w:sz w:val="20"/>
        </w:rPr>
      </w:pPr>
      <w:r>
        <w:rPr>
          <w:rFonts w:ascii="Times New Roman" w:hAnsi="Times New Roman"/>
          <w:sz w:val="20"/>
        </w:rPr>
        <w:t xml:space="preserve">(1) that a Change of Control Offer is being made pursuant to this Section 2.13 and that all Notes properly tendered pursuant to such Change of Control Offer will be accepted for payment by the Issuer; </w:t>
      </w:r>
    </w:p>
    <w:p>
      <w:pPr>
        <w:pStyle w:val="TextBody"/>
        <w:bidi w:val="0"/>
        <w:spacing w:before="120" w:after="0"/>
        <w:jc w:val="left"/>
        <w:rPr>
          <w:rFonts w:ascii="Times New Roman" w:hAnsi="Times New Roman"/>
          <w:sz w:val="20"/>
        </w:rPr>
      </w:pPr>
      <w:r>
        <w:rPr>
          <w:rFonts w:ascii="Times New Roman" w:hAnsi="Times New Roman"/>
          <w:sz w:val="20"/>
        </w:rPr>
        <w:t>(2) the purchase price and the purchase date, which will be no earlier than 30 days nor later than 60 days from the date such notice is delivered (in accordance with the applicable rules and procedures of DTC) (the “</w:t>
      </w:r>
      <w:r>
        <w:rPr>
          <w:rFonts w:ascii="Times New Roman" w:hAnsi="Times New Roman"/>
          <w:sz w:val="20"/>
          <w:u w:val="single"/>
        </w:rPr>
        <w:t>Change of Control Payment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 that any Note not properly tendered will remain outstanding and continue to accrue interest; </w:t>
      </w:r>
    </w:p>
    <w:p>
      <w:pPr>
        <w:pStyle w:val="TextBody"/>
        <w:bidi w:val="0"/>
        <w:spacing w:before="120" w:after="0"/>
        <w:jc w:val="left"/>
        <w:rPr>
          <w:rFonts w:ascii="Times New Roman" w:hAnsi="Times New Roman"/>
          <w:sz w:val="20"/>
        </w:rPr>
      </w:pPr>
      <w:r>
        <w:rPr>
          <w:rFonts w:ascii="Times New Roman" w:hAnsi="Times New Roman"/>
          <w:sz w:val="20"/>
        </w:rPr>
        <w:t xml:space="preserve">(4) that unless the Issuer defaults in the payment of the Change of Control Payment, all Notes accepted for payment pursuant to the Change of Control Offer will cease to accrue interest on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(5) that Holders electing to have any Notes purchased pursuant to a Change of Control Offer will be required to surrender such Notes, with the form entitled “Option of Holder to Elect Purchase” on the reverse of such Notes completed, to the Paying Agent specified in the notice at the address specified in the notice (or otherwise in accordance with the applicable rules and procedures of DTC) prior to the close of business on the third Business Day preceding the Change of Control Payment Date; </w:t>
      </w:r>
    </w:p>
    <w:p>
      <w:pPr>
        <w:pStyle w:val="TextBody"/>
        <w:bidi w:val="0"/>
        <w:spacing w:before="120" w:after="0"/>
        <w:jc w:val="left"/>
        <w:rPr>
          <w:rFonts w:ascii="Times New Roman" w:hAnsi="Times New Roman"/>
          <w:sz w:val="20"/>
        </w:rPr>
      </w:pPr>
      <w:r>
        <w:rPr>
          <w:rFonts w:ascii="Times New Roman" w:hAnsi="Times New Roman"/>
          <w:sz w:val="20"/>
        </w:rPr>
        <w:t xml:space="preserve">(6) that Holders will be entitled to withdraw their tendered Notes and their election to require the Issuer to purchase such Notes; </w:t>
      </w:r>
      <w:r>
        <w:rPr>
          <w:rFonts w:ascii="Times New Roman" w:hAnsi="Times New Roman"/>
          <w:sz w:val="20"/>
          <w:u w:val="single"/>
        </w:rPr>
        <w:t>provided</w:t>
      </w:r>
      <w:r>
        <w:rPr>
          <w:rFonts w:ascii="Times New Roman" w:hAnsi="Times New Roman"/>
          <w:sz w:val="20"/>
        </w:rPr>
        <w:t xml:space="preserve"> that the Paying Agent receives, not later than the close of business on the 30th day following the date of the Change of Control notice, a facsimile transmission or letter (or otherwise in accordance with the applicable rules and procedures of DTC) setting forth the name of the Holder of the Notes, the principal amount of Notes tendered for purchase, and a statement that such Holder is withdrawing its tendered Notes and its election to have such Notes purchased; </w:t>
      </w:r>
    </w:p>
    <w:p>
      <w:pPr>
        <w:pStyle w:val="TextBody"/>
        <w:bidi w:val="0"/>
        <w:spacing w:before="120" w:after="0"/>
        <w:jc w:val="left"/>
        <w:rPr>
          <w:rFonts w:ascii="Times New Roman" w:hAnsi="Times New Roman"/>
          <w:sz w:val="20"/>
        </w:rPr>
      </w:pPr>
      <w:r>
        <w:rPr>
          <w:rFonts w:ascii="Times New Roman" w:hAnsi="Times New Roman"/>
          <w:sz w:val="20"/>
        </w:rPr>
        <w:t xml:space="preserve">(7) that Holders tendering less than all of their Notes of any series will be issued new Notes of such series and such new Notes will be equal in principal amount to the unpurchased portion of the Notes of such series surrendered. The unpurchased portion of the Notes of such series must be equal to $2,000 or an integral multiple of $1,000 in excess thereof; and </w:t>
      </w:r>
    </w:p>
    <w:p>
      <w:pPr>
        <w:pStyle w:val="TextBody"/>
        <w:bidi w:val="0"/>
        <w:spacing w:before="120" w:after="0"/>
        <w:jc w:val="left"/>
        <w:rPr>
          <w:rFonts w:ascii="Times New Roman" w:hAnsi="Times New Roman"/>
          <w:sz w:val="20"/>
        </w:rPr>
      </w:pPr>
      <w:r>
        <w:rPr>
          <w:rFonts w:ascii="Times New Roman" w:hAnsi="Times New Roman"/>
          <w:sz w:val="20"/>
        </w:rPr>
        <w:t xml:space="preserve">(8) the other instructions, as determined by the Issuer, consistent with this Section 2.13, that a Holder must follow. </w:t>
      </w:r>
    </w:p>
    <w:p>
      <w:pPr>
        <w:pStyle w:val="TextBody"/>
        <w:bidi w:val="0"/>
        <w:spacing w:before="240" w:after="0"/>
        <w:jc w:val="left"/>
        <w:rPr>
          <w:rFonts w:ascii="Times New Roman" w:hAnsi="Times New Roman"/>
          <w:sz w:val="20"/>
        </w:rPr>
      </w:pPr>
      <w:r>
        <w:rPr>
          <w:rFonts w:ascii="Times New Roman" w:hAnsi="Times New Roman"/>
          <w:sz w:val="20"/>
        </w:rPr>
        <w:t xml:space="preserve">The notice, if delivered in accordance with the applicable rules and procedures of DTC, shall be conclusively presumed to have been given, whether or not the Holder receives such notice. If (A) the notice is delivered in a manner herein provided and (B) any Holder fails to receive such notice or a Holder receives such notice but it is defective, such Holder’s failure to receive such notice or such defect shall not affect the validity of the proceedings for the purchase of the Notes as to all other Holders that properly received such notice without defect.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On the Change of Control Payment Date, the Issuer will, to the extent permitted by law: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Notes issued by it or portions thereof properly tendered pursuant to the Change of Control Offer; </w:t>
      </w:r>
    </w:p>
    <w:p>
      <w:pPr>
        <w:pStyle w:val="TextBody"/>
        <w:bidi w:val="0"/>
        <w:spacing w:before="120" w:after="0"/>
        <w:jc w:val="left"/>
        <w:rPr>
          <w:rFonts w:ascii="Times New Roman" w:hAnsi="Times New Roman"/>
          <w:sz w:val="20"/>
        </w:rPr>
      </w:pPr>
      <w:r>
        <w:rPr>
          <w:rFonts w:ascii="Times New Roman" w:hAnsi="Times New Roman"/>
          <w:sz w:val="20"/>
        </w:rPr>
        <w:t xml:space="preserve">(2) deposit with the Paying Agent an amount equal to the aggregate Change of Control Payment in respect of all Notes or portions thereof so tendered; and </w:t>
      </w:r>
    </w:p>
    <w:p>
      <w:pPr>
        <w:pStyle w:val="TextBody"/>
        <w:bidi w:val="0"/>
        <w:spacing w:before="120" w:after="0"/>
        <w:jc w:val="left"/>
        <w:rPr>
          <w:rFonts w:ascii="Times New Roman" w:hAnsi="Times New Roman"/>
          <w:sz w:val="20"/>
        </w:rPr>
      </w:pPr>
      <w:r>
        <w:rPr>
          <w:rFonts w:ascii="Times New Roman" w:hAnsi="Times New Roman"/>
          <w:sz w:val="20"/>
        </w:rPr>
        <w:t xml:space="preserve">(3) deliver, or cause to be delivered, to the Trustee for cancellation the Notes so accepted together with an Officers’ Certificate to the Trustee stating the aggregate principal amount of such Notes or portions thereof that have been tendered to and purchased by the Issuer and an Opinion of Counsel, in each case, stating that all conditions precedent to the consummation of the Change of Control Offer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(d) The Paying Agent will promptly deliver to each Holder of Notes of each applicable series so tendered the Change of Control Payment for such Notes, and the Trustee will promptly authenticate in accordance with Section 2.02 of the Base Indenture and deliver (or cause to be transferred by book entry) to each Holder a new Note of such series equal in principal amount to any unpurchased portion of the Notes of such series surrendered, if any; </w:t>
      </w:r>
      <w:r>
        <w:rPr>
          <w:rFonts w:ascii="Times New Roman" w:hAnsi="Times New Roman"/>
          <w:sz w:val="20"/>
          <w:u w:val="single"/>
        </w:rPr>
        <w:t>provided</w:t>
      </w:r>
      <w:r>
        <w:rPr>
          <w:rFonts w:ascii="Times New Roman" w:hAnsi="Times New Roman"/>
          <w:sz w:val="20"/>
        </w:rPr>
        <w:t xml:space="preserve"> that each such new Note will be in a principal amount of $2,000 or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(e) If the Change of Control Payment Date is on or after an interest Record Date and on or before the related Interest Payment Date, any accrued and unpaid interest to the Change of Control Payment Date will be paid on the relevant Interest Payment Date to the Person in whose name a Note is registered at the close of business on such Record Date. </w:t>
      </w:r>
    </w:p>
    <w:p>
      <w:pPr>
        <w:pStyle w:val="TextBody"/>
        <w:bidi w:val="0"/>
        <w:spacing w:before="240" w:after="0"/>
        <w:jc w:val="left"/>
        <w:rPr>
          <w:rFonts w:ascii="Times New Roman" w:hAnsi="Times New Roman"/>
          <w:sz w:val="20"/>
        </w:rPr>
      </w:pPr>
      <w:r>
        <w:rPr>
          <w:rFonts w:ascii="Times New Roman" w:hAnsi="Times New Roman"/>
          <w:sz w:val="20"/>
        </w:rPr>
        <w:t xml:space="preserve">(f) Prior to making a Change of Control Payment, and as a condition to such payment (1) the requisite holders of each issue of Indebtedness issued under an indenture or other agreement that may be violated by such payment shall have consented to such Change of Control Payment being made and waived the event of default, if any, caused by the Change of Control or (2) the Issuer will repay all outstanding Indebtedness issued under an indenture or other agreement that may be violated by a Change of Control Payment or the Issuer will offer to repay all such Indebtedness, make payment to the holders of such Indebtedness that accept such offer and obtain waivers of any event of default arising under the relevant indenture or other agreement from the remaining holders of such Indebtedness. The Issuer covenants to effect such repayment or obtain such consent prior to making a Change of Control Payment, it being a default of this Section 2.13 if the Issuer fails to comply with such covenant. </w:t>
      </w:r>
    </w:p>
    <w:p>
      <w:pPr>
        <w:pStyle w:val="TextBody"/>
        <w:bidi w:val="0"/>
        <w:spacing w:before="240" w:after="0"/>
        <w:jc w:val="left"/>
        <w:rPr>
          <w:rFonts w:ascii="Times New Roman" w:hAnsi="Times New Roman"/>
          <w:sz w:val="20"/>
        </w:rPr>
      </w:pPr>
      <w:r>
        <w:rPr>
          <w:rFonts w:ascii="Times New Roman" w:hAnsi="Times New Roman"/>
          <w:sz w:val="20"/>
        </w:rPr>
        <w:t xml:space="preserve">(g) The Issuer will not be required to make a Change of Control Offer following a Change of Control if a third party makes the Change of Control Offer in the manner, at the times and otherwise in compliance with the requirements set forth in this Section 2.13 applicable to a Change of Control Offer made by the Issuer and purchases all Notes validly tendered and not withdrawn under such Change of Control Offer. </w:t>
      </w:r>
    </w:p>
    <w:p>
      <w:pPr>
        <w:pStyle w:val="TextBody"/>
        <w:bidi w:val="0"/>
        <w:spacing w:before="240" w:after="0"/>
        <w:jc w:val="left"/>
        <w:rPr>
          <w:rFonts w:ascii="Times New Roman" w:hAnsi="Times New Roman"/>
          <w:sz w:val="20"/>
        </w:rPr>
      </w:pPr>
      <w:r>
        <w:rPr>
          <w:rFonts w:ascii="Times New Roman" w:hAnsi="Times New Roman"/>
          <w:sz w:val="20"/>
        </w:rPr>
        <w:t xml:space="preserve">(h) Notwithstanding anything to the contrary in the Indenture, a Change of Control Offer may be made in advance of a Change of Control, conditional upon such Change of Control, if a definitive agreement is in place for the Change of Control at the time of making of the Change of Control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Issuer will comply with the requirements of Rule 14e-1 under the Exchange Act and any other securities laws or regulations thereunder to the extent such laws or regulations are applicable in connection with the repurchase of Notes pursuant to a Change of Control Offer. To the extent that the provisions of any securities laws or regulations conflict with the provisions of the Indenture, the Issuer will comply with the applicable securities laws and regulations and shall not be deemed to have breached its obligations under the Indenture by virtue of the conflict. </w:t>
      </w:r>
    </w:p>
    <w:p>
      <w:pPr>
        <w:pStyle w:val="TextBody"/>
        <w:bidi w:val="0"/>
        <w:spacing w:before="240" w:after="0"/>
        <w:jc w:val="left"/>
        <w:rPr>
          <w:rFonts w:ascii="Times New Roman" w:hAnsi="Times New Roman"/>
          <w:sz w:val="20"/>
        </w:rPr>
      </w:pPr>
      <w:r>
        <w:rPr>
          <w:rFonts w:ascii="Times New Roman" w:hAnsi="Times New Roman"/>
          <w:sz w:val="20"/>
        </w:rPr>
        <w:t xml:space="preserve">(j) Other than as specifically provided in this Section 2.13, any purchase pursuant to this Section 2.13 shall be made pursuant to the provisions of Section 3.05 and 3.06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2.14 </w:t>
      </w:r>
      <w:r>
        <w:rPr>
          <w:rFonts w:ascii="Times New Roman" w:hAnsi="Times New Roman"/>
          <w:sz w:val="20"/>
          <w:u w:val="single"/>
        </w:rPr>
        <w:t>Other Amendments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definitions of the following defined terms contained in Section 1.01 of the Base Indenture are hereby replaced in their entirety by the following definitions, solely with respect to each series of the Notes: </w:t>
      </w:r>
    </w:p>
    <w:p>
      <w:pPr>
        <w:pStyle w:val="TextBody"/>
        <w:bidi w:val="0"/>
        <w:spacing w:before="120" w:after="0"/>
        <w:jc w:val="left"/>
        <w:rPr/>
      </w:pPr>
      <w:r>
        <w:rPr/>
        <w:t>“</w:t>
      </w:r>
      <w:r>
        <w:rPr>
          <w:rFonts w:ascii="Times New Roman" w:hAnsi="Times New Roman"/>
          <w:sz w:val="20"/>
          <w:u w:val="single"/>
        </w:rPr>
        <w:t>Common Stock</w:t>
      </w:r>
      <w:r>
        <w:rPr>
          <w:rFonts w:ascii="Times New Roman" w:hAnsi="Times New Roman"/>
          <w:sz w:val="20"/>
        </w:rPr>
        <w:t xml:space="preserve">” means with respect to any Person, any and all shares, interest or other participations in, and other equivalents (however designated and whether voting or nonvoting) of such Person’s common stock whether or not outstanding on the Issue Date and includes, without limitation, all series and classes of such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The following defined terms are added to Section 1.01 of the Base Indenture, solely with respect to each series of Notes: </w:t>
      </w:r>
    </w:p>
    <w:p>
      <w:pPr>
        <w:pStyle w:val="TextBody"/>
        <w:bidi w:val="0"/>
        <w:spacing w:before="120" w:after="0"/>
        <w:jc w:val="left"/>
        <w:rPr/>
      </w:pPr>
      <w:r>
        <w:rPr/>
        <w:t>“</w:t>
      </w:r>
      <w:r>
        <w:rPr>
          <w:rFonts w:ascii="Times New Roman" w:hAnsi="Times New Roman"/>
          <w:sz w:val="20"/>
          <w:u w:val="single"/>
        </w:rPr>
        <w:t>net income</w:t>
      </w:r>
      <w:r>
        <w:rPr>
          <w:rFonts w:ascii="Times New Roman" w:hAnsi="Times New Roman"/>
          <w:sz w:val="20"/>
        </w:rPr>
        <w:t xml:space="preserve">” means, with respect to any Person, the net income (loss) of such Person, determined in accordance with GAAP and before any reduction in respect of Preferred Stock dividends. </w:t>
      </w:r>
    </w:p>
    <w:p>
      <w:pPr>
        <w:pStyle w:val="TextBody"/>
        <w:bidi w:val="0"/>
        <w:spacing w:before="240" w:after="0"/>
        <w:jc w:val="left"/>
        <w:rPr>
          <w:rFonts w:ascii="Times New Roman" w:hAnsi="Times New Roman"/>
          <w:sz w:val="20"/>
        </w:rPr>
      </w:pPr>
      <w:r>
        <w:rPr>
          <w:rFonts w:ascii="Times New Roman" w:hAnsi="Times New Roman"/>
          <w:sz w:val="20"/>
        </w:rPr>
        <w:t xml:space="preserve">(c) Clause (1)(g) of the definition of “Consolidated EBITDA” in the Base Indenture is hereby replaced in its entirety as follows, solely with respect to each series of the Notes: </w:t>
      </w:r>
    </w:p>
    <w:p>
      <w:pPr>
        <w:pStyle w:val="TextBody"/>
        <w:bidi w:val="0"/>
        <w:spacing w:before="120" w:after="0"/>
        <w:jc w:val="left"/>
        <w:rPr>
          <w:rFonts w:ascii="Times New Roman" w:hAnsi="Times New Roman"/>
          <w:sz w:val="20"/>
        </w:rPr>
      </w:pPr>
      <w:r>
        <w:rPr>
          <w:rFonts w:ascii="Times New Roman" w:hAnsi="Times New Roman"/>
          <w:sz w:val="20"/>
        </w:rPr>
        <w:t xml:space="preserve">(g) any non-recurring fees, charges or expenses paid in connection with the Transactions within 180 days of the Issue Date that were deducted in computing Consolidated Net Income. </w:t>
      </w:r>
    </w:p>
    <w:p>
      <w:pPr>
        <w:pStyle w:val="TextBody"/>
        <w:bidi w:val="0"/>
        <w:spacing w:before="240" w:after="0"/>
        <w:jc w:val="left"/>
        <w:rPr>
          <w:rFonts w:ascii="Times New Roman" w:hAnsi="Times New Roman"/>
          <w:sz w:val="20"/>
        </w:rPr>
      </w:pPr>
      <w:r>
        <w:rPr>
          <w:rFonts w:ascii="Times New Roman" w:hAnsi="Times New Roman"/>
          <w:sz w:val="20"/>
        </w:rPr>
        <w:t xml:space="preserve">(d) The definition of “Indebtedness” in the Base Indenture is hereby amended by adding the following paragraph at the end thereof, solely with respect to each series of the Notes: </w:t>
      </w:r>
    </w:p>
    <w:p>
      <w:pPr>
        <w:pStyle w:val="TextBody"/>
        <w:bidi w:val="0"/>
        <w:spacing w:before="120" w:after="0"/>
        <w:jc w:val="left"/>
        <w:rPr>
          <w:rFonts w:ascii="Times New Roman" w:hAnsi="Times New Roman"/>
          <w:sz w:val="20"/>
        </w:rPr>
      </w:pPr>
      <w:r>
        <w:rPr>
          <w:rFonts w:ascii="Times New Roman" w:hAnsi="Times New Roman"/>
          <w:sz w:val="20"/>
        </w:rPr>
        <w:t xml:space="preserve">In addition, “Indebtedness” of any Person shall include Indebtedness described in the preceding paragraph that would not appear as a liability on the balance sheet of such Person if: </w:t>
      </w:r>
    </w:p>
    <w:p>
      <w:pPr>
        <w:pStyle w:val="TextBody"/>
        <w:bidi w:val="0"/>
        <w:spacing w:before="120" w:after="0"/>
        <w:jc w:val="left"/>
        <w:rPr>
          <w:rFonts w:ascii="Times New Roman" w:hAnsi="Times New Roman"/>
          <w:sz w:val="20"/>
        </w:rPr>
      </w:pPr>
      <w:r>
        <w:rPr>
          <w:rFonts w:ascii="Times New Roman" w:hAnsi="Times New Roman"/>
          <w:sz w:val="20"/>
        </w:rPr>
        <w:t>(1) such Indebtedness is the obligation of a partnership or joint venture that is not a Restricted Subsidiary (a “</w:t>
      </w:r>
      <w:r>
        <w:rPr>
          <w:rFonts w:ascii="Times New Roman" w:hAnsi="Times New Roman"/>
          <w:sz w:val="20"/>
          <w:u w:val="single"/>
        </w:rPr>
        <w:t>Joint Venture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 such Person or a Restricted Subsidiary of such Person is a general partner of the Joint Venture (a “</w:t>
      </w:r>
      <w:r>
        <w:rPr>
          <w:rFonts w:ascii="Times New Roman" w:hAnsi="Times New Roman"/>
          <w:sz w:val="20"/>
          <w:u w:val="single"/>
        </w:rPr>
        <w:t>General Partner</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(3) there is recourse, by contract or operation of law, with respect to the payment of such Indebtedness to property or assets of such Person or a Restricted Subsidiary of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then such Indebtedness shall be included in an amount not to exceed: </w:t>
      </w:r>
    </w:p>
    <w:p>
      <w:pPr>
        <w:pStyle w:val="TextBody"/>
        <w:bidi w:val="0"/>
        <w:spacing w:before="120" w:after="0"/>
        <w:jc w:val="left"/>
        <w:rPr>
          <w:rFonts w:ascii="Times New Roman" w:hAnsi="Times New Roman"/>
          <w:sz w:val="20"/>
        </w:rPr>
      </w:pPr>
      <w:r>
        <w:rPr>
          <w:rFonts w:ascii="Times New Roman" w:hAnsi="Times New Roman"/>
          <w:sz w:val="20"/>
        </w:rPr>
        <w:t xml:space="preserve">(a) the lesser of (i) the net assets of the General Partner and (ii) the amount of such obligations to the extent that there is recourse, by contract or operation of law, to the property or assets of such Person or a Restricted Subsidiary of such Person; or </w:t>
      </w:r>
    </w:p>
    <w:p>
      <w:pPr>
        <w:pStyle w:val="TextBody"/>
        <w:bidi w:val="0"/>
        <w:spacing w:before="120" w:after="0"/>
        <w:jc w:val="left"/>
        <w:rPr>
          <w:rFonts w:ascii="Times New Roman" w:hAnsi="Times New Roman"/>
          <w:sz w:val="20"/>
        </w:rPr>
      </w:pPr>
      <w:r>
        <w:rPr>
          <w:rFonts w:ascii="Times New Roman" w:hAnsi="Times New Roman"/>
          <w:sz w:val="20"/>
        </w:rPr>
        <w:t xml:space="preserve">(b) if less than the amount determined pursuant to clause (a) immediately above, the actual amount of such Indebtedness that is recourse to such Person or a Restricted Subsidiary of such Person, if the Indebtedness is evidenced by a writing and is for a determinable amount. </w:t>
      </w:r>
    </w:p>
    <w:p>
      <w:pPr>
        <w:pStyle w:val="TextBody"/>
        <w:bidi w:val="0"/>
        <w:spacing w:before="240" w:after="0"/>
        <w:jc w:val="left"/>
        <w:rPr>
          <w:rFonts w:ascii="Times New Roman" w:hAnsi="Times New Roman"/>
          <w:sz w:val="20"/>
        </w:rPr>
      </w:pPr>
      <w:r>
        <w:rPr>
          <w:rFonts w:ascii="Times New Roman" w:hAnsi="Times New Roman"/>
          <w:sz w:val="20"/>
        </w:rPr>
        <w:t xml:space="preserve">(e) Section 9.02(e)(4) of the Base Indenture is hereby replaced in its entirety as follows, solely with respect to each series of the Notes: </w:t>
      </w:r>
    </w:p>
    <w:p>
      <w:pPr>
        <w:pStyle w:val="TextBody"/>
        <w:bidi w:val="0"/>
        <w:spacing w:before="120" w:after="0"/>
        <w:jc w:val="left"/>
        <w:rPr>
          <w:rFonts w:ascii="Times New Roman" w:hAnsi="Times New Roman"/>
          <w:sz w:val="20"/>
        </w:rPr>
      </w:pPr>
      <w:r>
        <w:rPr>
          <w:rFonts w:ascii="Times New Roman" w:hAnsi="Times New Roman"/>
          <w:sz w:val="20"/>
        </w:rPr>
        <w:t xml:space="preserve">(4) reduce the premium payable upon the redemption or repurchase of any Note of such series or change the time at which any Note of such series may be redeemed or repurchased pursuant to Sections 2.08 and 2.13 of this Third Supplemental Indenture whether through an amendment or waiver of provisions in the covenants, definitions or otherwise (except amendments to the definitions of “Change of Control” and “Permitted 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2.15 </w:t>
      </w:r>
      <w:r>
        <w:rPr>
          <w:rFonts w:ascii="Times New Roman" w:hAnsi="Times New Roman"/>
          <w:sz w:val="20"/>
          <w:u w:val="single"/>
        </w:rPr>
        <w:t xml:space="preserve">Defeasance </w:t>
      </w:r>
    </w:p>
    <w:p>
      <w:pPr>
        <w:pStyle w:val="TextBody"/>
        <w:bidi w:val="0"/>
        <w:spacing w:before="240" w:after="0"/>
        <w:jc w:val="left"/>
        <w:rPr>
          <w:rFonts w:ascii="Times New Roman" w:hAnsi="Times New Roman"/>
          <w:sz w:val="20"/>
        </w:rPr>
      </w:pPr>
      <w:r>
        <w:rPr>
          <w:rFonts w:ascii="Times New Roman" w:hAnsi="Times New Roman"/>
          <w:sz w:val="20"/>
        </w:rPr>
        <w:t xml:space="preserve">(a) Each series of the Notes, in whole or in specific part, shall be defeasible pursuant to Sections 8.02 and 8.03 of the Base Indenture; </w:t>
      </w:r>
      <w:r>
        <w:rPr>
          <w:rFonts w:ascii="Times New Roman" w:hAnsi="Times New Roman"/>
          <w:sz w:val="20"/>
          <w:u w:val="single"/>
        </w:rPr>
        <w:t>provided</w:t>
      </w:r>
      <w:r>
        <w:rPr>
          <w:rFonts w:ascii="Times New Roman" w:hAnsi="Times New Roman"/>
          <w:sz w:val="20"/>
        </w:rPr>
        <w:t xml:space="preserve"> that the covenants that may be defeased pursuant to Section 8.03 of the Base Indenture shall include the covenant described in Section 2.13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2.16 </w:t>
      </w:r>
      <w:r>
        <w:rPr>
          <w:rFonts w:ascii="Times New Roman" w:hAnsi="Times New Roman"/>
          <w:sz w:val="20"/>
          <w:u w:val="single"/>
        </w:rPr>
        <w:t>Form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Notes of each series shall be issued as a Global Note. The Notes and the Trustee’s certificate of authentication shall each be substantially in the form of Exhibit A-1 or A-2 hereto, as applicable, which exhibits are hereby incorporated in and expressly made a part of this Third Supplemental Indenture. The Notes may have notations, legends or endorsements required by law, rules or agreements with national securities exchanges to which the Issuer or any Guarantor is subject, if any, or usage (</w:t>
      </w:r>
      <w:r>
        <w:rPr>
          <w:rFonts w:ascii="Times New Roman" w:hAnsi="Times New Roman"/>
          <w:sz w:val="20"/>
          <w:u w:val="single"/>
        </w:rPr>
        <w:t>provided</w:t>
      </w:r>
      <w:r>
        <w:rPr>
          <w:rFonts w:ascii="Times New Roman" w:hAnsi="Times New Roman"/>
          <w:sz w:val="20"/>
        </w:rPr>
        <w:t xml:space="preserve"> that any such notation, legend or endorsement is in a form acceptable to the Issuer). Each Note shall be dated the date of its authentication. The Notes shall be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(b) The terms and provisions contained in the Notes shall constitute, and are hereby expressly made, a part of this Third Supplemental Indenture, and the Issuer, the Guarantors, the Trustee and the Collateral Agent, by their execution and delivery of this Third Supplemental Indenture, expressly agree to such terms and provisions and to be bound thereby. However, to the extent any provision of any Note conflicts with the express provisions of this Third Supplemental Indenture, the provisions of this Third Supplemental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Additional Notes of each series ranking </w:t>
      </w:r>
      <w:r>
        <w:rPr>
          <w:rFonts w:ascii="Times New Roman" w:hAnsi="Times New Roman"/>
          <w:i/>
          <w:sz w:val="20"/>
        </w:rPr>
        <w:t>pari passu</w:t>
      </w:r>
      <w:r>
        <w:rPr>
          <w:rFonts w:ascii="Times New Roman" w:hAnsi="Times New Roman"/>
          <w:sz w:val="20"/>
        </w:rPr>
        <w:t xml:space="preserve"> with the Initial Notes of such series may be created and issued from time to time by the Issuer without notice to or consent of the Holders and shall be consolidated with and form a single class with the Initial Notes of such series and shall have the same terms as to status, redemption or otherwise (other than issue date, issue price and, if applicable, the first Interest Payment Date and the initial interest accrual date) as the Initial Notes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any Additional Notes that are not fungible with the Notes of the applicable series for United States federal income tax purposes will be issued under a separate CUSIP number;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Issuer’s ability to issue Additional Notes of either series shall be subject to the Issuer’s compliance with any other applicable provisions of the Indenture. Any Additional Notes shall be issued with the benefit of an indenture supplemental to the Indenture. </w:t>
      </w:r>
    </w:p>
    <w:p>
      <w:pPr>
        <w:pStyle w:val="TextBody"/>
        <w:bidi w:val="0"/>
        <w:spacing w:before="240" w:after="0"/>
        <w:jc w:val="left"/>
        <w:rPr>
          <w:rFonts w:ascii="Times New Roman" w:hAnsi="Times New Roman"/>
          <w:sz w:val="20"/>
        </w:rPr>
      </w:pPr>
      <w:r>
        <w:rPr>
          <w:rFonts w:ascii="Times New Roman" w:hAnsi="Times New Roman"/>
          <w:sz w:val="20"/>
        </w:rPr>
        <w:t xml:space="preserve">(c)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(d) This Section 2.16(d) shall apply only to a Global Note deposited with or on behalf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execute and the Trustee shall, in accordance with Section 2.03 and this Section 2.16(d) and pursuant to an order of the Issuer signed by one Officer of the Issuer, authenticate and deliver initially one or more Global Notes that (i) shall be registered in the name of the Depositary for such Global Note or Global Notes or the nominee of such Depositary and (ii) shall be delivered by the Trustee to such Depositary or pursuant to such Depositary’s instructions or held by the Trustee as Custodian. </w:t>
      </w:r>
    </w:p>
    <w:p>
      <w:pPr>
        <w:pStyle w:val="TextBody"/>
        <w:bidi w:val="0"/>
        <w:spacing w:before="240" w:after="0"/>
        <w:jc w:val="left"/>
        <w:rPr>
          <w:rFonts w:ascii="Times New Roman" w:hAnsi="Times New Roman"/>
          <w:sz w:val="20"/>
        </w:rPr>
      </w:pPr>
      <w:r>
        <w:rPr>
          <w:rFonts w:ascii="Times New Roman" w:hAnsi="Times New Roman"/>
          <w:sz w:val="20"/>
        </w:rPr>
        <w:t>Members of, or participants in, the Depositary (“</w:t>
      </w:r>
      <w:r>
        <w:rPr>
          <w:rFonts w:ascii="Times New Roman" w:hAnsi="Times New Roman"/>
          <w:sz w:val="20"/>
          <w:u w:val="single"/>
        </w:rPr>
        <w:t>Agent Members</w:t>
      </w:r>
      <w:r>
        <w:rPr>
          <w:rFonts w:ascii="Times New Roman" w:hAnsi="Times New Roman"/>
          <w:sz w:val="20"/>
        </w:rPr>
        <w:t xml:space="preserve">”) shall have no rights under the Indenture with respect to any Global Note held on their behalf by the Depositary or by the Trustee as Custodian or under such Global Note, and the Depositary may be treated by the Issuer, the Trustee and any agent of the Issuer or the Trustee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Note. </w:t>
      </w:r>
    </w:p>
    <w:p>
      <w:pPr>
        <w:pStyle w:val="TextBody"/>
        <w:bidi w:val="0"/>
        <w:spacing w:before="240" w:after="0"/>
        <w:jc w:val="left"/>
        <w:rPr>
          <w:rFonts w:ascii="Times New Roman" w:hAnsi="Times New Roman"/>
          <w:sz w:val="20"/>
        </w:rPr>
      </w:pPr>
      <w:r>
        <w:rPr>
          <w:rFonts w:ascii="Times New Roman" w:hAnsi="Times New Roman"/>
          <w:sz w:val="20"/>
        </w:rPr>
        <w:t xml:space="preserve">(e) Legends. </w:t>
      </w:r>
    </w:p>
    <w:p>
      <w:pPr>
        <w:pStyle w:val="TextBody"/>
        <w:bidi w:val="0"/>
        <w:spacing w:before="240" w:after="0"/>
        <w:jc w:val="left"/>
        <w:rPr>
          <w:rFonts w:ascii="Times New Roman" w:hAnsi="Times New Roman"/>
          <w:sz w:val="20"/>
        </w:rPr>
      </w:pPr>
      <w:r>
        <w:rPr>
          <w:rFonts w:ascii="Times New Roman" w:hAnsi="Times New Roman"/>
          <w:sz w:val="20"/>
        </w:rPr>
        <w:t xml:space="preserve">Each Global Note shall bear the following additional legend: </w:t>
      </w:r>
    </w:p>
    <w:p>
      <w:pPr>
        <w:pStyle w:val="TextBody"/>
        <w:bidi w:val="0"/>
        <w:spacing w:before="12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 </w:t>
      </w:r>
    </w:p>
    <w:p>
      <w:pPr>
        <w:pStyle w:val="TextBody"/>
        <w:bidi w:val="0"/>
        <w:spacing w:before="240" w:after="0"/>
        <w:jc w:val="left"/>
        <w:rPr>
          <w:rFonts w:ascii="Times New Roman" w:hAnsi="Times New Roman"/>
          <w:sz w:val="20"/>
        </w:rPr>
      </w:pPr>
      <w:r>
        <w:rPr>
          <w:rFonts w:ascii="Times New Roman" w:hAnsi="Times New Roman"/>
          <w:sz w:val="20"/>
        </w:rPr>
        <w:t xml:space="preserve">(f) Cancellation or Adjustment of Global Note. </w:t>
      </w:r>
    </w:p>
    <w:p>
      <w:pPr>
        <w:pStyle w:val="TextBody"/>
        <w:bidi w:val="0"/>
        <w:spacing w:before="240" w:after="0"/>
        <w:jc w:val="left"/>
        <w:rPr>
          <w:rFonts w:ascii="Times New Roman" w:hAnsi="Times New Roman"/>
          <w:sz w:val="20"/>
        </w:rPr>
      </w:pPr>
      <w:r>
        <w:rPr>
          <w:rFonts w:ascii="Times New Roman" w:hAnsi="Times New Roman"/>
          <w:sz w:val="20"/>
        </w:rPr>
        <w:t xml:space="preserve">At such time as all beneficial interests in a Global Note have either been transferred, redeemed, repurchased or canceled, such Global Note shall be returned by the Depositary to the Trustee for cancellation or retained and canceled by the Trustee. At any time prior to such cancellation, if any beneficial interest in a Global Note is transferred in exchange for an interest in another Global Note, redeemed, repurchased or canceled, the principal amount of Notes represented by such Global Note shall be reduced and an adjustment shall be made on the books and records of the Trustee (if it is then the Custodian for such Global Note) with respect to such Global Note, by the Trustee or the Custodian, to reflect such reduction. </w:t>
      </w:r>
    </w:p>
    <w:p>
      <w:pPr>
        <w:pStyle w:val="TextBody"/>
        <w:bidi w:val="0"/>
        <w:spacing w:before="240" w:after="0"/>
        <w:jc w:val="left"/>
        <w:rPr>
          <w:rFonts w:ascii="Times New Roman" w:hAnsi="Times New Roman"/>
          <w:sz w:val="20"/>
        </w:rPr>
      </w:pPr>
      <w:r>
        <w:rPr>
          <w:rFonts w:ascii="Times New Roman" w:hAnsi="Times New Roman"/>
          <w:sz w:val="20"/>
        </w:rPr>
        <w:t xml:space="preserve">(g) Obligations with Respect to Transfers and Exchanges of Notes. </w:t>
      </w:r>
    </w:p>
    <w:p>
      <w:pPr>
        <w:pStyle w:val="TextBody"/>
        <w:bidi w:val="0"/>
        <w:spacing w:before="120" w:after="0"/>
        <w:jc w:val="left"/>
        <w:rPr>
          <w:rFonts w:ascii="Times New Roman" w:hAnsi="Times New Roman"/>
          <w:sz w:val="20"/>
        </w:rPr>
      </w:pPr>
      <w:r>
        <w:rPr>
          <w:rFonts w:ascii="Times New Roman" w:hAnsi="Times New Roman"/>
          <w:sz w:val="20"/>
        </w:rPr>
        <w:t xml:space="preserve">(1) To permit registrations of transfers and exchanges, the Issuer shall execute and the Trustee shall authenticate, in accordance with Section 2.02 of the Base Indenture, Global Notes at the Registrar’s request. </w:t>
      </w:r>
    </w:p>
    <w:p>
      <w:pPr>
        <w:pStyle w:val="TextBody"/>
        <w:bidi w:val="0"/>
        <w:spacing w:before="120" w:after="0"/>
        <w:jc w:val="left"/>
        <w:rPr>
          <w:rFonts w:ascii="Times New Roman" w:hAnsi="Times New Roman"/>
          <w:sz w:val="20"/>
        </w:rPr>
      </w:pPr>
      <w:r>
        <w:rPr>
          <w:rFonts w:ascii="Times New Roman" w:hAnsi="Times New Roman"/>
          <w:sz w:val="20"/>
        </w:rPr>
        <w:t xml:space="preserve">(2) No service charge shall be made for any registration of transfer or exchange (other than pursuant to Section 2.07 of the Base Indenture), but the Issuer and/or the Trustee may require payment of a sum sufficient to cover any transfer tax or similar governmental charge payable in connection therewith (other than any such transfer tax or similar governmental charge payable upon transfers or exchanges pursuant to Sections 2.10, 2.15, 3.06 or 9.04 of the Base Indenture or Section 2.13 hereof). </w:t>
      </w:r>
    </w:p>
    <w:p>
      <w:pPr>
        <w:pStyle w:val="TextBody"/>
        <w:bidi w:val="0"/>
        <w:spacing w:before="120" w:after="0"/>
        <w:jc w:val="left"/>
        <w:rPr>
          <w:rFonts w:ascii="Times New Roman" w:hAnsi="Times New Roman"/>
          <w:sz w:val="20"/>
        </w:rPr>
      </w:pPr>
      <w:r>
        <w:rPr>
          <w:rFonts w:ascii="Times New Roman" w:hAnsi="Times New Roman"/>
          <w:sz w:val="20"/>
        </w:rPr>
        <w:t xml:space="preserve">(3) Prior to the due presentation for registration of transfer of any Note, the Issuer, the Trustee, the Paying Agent or the Registrar may deem and treat the person in whose name a Note is registered as the absolute owner of such Note for the purpose of receiving payment of principal of and interest on such Note and for all other purposes whatsoever, whether or not such Note is overdue, and none of the Issuer, the Trustee, the Paying Agent or the Registrar shall be affected by notice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(4) All Notes issued upon any transfer or exchange pursuant to the terms of the Indenture shall evidence the same debt and shall be entitled to the same benefits under the Indenture as the Notes surrendered upon such transfer or exchange. </w:t>
      </w:r>
    </w:p>
    <w:p>
      <w:pPr>
        <w:pStyle w:val="TextBody"/>
        <w:bidi w:val="0"/>
        <w:spacing w:before="240" w:after="0"/>
        <w:jc w:val="left"/>
        <w:rPr>
          <w:rFonts w:ascii="Times New Roman" w:hAnsi="Times New Roman"/>
          <w:sz w:val="20"/>
        </w:rPr>
      </w:pPr>
      <w:r>
        <w:rPr>
          <w:rFonts w:ascii="Times New Roman" w:hAnsi="Times New Roman"/>
          <w:sz w:val="20"/>
        </w:rPr>
        <w:t xml:space="preserve">(h) No Obligation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(1) The Trustee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registered Holders (which shall be the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 The Trustee and the Agents shall be entitled to deal with the Depositary, and any nominee thereof, that is the registered holder of any Global Note for all purposes of the Indenture relating to such Global Note (including the payment of principal, premium, if any, and interest and additional amounts, if any, and the giving of instructions or directions by or to the owner or holder of a beneficial ownership interest in such Global Note) as the sole holder of such Global Note and shall have no obligations to the beneficial owners thereof. None of the Trustee or any Agent shall have any responsibility or liability for any acts or omissions of the Depositary with respect to such Global Note for the records of any such Depositary, including records in respect of beneficial ownership interests in respect of any such Global Note, for any transactions between the Depositary and any Participant or between or among the Depositary, any such Participant and/or any holder or owner of a beneficial interest in such Global Note, or for any transfers of beneficial interests in any such Global Note. </w:t>
      </w:r>
    </w:p>
    <w:p>
      <w:pPr>
        <w:pStyle w:val="TextBody"/>
        <w:bidi w:val="0"/>
        <w:spacing w:before="120" w:after="0"/>
        <w:jc w:val="left"/>
        <w:rPr>
          <w:rFonts w:ascii="Times New Roman" w:hAnsi="Times New Roman"/>
          <w:sz w:val="20"/>
        </w:rPr>
      </w:pPr>
      <w:r>
        <w:rPr>
          <w:rFonts w:ascii="Times New Roman" w:hAnsi="Times New Roman"/>
          <w:sz w:val="20"/>
        </w:rPr>
        <w:t xml:space="preserve">(2) The Trustee shall have no obligation or duty to monitor, determine or inquire as to compliance with any restrictions on transfer imposed under the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2.17 </w:t>
      </w:r>
      <w:r>
        <w:rPr>
          <w:rFonts w:ascii="Times New Roman" w:hAnsi="Times New Roman"/>
          <w:sz w:val="20"/>
          <w:u w:val="single"/>
        </w:rPr>
        <w:t>CUSIP and ISIN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Initial Notes shall bear the following (a) CUSIP identification numbers: (i) with respect to the 2031 Notes, 913903BD1 and (ii) with respect to the 2036 Notes, 913903BE9 and (b) ISIN identification numbers: (i) with respect to the 2031 Notes, US913903BD14 and (ii) with respect to the 2036 Notes, US913903BE96. The Trustee shall use CUSIP and/or ISIN numbers in notices of redemption or exchange or in Offers to Purchase as a convenience to Holders; </w:t>
      </w:r>
      <w:r>
        <w:rPr>
          <w:rFonts w:ascii="Times New Roman" w:hAnsi="Times New Roman"/>
          <w:sz w:val="20"/>
          <w:u w:val="single"/>
        </w:rPr>
        <w:t>provided</w:t>
      </w:r>
      <w:r>
        <w:rPr>
          <w:rFonts w:ascii="Times New Roman" w:hAnsi="Times New Roman"/>
          <w:sz w:val="20"/>
        </w:rPr>
        <w:t xml:space="preserve"> that any such notice may state that no representation is made as to the correctness of such numbers either as printed on the Notes or as contained in any notice of redemption or exchange or in Offers to Purchase and that reliance may be placed only on the other identification numbers printed on the Notes, and any such redemption or exchange or Offer to Purchase shall not be affected by any defect in or omission of such numbers. The Issuer shall as promptly as practicable notify the Trustee in writing of any change in the CUSIP or ISIN numbers. </w:t>
      </w:r>
    </w:p>
    <w:p>
      <w:pPr>
        <w:pStyle w:val="TextBody"/>
        <w:bidi w:val="0"/>
        <w:spacing w:before="480" w:after="0"/>
        <w:jc w:val="center"/>
        <w:rPr>
          <w:rFonts w:ascii="Times New Roman" w:hAnsi="Times New Roman"/>
          <w:sz w:val="20"/>
        </w:rPr>
      </w:pPr>
      <w:r>
        <w:rPr>
          <w:rFonts w:ascii="Times New Roman" w:hAnsi="Times New Roman"/>
          <w:sz w:val="20"/>
        </w:rPr>
        <w:t xml:space="preserve">ARTICLE 3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THIRD SUPPLEMENTAL INDENTURE, THE NOTES AND THE GUARANTEES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Successors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agreements of the Issuer in this Third Supplemental Indenture and the Notes shall bind its successors. All agreements of the Trustee in this Third Supplemental Indenture shall bind its successors. All agreements of each Guarantor in this Third Supplemental Indenture shall bind its successors, except as otherwise provided in Section 10.06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Severability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Third Supplemental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Counterpart Originals; Facsimile and Electronic Delivery of Signature Pages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may sign any number of copies of this Third Supplemental Indenture. Each signed copy shall be an original, but all of them together represent the same agreement. The exchange of copies of this Third Supplemental Indenture and of signature pages by facsimile or electronic transmission (including PDF format) shall constitute effective execution and delivery of this Third Supplemental Indenture as to the parties hereto and may be used in lieu of the original Third Supplemental Indenture for all purposes. Signatures of the parties hereto delivered by facsimile or electronic transmission shall be deemed to be their original signatures for all purposes. For the avoidance of doubt, all notices, approvals, consents, requests and any communications hereunder or with respect to the Notes must be in writing (provided that any communication sent to Trustee hereunder must be in the form of a document that is signed manually or by way of a digital signature provided by DocuSign or Adobe (or such other digital signature provider as specified in writing to Trustee by the authorized representative), in English. The Issuer agrees to assume all risks arising out of the use of using digital signatures and electronic methods to submit communications to Trustee, including without limitation the risk of Trustee acting on unauthorized instructions, and the risk of interception and misuse by third parties. The Trustee accepts the trusts created by the Base Indenture, as supplemented by this Third Supplemental Indenture, and agrees to perform the same upon the terms and conditions of the Base Indenture, as supplemented by this Third Supplemental Indenture. All of the provisions contained in the Base Indenture in respect of the rights, privileges, immunities, indemnities, powers, and duties of the Trustee shall be applicable in respect of this Third Supplemental Indenture as fully and with like force and effect as though fully set forth in full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Table of Contents, Headings,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Table of Contents and headings of the Articles and Sections of this Third Supplemental Indenture have been inserted for convenience of reference only, are not to be considered a part of this Third Supplemental Indenture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Payments Due on Non-Business 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any Interest Payment Date, redemption date or repurchase date or the Stated Maturity of the Notes shall not be a Business Day, then (notwithstanding any other provision of the Indenture or of the Notes) payment of principal, premium, if any, or interest on the Notes need not be made on such date, but may be made on the next succeeding Business Day with the same force and effect as if made on the Interest Payment Date, redemption date or repurchase date, or at the Stated Maturity of the Notes; </w:t>
      </w:r>
      <w:r>
        <w:rPr>
          <w:rFonts w:ascii="Times New Roman" w:hAnsi="Times New Roman"/>
          <w:sz w:val="20"/>
          <w:u w:val="single"/>
        </w:rPr>
        <w:t>provided</w:t>
      </w:r>
      <w:r>
        <w:rPr>
          <w:rFonts w:ascii="Times New Roman" w:hAnsi="Times New Roman"/>
          <w:sz w:val="20"/>
        </w:rPr>
        <w:t xml:space="preserve"> that no interest will accrue for the period from and after such Interest Payment Date, redemption date, repurchase date or Stated Maturity,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UNIVERSAL HEALTH SERVICES,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Steve Filton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 Secretary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DELAWARE,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Steve Filton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 and 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ABS LINCS SC,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HORIZON HEALTH AUSTIN, INC.</w:t>
            </w:r>
          </w:p>
        </w:tc>
      </w:tr>
      <w:tr>
        <w:trPr/>
        <w:tc>
          <w:tcPr>
            <w:tcW w:w="5102" w:type="dxa"/>
            <w:tcBorders/>
          </w:tcPr>
          <w:p>
            <w:pPr>
              <w:pStyle w:val="TableContents"/>
              <w:bidi w:val="0"/>
              <w:spacing w:before="0" w:after="283"/>
              <w:jc w:val="left"/>
              <w:rPr/>
            </w:pPr>
            <w:r>
              <w:rPr/>
              <w:t>ALLIANCE HEALTH CENTER,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HORIZON HEALTH CORPORATION</w:t>
            </w:r>
          </w:p>
        </w:tc>
      </w:tr>
      <w:tr>
        <w:trPr/>
        <w:tc>
          <w:tcPr>
            <w:tcW w:w="5102" w:type="dxa"/>
            <w:tcBorders/>
          </w:tcPr>
          <w:p>
            <w:pPr>
              <w:pStyle w:val="TableContents"/>
              <w:bidi w:val="0"/>
              <w:spacing w:before="0" w:after="283"/>
              <w:jc w:val="left"/>
              <w:rPr/>
            </w:pPr>
            <w:r>
              <w:rPr/>
              <w:t>ALTERNATIVE BEHAVIORAL SERVICES,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HSA HILL CREST CORPORATION</w:t>
            </w:r>
          </w:p>
        </w:tc>
      </w:tr>
      <w:tr>
        <w:trPr/>
        <w:tc>
          <w:tcPr>
            <w:tcW w:w="5102" w:type="dxa"/>
            <w:tcBorders/>
          </w:tcPr>
          <w:p>
            <w:pPr>
              <w:pStyle w:val="TableContents"/>
              <w:bidi w:val="0"/>
              <w:spacing w:before="0" w:after="283"/>
              <w:jc w:val="left"/>
              <w:rPr/>
            </w:pPr>
            <w:r>
              <w:rPr/>
              <w:t>ASCEND HEALTH CORPORATION</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KIDS BEHAVIORAL HEALTH OF UTAH, INC.</w:t>
            </w:r>
          </w:p>
        </w:tc>
      </w:tr>
      <w:tr>
        <w:trPr/>
        <w:tc>
          <w:tcPr>
            <w:tcW w:w="5102" w:type="dxa"/>
            <w:tcBorders/>
          </w:tcPr>
          <w:p>
            <w:pPr>
              <w:pStyle w:val="TableContents"/>
              <w:bidi w:val="0"/>
              <w:spacing w:before="0" w:after="283"/>
              <w:jc w:val="left"/>
              <w:rPr/>
            </w:pPr>
            <w:r>
              <w:rPr/>
              <w:t>BENCHMARK BEHAVIORAL HEALTH SYSTEM,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LANCASTER HOSPITAL CORPORATION</w:t>
            </w:r>
          </w:p>
        </w:tc>
      </w:tr>
      <w:tr>
        <w:trPr/>
        <w:tc>
          <w:tcPr>
            <w:tcW w:w="5102" w:type="dxa"/>
            <w:tcBorders/>
          </w:tcPr>
          <w:p>
            <w:pPr>
              <w:pStyle w:val="TableContents"/>
              <w:bidi w:val="0"/>
              <w:spacing w:before="0" w:after="283"/>
              <w:jc w:val="left"/>
              <w:rPr/>
            </w:pPr>
            <w:r>
              <w:rPr/>
              <w:t>BHC ALHAMBRA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LAUREL OAKS BEHAVIORAL HEALTH CENTER, INC.</w:t>
            </w:r>
          </w:p>
        </w:tc>
      </w:tr>
      <w:tr>
        <w:trPr/>
        <w:tc>
          <w:tcPr>
            <w:tcW w:w="5102" w:type="dxa"/>
            <w:tcBorders/>
          </w:tcPr>
          <w:p>
            <w:pPr>
              <w:pStyle w:val="TableContents"/>
              <w:bidi w:val="0"/>
              <w:spacing w:before="0" w:after="283"/>
              <w:jc w:val="left"/>
              <w:rPr/>
            </w:pPr>
            <w:r>
              <w:rPr/>
              <w:t>BHC BELMONT PINES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MCALLEN MEDICAL CENTER, INC.</w:t>
            </w:r>
          </w:p>
        </w:tc>
      </w:tr>
      <w:tr>
        <w:trPr/>
        <w:tc>
          <w:tcPr>
            <w:tcW w:w="5102" w:type="dxa"/>
            <w:tcBorders/>
          </w:tcPr>
          <w:p>
            <w:pPr>
              <w:pStyle w:val="TableContents"/>
              <w:bidi w:val="0"/>
              <w:spacing w:before="0" w:after="283"/>
              <w:jc w:val="left"/>
              <w:rPr/>
            </w:pPr>
            <w:r>
              <w:rPr/>
              <w:t>BHC FAIRFAX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MERIDELL ACHIEVEMENT CENTER, INC.</w:t>
            </w:r>
          </w:p>
        </w:tc>
      </w:tr>
      <w:tr>
        <w:trPr/>
        <w:tc>
          <w:tcPr>
            <w:tcW w:w="5102" w:type="dxa"/>
            <w:tcBorders/>
          </w:tcPr>
          <w:p>
            <w:pPr>
              <w:pStyle w:val="TableContents"/>
              <w:bidi w:val="0"/>
              <w:spacing w:before="0" w:after="283"/>
              <w:jc w:val="left"/>
              <w:rPr/>
            </w:pPr>
            <w:r>
              <w:rPr/>
              <w:t>BHC FOX RUN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MERION BUILDING MANAGEMENT, INC.</w:t>
            </w:r>
          </w:p>
        </w:tc>
      </w:tr>
      <w:tr>
        <w:trPr/>
        <w:tc>
          <w:tcPr>
            <w:tcW w:w="5102" w:type="dxa"/>
            <w:tcBorders/>
          </w:tcPr>
          <w:p>
            <w:pPr>
              <w:pStyle w:val="TableContents"/>
              <w:bidi w:val="0"/>
              <w:spacing w:before="0" w:after="283"/>
              <w:jc w:val="left"/>
              <w:rPr/>
            </w:pPr>
            <w:r>
              <w:rPr/>
              <w:t>BHC FREMONT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MICHIGAN PSYCHIATRIC SERVICES, INC.</w:t>
            </w:r>
          </w:p>
        </w:tc>
      </w:tr>
      <w:tr>
        <w:trPr/>
        <w:tc>
          <w:tcPr>
            <w:tcW w:w="5102" w:type="dxa"/>
            <w:tcBorders/>
          </w:tcPr>
          <w:p>
            <w:pPr>
              <w:pStyle w:val="TableContents"/>
              <w:bidi w:val="0"/>
              <w:spacing w:before="0" w:after="283"/>
              <w:jc w:val="left"/>
              <w:rPr/>
            </w:pPr>
            <w:r>
              <w:rPr/>
              <w:t>BHC HEALTH SERVICES OF NEVADA,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NORTH SPRING BEHAVIORAL HEALTHCARE, INC.</w:t>
            </w:r>
          </w:p>
        </w:tc>
      </w:tr>
      <w:tr>
        <w:trPr/>
        <w:tc>
          <w:tcPr>
            <w:tcW w:w="5102" w:type="dxa"/>
            <w:tcBorders/>
          </w:tcPr>
          <w:p>
            <w:pPr>
              <w:pStyle w:val="TableContents"/>
              <w:bidi w:val="0"/>
              <w:spacing w:before="0" w:after="283"/>
              <w:jc w:val="left"/>
              <w:rPr/>
            </w:pPr>
            <w:r>
              <w:rPr/>
              <w:t>BHC HERITAGE OAKS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NORTHWEST TEXAS HEALTHCARE SYSTEM, INC.</w:t>
            </w:r>
          </w:p>
        </w:tc>
      </w:tr>
      <w:tr>
        <w:trPr/>
        <w:tc>
          <w:tcPr>
            <w:tcW w:w="5102" w:type="dxa"/>
            <w:tcBorders/>
          </w:tcPr>
          <w:p>
            <w:pPr>
              <w:pStyle w:val="TableContents"/>
              <w:bidi w:val="0"/>
              <w:spacing w:before="0" w:after="283"/>
              <w:jc w:val="left"/>
              <w:rPr/>
            </w:pPr>
            <w:r>
              <w:rPr/>
              <w:t>BHC HOLDINGS,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OAK PLAINS ACADEMY OF TENNESSEE, INC.</w:t>
            </w:r>
          </w:p>
        </w:tc>
      </w:tr>
      <w:tr>
        <w:trPr/>
        <w:tc>
          <w:tcPr>
            <w:tcW w:w="5102" w:type="dxa"/>
            <w:tcBorders/>
          </w:tcPr>
          <w:p>
            <w:pPr>
              <w:pStyle w:val="TableContents"/>
              <w:bidi w:val="0"/>
              <w:spacing w:before="0" w:after="283"/>
              <w:jc w:val="left"/>
              <w:rPr/>
            </w:pPr>
            <w:r>
              <w:rPr/>
              <w:t>BHC INTERMOUNTAIN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PARK HEALTHCARE COMPANY</w:t>
            </w:r>
          </w:p>
        </w:tc>
      </w:tr>
      <w:tr>
        <w:trPr/>
        <w:tc>
          <w:tcPr>
            <w:tcW w:w="5102" w:type="dxa"/>
            <w:tcBorders/>
          </w:tcPr>
          <w:p>
            <w:pPr>
              <w:pStyle w:val="TableContents"/>
              <w:bidi w:val="0"/>
              <w:spacing w:before="0" w:after="283"/>
              <w:jc w:val="left"/>
              <w:rPr/>
            </w:pPr>
            <w:r>
              <w:rPr/>
              <w:t>BHC MONTEVISTA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PENNSYLVANIA CLINICAL SCHOOLS, INC.</w:t>
            </w:r>
          </w:p>
        </w:tc>
      </w:tr>
      <w:tr>
        <w:trPr/>
        <w:tc>
          <w:tcPr>
            <w:tcW w:w="5102" w:type="dxa"/>
            <w:tcBorders/>
          </w:tcPr>
          <w:p>
            <w:pPr>
              <w:pStyle w:val="TableContents"/>
              <w:bidi w:val="0"/>
              <w:spacing w:before="0" w:after="283"/>
              <w:jc w:val="left"/>
              <w:rPr/>
            </w:pPr>
            <w:r>
              <w:rPr/>
              <w:t>BHC SIERRA VISTA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PREMIER BEHAVIORAL SOLUTIONS, INC.</w:t>
            </w:r>
          </w:p>
        </w:tc>
      </w:tr>
      <w:tr>
        <w:trPr/>
        <w:tc>
          <w:tcPr>
            <w:tcW w:w="5102" w:type="dxa"/>
            <w:tcBorders/>
          </w:tcPr>
          <w:p>
            <w:pPr>
              <w:pStyle w:val="TableContents"/>
              <w:bidi w:val="0"/>
              <w:spacing w:before="0" w:after="283"/>
              <w:jc w:val="left"/>
              <w:rPr/>
            </w:pPr>
            <w:r>
              <w:rPr/>
              <w:t>BHC STREAMWOOD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PREMIER BEHAVIORAL SOLUTIONS OF FLORIDA, INC.</w:t>
            </w:r>
          </w:p>
        </w:tc>
      </w:tr>
      <w:tr>
        <w:trPr/>
        <w:tc>
          <w:tcPr>
            <w:tcW w:w="5102" w:type="dxa"/>
            <w:tcBorders/>
          </w:tcPr>
          <w:p>
            <w:pPr>
              <w:pStyle w:val="TableContents"/>
              <w:bidi w:val="0"/>
              <w:spacing w:before="0" w:after="283"/>
              <w:jc w:val="left"/>
              <w:rPr/>
            </w:pPr>
            <w:r>
              <w:rPr/>
              <w:t>BRENTWOOD ACQUISITION,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PSYCHIATRIC SOLUTIONS, INC.</w:t>
            </w:r>
          </w:p>
        </w:tc>
      </w:tr>
      <w:tr>
        <w:trPr/>
        <w:tc>
          <w:tcPr>
            <w:tcW w:w="5102" w:type="dxa"/>
            <w:tcBorders/>
          </w:tcPr>
          <w:p>
            <w:pPr>
              <w:pStyle w:val="TableContents"/>
              <w:bidi w:val="0"/>
              <w:spacing w:before="0" w:after="283"/>
              <w:jc w:val="left"/>
              <w:rPr/>
            </w:pPr>
            <w:r>
              <w:rPr/>
              <w:t>BRENTWOOD ACQUISITION - SHREVEPORT,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PSYCHIATRIC SOLUTIONS OF VIRGINIA, INC.</w:t>
            </w:r>
          </w:p>
        </w:tc>
      </w:tr>
      <w:tr>
        <w:trPr/>
        <w:tc>
          <w:tcPr>
            <w:tcW w:w="5102" w:type="dxa"/>
            <w:tcBorders/>
          </w:tcPr>
          <w:p>
            <w:pPr>
              <w:pStyle w:val="TableContents"/>
              <w:bidi w:val="0"/>
              <w:spacing w:before="0" w:after="283"/>
              <w:jc w:val="left"/>
              <w:rPr/>
            </w:pPr>
            <w:r>
              <w:rPr/>
              <w:t>BRYNN MARR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RAMSAY YOUTH SERVICES OF GEORGIA, INC.</w:t>
            </w:r>
          </w:p>
        </w:tc>
      </w:tr>
      <w:tr>
        <w:trPr/>
        <w:tc>
          <w:tcPr>
            <w:tcW w:w="5102" w:type="dxa"/>
            <w:tcBorders/>
          </w:tcPr>
          <w:p>
            <w:pPr>
              <w:pStyle w:val="TableContents"/>
              <w:bidi w:val="0"/>
              <w:spacing w:before="0" w:after="283"/>
              <w:jc w:val="left"/>
              <w:rPr/>
            </w:pPr>
            <w:r>
              <w:rPr/>
              <w:t>CALVARY CENTER,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RIVER OAKS, INC.</w:t>
            </w:r>
          </w:p>
        </w:tc>
      </w:tr>
      <w:tr>
        <w:trPr/>
        <w:tc>
          <w:tcPr>
            <w:tcW w:w="5102" w:type="dxa"/>
            <w:tcBorders/>
          </w:tcPr>
          <w:p>
            <w:pPr>
              <w:pStyle w:val="TableContents"/>
              <w:bidi w:val="0"/>
              <w:spacing w:before="0" w:after="283"/>
              <w:jc w:val="left"/>
              <w:rPr/>
            </w:pPr>
            <w:r>
              <w:rPr/>
              <w:t>CANYON RIDGE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RIVEREDGE HOSPITAL HOLDINGS, INC.</w:t>
            </w:r>
          </w:p>
        </w:tc>
      </w:tr>
      <w:tr>
        <w:trPr/>
        <w:tc>
          <w:tcPr>
            <w:tcW w:w="5102" w:type="dxa"/>
            <w:tcBorders/>
          </w:tcPr>
          <w:p>
            <w:pPr>
              <w:pStyle w:val="TableContents"/>
              <w:bidi w:val="0"/>
              <w:spacing w:before="0" w:after="283"/>
              <w:jc w:val="left"/>
              <w:rPr/>
            </w:pPr>
            <w:r>
              <w:rPr/>
              <w:t>CCS/LANSING,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SOUTHEASTERN HOSPITAL CORPORATION</w:t>
            </w:r>
          </w:p>
        </w:tc>
      </w:tr>
      <w:tr>
        <w:trPr/>
        <w:tc>
          <w:tcPr>
            <w:tcW w:w="5102" w:type="dxa"/>
            <w:tcBorders/>
          </w:tcPr>
          <w:p>
            <w:pPr>
              <w:pStyle w:val="TableContents"/>
              <w:bidi w:val="0"/>
              <w:spacing w:before="0" w:after="283"/>
              <w:jc w:val="left"/>
              <w:rPr/>
            </w:pPr>
            <w:r>
              <w:rPr/>
              <w:t>CEDAR SPRINGS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SPARKS FAMILY HOSPITAL, INC.</w:t>
            </w:r>
          </w:p>
        </w:tc>
      </w:tr>
      <w:tr>
        <w:trPr/>
        <w:tc>
          <w:tcPr>
            <w:tcW w:w="5102" w:type="dxa"/>
            <w:tcBorders/>
          </w:tcPr>
          <w:p>
            <w:pPr>
              <w:pStyle w:val="TableContents"/>
              <w:bidi w:val="0"/>
              <w:spacing w:before="0" w:after="283"/>
              <w:jc w:val="left"/>
              <w:rPr/>
            </w:pPr>
            <w:r>
              <w:rPr/>
              <w:t>CHILDREN’S COMPREHENSIVE SERVICES,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SPRINGFIELD HOSPITAL, INC.</w:t>
            </w:r>
          </w:p>
        </w:tc>
      </w:tr>
      <w:tr>
        <w:trPr/>
        <w:tc>
          <w:tcPr>
            <w:tcW w:w="5102" w:type="dxa"/>
            <w:tcBorders/>
          </w:tcPr>
          <w:p>
            <w:pPr>
              <w:pStyle w:val="TableContents"/>
              <w:bidi w:val="0"/>
              <w:spacing w:before="0" w:after="283"/>
              <w:jc w:val="left"/>
              <w:rPr/>
            </w:pPr>
            <w:r>
              <w:rPr/>
              <w:t>DEL AMO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STONINGTON BEHAVIORAL HEALTH, INC.</w:t>
            </w:r>
          </w:p>
        </w:tc>
      </w:tr>
      <w:tr>
        <w:trPr/>
        <w:tc>
          <w:tcPr>
            <w:tcW w:w="5102" w:type="dxa"/>
            <w:tcBorders/>
          </w:tcPr>
          <w:p>
            <w:pPr>
              <w:pStyle w:val="TableContents"/>
              <w:bidi w:val="0"/>
              <w:spacing w:before="0" w:after="283"/>
              <w:jc w:val="left"/>
              <w:rPr/>
            </w:pPr>
            <w:r>
              <w:rPr/>
              <w:t>FIRST HOSPITAL CORPORATION OF VIRGINIA BEACH</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SUMMIT OAKS HOSPITAL, INC.</w:t>
            </w:r>
          </w:p>
        </w:tc>
      </w:tr>
      <w:tr>
        <w:trPr/>
        <w:tc>
          <w:tcPr>
            <w:tcW w:w="5102" w:type="dxa"/>
            <w:tcBorders/>
          </w:tcPr>
          <w:p>
            <w:pPr>
              <w:pStyle w:val="TableContents"/>
              <w:bidi w:val="0"/>
              <w:spacing w:before="0" w:after="283"/>
              <w:jc w:val="left"/>
              <w:rPr/>
            </w:pPr>
            <w:r>
              <w:rPr/>
              <w:t>FOREST VIEW PSYCHIATRIC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TEMECULA VALLEY HOSPITAL, INC.</w:t>
            </w:r>
          </w:p>
        </w:tc>
      </w:tr>
      <w:tr>
        <w:trPr/>
        <w:tc>
          <w:tcPr>
            <w:tcW w:w="5102" w:type="dxa"/>
            <w:tcBorders/>
          </w:tcPr>
          <w:p>
            <w:pPr>
              <w:pStyle w:val="TableContents"/>
              <w:bidi w:val="0"/>
              <w:spacing w:before="0" w:after="283"/>
              <w:jc w:val="left"/>
              <w:rPr/>
            </w:pPr>
            <w:r>
              <w:rPr/>
              <w:t>FORT LAUDERDALE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TEMPLE BEHAVIORAL HEALTHCARE HOSPITAL, INC.</w:t>
            </w:r>
          </w:p>
        </w:tc>
      </w:tr>
      <w:tr>
        <w:trPr/>
        <w:tc>
          <w:tcPr>
            <w:tcW w:w="5102" w:type="dxa"/>
            <w:tcBorders/>
          </w:tcPr>
          <w:p>
            <w:pPr>
              <w:pStyle w:val="TableContents"/>
              <w:bidi w:val="0"/>
              <w:spacing w:before="0" w:after="283"/>
              <w:jc w:val="left"/>
              <w:rPr/>
            </w:pPr>
            <w:r>
              <w:rPr/>
              <w:t>FRN,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TEXAS HOSPITAL HOLDINGS, INC.</w:t>
            </w:r>
          </w:p>
        </w:tc>
      </w:tr>
      <w:tr>
        <w:trPr/>
        <w:tc>
          <w:tcPr>
            <w:tcW w:w="5102" w:type="dxa"/>
            <w:tcBorders/>
          </w:tcPr>
          <w:p>
            <w:pPr>
              <w:pStyle w:val="TableContents"/>
              <w:bidi w:val="0"/>
              <w:spacing w:before="0" w:after="283"/>
              <w:jc w:val="left"/>
              <w:rPr/>
            </w:pPr>
            <w:r>
              <w:rPr/>
              <w:t>FRONTLINE BEHAVIORAL HEALTH,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THE ARBOUR, INC.</w:t>
            </w:r>
          </w:p>
        </w:tc>
      </w:tr>
      <w:tr>
        <w:trPr/>
        <w:tc>
          <w:tcPr>
            <w:tcW w:w="5102" w:type="dxa"/>
            <w:tcBorders/>
          </w:tcPr>
          <w:p>
            <w:pPr>
              <w:pStyle w:val="TableContents"/>
              <w:bidi w:val="0"/>
              <w:spacing w:before="0" w:after="283"/>
              <w:jc w:val="left"/>
              <w:rPr/>
            </w:pPr>
            <w:r>
              <w:rPr/>
              <w:t>GREAT PLAINS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TWO RIVERS PSYCHIATRIC HOSPITAL, INC.</w:t>
            </w:r>
          </w:p>
        </w:tc>
      </w:tr>
      <w:tr>
        <w:trPr/>
        <w:tc>
          <w:tcPr>
            <w:tcW w:w="5102" w:type="dxa"/>
            <w:tcBorders/>
          </w:tcPr>
          <w:p>
            <w:pPr>
              <w:pStyle w:val="TableContents"/>
              <w:bidi w:val="0"/>
              <w:spacing w:before="0" w:after="283"/>
              <w:jc w:val="left"/>
              <w:rPr/>
            </w:pPr>
            <w:r>
              <w:rPr/>
              <w:t>GULF COAST TREATMENT CENTER,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UHS CHILDREN SERVICES, INC.</w:t>
            </w:r>
          </w:p>
        </w:tc>
      </w:tr>
      <w:tr>
        <w:trPr/>
        <w:tc>
          <w:tcPr>
            <w:tcW w:w="5102" w:type="dxa"/>
            <w:tcBorders/>
          </w:tcPr>
          <w:p>
            <w:pPr>
              <w:pStyle w:val="TableContents"/>
              <w:bidi w:val="0"/>
              <w:spacing w:before="0" w:after="283"/>
              <w:jc w:val="left"/>
              <w:rPr/>
            </w:pPr>
            <w:r>
              <w:rPr/>
              <w:t>H. C. CORPORATION</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UHS HOLDING COMPANY, INC.</w:t>
            </w:r>
          </w:p>
        </w:tc>
      </w:tr>
      <w:tr>
        <w:trPr/>
        <w:tc>
          <w:tcPr>
            <w:tcW w:w="5102" w:type="dxa"/>
            <w:tcBorders/>
          </w:tcPr>
          <w:p>
            <w:pPr>
              <w:pStyle w:val="TableContents"/>
              <w:bidi w:val="0"/>
              <w:spacing w:before="0" w:after="283"/>
              <w:jc w:val="left"/>
              <w:rPr/>
            </w:pPr>
            <w:r>
              <w:rPr/>
              <w:t>HARBOR POINT BEHAVIORAL HEALTH CENTER,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UHS OF CORNERSTONE, INC.</w:t>
            </w:r>
          </w:p>
        </w:tc>
      </w:tr>
      <w:tr>
        <w:trPr/>
        <w:tc>
          <w:tcPr>
            <w:tcW w:w="5102" w:type="dxa"/>
            <w:tcBorders/>
          </w:tcPr>
          <w:p>
            <w:pPr>
              <w:pStyle w:val="TableContents"/>
              <w:bidi w:val="0"/>
              <w:spacing w:before="0" w:after="283"/>
              <w:jc w:val="left"/>
              <w:rPr/>
            </w:pPr>
            <w:r>
              <w:rPr/>
              <w:t>HAVENWYCK HOSPITAL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UHS OF CORNERSTONE HOLDINGS, INC.</w:t>
            </w:r>
          </w:p>
        </w:tc>
      </w:tr>
      <w:tr>
        <w:trPr/>
        <w:tc>
          <w:tcPr>
            <w:tcW w:w="5102" w:type="dxa"/>
            <w:tcBorders/>
          </w:tcPr>
          <w:p>
            <w:pPr>
              <w:pStyle w:val="TableContents"/>
              <w:bidi w:val="0"/>
              <w:spacing w:before="0" w:after="283"/>
              <w:jc w:val="left"/>
              <w:rPr/>
            </w:pPr>
            <w:r>
              <w:rPr/>
              <w:t>HHC AUGUSTA,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UHS OF D.C., INC.</w:t>
            </w:r>
          </w:p>
        </w:tc>
      </w:tr>
      <w:tr>
        <w:trPr/>
        <w:tc>
          <w:tcPr>
            <w:tcW w:w="5102" w:type="dxa"/>
            <w:tcBorders/>
          </w:tcPr>
          <w:p>
            <w:pPr>
              <w:pStyle w:val="TableContents"/>
              <w:bidi w:val="0"/>
              <w:spacing w:before="0" w:after="283"/>
              <w:jc w:val="left"/>
              <w:rPr/>
            </w:pPr>
            <w:r>
              <w:rPr/>
              <w:t>HHC DELAWARE,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UHS OF DENVER, INC.</w:t>
            </w:r>
          </w:p>
        </w:tc>
      </w:tr>
      <w:tr>
        <w:trPr/>
        <w:tc>
          <w:tcPr>
            <w:tcW w:w="5102" w:type="dxa"/>
            <w:tcBorders/>
          </w:tcPr>
          <w:p>
            <w:pPr>
              <w:pStyle w:val="TableContents"/>
              <w:bidi w:val="0"/>
              <w:spacing w:before="0" w:after="283"/>
              <w:jc w:val="left"/>
              <w:rPr/>
            </w:pPr>
            <w:r>
              <w:rPr/>
              <w:t>HHC INDIANA,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HHC OHIO,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HHC RIVER PARK,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HHC SOUTH CAROLINA,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pPr>
            <w:r>
              <w:rPr/>
              <w:t>HHC ST. SIMONS, INC.</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FAIRMOUNT,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FULLER,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GEORGIA,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GEORGIA HOLDINGS,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HAMPTON,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HARTGROVE,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MADERA,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PARKWOOD,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PENNSYLVANIA,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PROVO CANYON,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PUERTO RICO,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RIVER PARISHES,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SPRING MOUNTAIN,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TEXOMA,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TIMBERLAWN,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TIMPANOGOS,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WESTWOOD PEMBROKE,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OF WYOMING,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 SAHARA,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UHS-CORONA,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UNITED HEALTHCARE OF HARDIN,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OF PALMDALE,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OF RANCHO SPRINGS,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VALLEY HOSPITAL MEDICAL CENTER,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WINDMOOR HEALTHCARE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WINDMOOR HEALTHCARE OF PINELLAS PARK, INC.</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WISCONSIN AVENUE PSYCHIATRIC CENTER, INC.</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Steve Filton</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6"/>
        <w:gridCol w:w="60"/>
        <w:gridCol w:w="3346"/>
      </w:tblGrid>
      <w:tr>
        <w:trPr/>
        <w:tc>
          <w:tcPr>
            <w:tcW w:w="6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AIKEN REGIONAL MEDICAL CENTERS, LLC</w:t>
            </w:r>
          </w:p>
        </w:tc>
      </w:tr>
      <w:tr>
        <w:trPr/>
        <w:tc>
          <w:tcPr>
            <w:tcW w:w="4082" w:type="dxa"/>
            <w:gridSpan w:val="3"/>
            <w:tcBorders/>
          </w:tcPr>
          <w:p>
            <w:pPr>
              <w:pStyle w:val="TableContents"/>
              <w:bidi w:val="0"/>
              <w:spacing w:before="0" w:after="283"/>
              <w:jc w:val="left"/>
              <w:rPr/>
            </w:pPr>
            <w:r>
              <w:rPr/>
              <w:t>LA AMISTAD RESIDENTIAL TREATMENT CENTER, LLC</w:t>
            </w:r>
          </w:p>
        </w:tc>
      </w:tr>
      <w:tr>
        <w:trPr/>
        <w:tc>
          <w:tcPr>
            <w:tcW w:w="4082" w:type="dxa"/>
            <w:gridSpan w:val="3"/>
            <w:tcBorders/>
          </w:tcPr>
          <w:p>
            <w:pPr>
              <w:pStyle w:val="TableContents"/>
              <w:bidi w:val="0"/>
              <w:spacing w:before="0" w:after="283"/>
              <w:jc w:val="left"/>
              <w:rPr/>
            </w:pPr>
            <w:r>
              <w:rPr/>
              <w:t>PALM POINT BEHAVIORAL HEALTH, LLC</w:t>
            </w:r>
          </w:p>
        </w:tc>
      </w:tr>
      <w:tr>
        <w:trPr/>
        <w:tc>
          <w:tcPr>
            <w:tcW w:w="4082" w:type="dxa"/>
            <w:gridSpan w:val="3"/>
            <w:tcBorders/>
          </w:tcPr>
          <w:p>
            <w:pPr>
              <w:pStyle w:val="TableContents"/>
              <w:bidi w:val="0"/>
              <w:spacing w:before="0" w:after="283"/>
              <w:jc w:val="left"/>
              <w:rPr/>
            </w:pPr>
            <w:r>
              <w:rPr/>
              <w:t>TENNESSEE CLINICAL SCHOOLS, LLC</w:t>
            </w:r>
          </w:p>
        </w:tc>
      </w:tr>
      <w:tr>
        <w:trPr/>
        <w:tc>
          <w:tcPr>
            <w:tcW w:w="4082" w:type="dxa"/>
            <w:gridSpan w:val="3"/>
            <w:tcBorders/>
          </w:tcPr>
          <w:p>
            <w:pPr>
              <w:pStyle w:val="TableContents"/>
              <w:bidi w:val="0"/>
              <w:spacing w:before="0" w:after="283"/>
              <w:jc w:val="left"/>
              <w:rPr/>
            </w:pPr>
            <w:r>
              <w:rPr/>
              <w:t>THE BRIDGEWAY, LLC</w:t>
            </w:r>
          </w:p>
        </w:tc>
      </w:tr>
      <w:tr>
        <w:trPr/>
        <w:tc>
          <w:tcPr>
            <w:tcW w:w="4082" w:type="dxa"/>
            <w:gridSpan w:val="3"/>
            <w:tcBorders/>
          </w:tcPr>
          <w:p>
            <w:pPr>
              <w:pStyle w:val="TableContents"/>
              <w:bidi w:val="0"/>
              <w:spacing w:before="0" w:after="283"/>
              <w:jc w:val="left"/>
              <w:rPr/>
            </w:pPr>
            <w:r>
              <w:rPr/>
              <w:t>TURNING POINT CARE CENTER, LLC</w:t>
            </w:r>
          </w:p>
        </w:tc>
      </w:tr>
      <w:tr>
        <w:trPr/>
        <w:tc>
          <w:tcPr>
            <w:tcW w:w="4082" w:type="dxa"/>
            <w:gridSpan w:val="3"/>
            <w:tcBorders/>
          </w:tcPr>
          <w:p>
            <w:pPr>
              <w:pStyle w:val="TableContents"/>
              <w:bidi w:val="0"/>
              <w:spacing w:before="0" w:after="283"/>
              <w:jc w:val="left"/>
              <w:rPr/>
            </w:pPr>
            <w:r>
              <w:rPr/>
              <w:t>UHS OF BENTON, LLC</w:t>
            </w:r>
          </w:p>
        </w:tc>
      </w:tr>
      <w:tr>
        <w:trPr/>
        <w:tc>
          <w:tcPr>
            <w:tcW w:w="4082" w:type="dxa"/>
            <w:gridSpan w:val="3"/>
            <w:tcBorders/>
          </w:tcPr>
          <w:p>
            <w:pPr>
              <w:pStyle w:val="TableContents"/>
              <w:bidi w:val="0"/>
              <w:spacing w:before="0" w:after="283"/>
              <w:jc w:val="left"/>
              <w:rPr/>
            </w:pPr>
            <w:r>
              <w:rPr/>
              <w:t>UHS OF BOWLING GREEN, LLC</w:t>
            </w:r>
          </w:p>
        </w:tc>
      </w:tr>
      <w:tr>
        <w:trPr/>
        <w:tc>
          <w:tcPr>
            <w:tcW w:w="4082" w:type="dxa"/>
            <w:gridSpan w:val="3"/>
            <w:tcBorders/>
          </w:tcPr>
          <w:p>
            <w:pPr>
              <w:pStyle w:val="TableContents"/>
              <w:bidi w:val="0"/>
              <w:spacing w:before="0" w:after="283"/>
              <w:jc w:val="left"/>
              <w:rPr/>
            </w:pPr>
            <w:r>
              <w:rPr/>
              <w:t>UHS OF GREENVILLE, LLC</w:t>
            </w:r>
          </w:p>
        </w:tc>
      </w:tr>
      <w:tr>
        <w:trPr/>
        <w:tc>
          <w:tcPr>
            <w:tcW w:w="4082" w:type="dxa"/>
            <w:gridSpan w:val="3"/>
            <w:tcBorders/>
          </w:tcPr>
          <w:p>
            <w:pPr>
              <w:pStyle w:val="TableContents"/>
              <w:bidi w:val="0"/>
              <w:spacing w:before="0" w:after="283"/>
              <w:jc w:val="left"/>
              <w:rPr/>
            </w:pPr>
            <w:r>
              <w:rPr/>
              <w:t>UHS OF LAKESIDE, LLC</w:t>
            </w:r>
          </w:p>
        </w:tc>
      </w:tr>
      <w:tr>
        <w:trPr/>
        <w:tc>
          <w:tcPr>
            <w:tcW w:w="4082" w:type="dxa"/>
            <w:gridSpan w:val="3"/>
            <w:tcBorders/>
          </w:tcPr>
          <w:p>
            <w:pPr>
              <w:pStyle w:val="TableContents"/>
              <w:bidi w:val="0"/>
              <w:spacing w:before="0" w:after="283"/>
              <w:jc w:val="left"/>
              <w:rPr/>
            </w:pPr>
            <w:r>
              <w:rPr/>
              <w:t>UHS OF PHOENIX, LLC</w:t>
            </w:r>
          </w:p>
        </w:tc>
      </w:tr>
      <w:tr>
        <w:trPr/>
        <w:tc>
          <w:tcPr>
            <w:tcW w:w="4082" w:type="dxa"/>
            <w:gridSpan w:val="3"/>
            <w:tcBorders/>
          </w:tcPr>
          <w:p>
            <w:pPr>
              <w:pStyle w:val="TableContents"/>
              <w:bidi w:val="0"/>
              <w:spacing w:before="0" w:after="283"/>
              <w:jc w:val="left"/>
              <w:rPr/>
            </w:pPr>
            <w:r>
              <w:rPr/>
              <w:t>UHS OF RIDGE, LLC</w:t>
            </w:r>
          </w:p>
        </w:tc>
      </w:tr>
      <w:tr>
        <w:trPr/>
        <w:tc>
          <w:tcPr>
            <w:tcW w:w="4082" w:type="dxa"/>
            <w:gridSpan w:val="3"/>
            <w:tcBorders/>
          </w:tcPr>
          <w:p>
            <w:pPr>
              <w:pStyle w:val="TableContents"/>
              <w:bidi w:val="0"/>
              <w:spacing w:before="0" w:after="283"/>
              <w:jc w:val="left"/>
              <w:rPr/>
            </w:pPr>
            <w:r>
              <w:rPr/>
              <w:t>UHS OF ROCKFORD, LLC</w:t>
            </w:r>
          </w:p>
        </w:tc>
      </w:tr>
      <w:tr>
        <w:trPr/>
        <w:tc>
          <w:tcPr>
            <w:tcW w:w="4082" w:type="dxa"/>
            <w:gridSpan w:val="3"/>
            <w:tcBorders/>
          </w:tcPr>
          <w:p>
            <w:pPr>
              <w:pStyle w:val="TableContents"/>
              <w:bidi w:val="0"/>
              <w:spacing w:before="0" w:after="283"/>
              <w:jc w:val="left"/>
              <w:rPr/>
            </w:pPr>
            <w:r>
              <w:rPr/>
              <w:t>UHS OF TUCSON, LLC</w:t>
            </w:r>
          </w:p>
        </w:tc>
      </w:tr>
      <w:tr>
        <w:trPr/>
        <w:tc>
          <w:tcPr>
            <w:tcW w:w="4082" w:type="dxa"/>
            <w:gridSpan w:val="3"/>
            <w:tcBorders/>
          </w:tcPr>
          <w:p>
            <w:pPr>
              <w:pStyle w:val="TableContents"/>
              <w:bidi w:val="0"/>
              <w:spacing w:before="0" w:after="283"/>
              <w:jc w:val="left"/>
              <w:rPr/>
            </w:pPr>
            <w:r>
              <w:rPr/>
              <w:t>UHS SUB III, LLC</w:t>
            </w:r>
          </w:p>
        </w:tc>
      </w:tr>
      <w:tr>
        <w:trPr/>
        <w:tc>
          <w:tcPr>
            <w:tcW w:w="4082" w:type="dxa"/>
            <w:gridSpan w:val="3"/>
            <w:tcBorders/>
          </w:tcPr>
          <w:p>
            <w:pPr>
              <w:pStyle w:val="TableContents"/>
              <w:bidi w:val="0"/>
              <w:spacing w:before="0" w:after="283"/>
              <w:jc w:val="left"/>
              <w:rPr/>
            </w:pPr>
            <w:r>
              <w:rPr/>
              <w:t>UHSD, LLC</w:t>
            </w:r>
          </w:p>
        </w:tc>
      </w:tr>
      <w:tr>
        <w:trPr/>
        <w:tc>
          <w:tcPr>
            <w:tcW w:w="4082" w:type="dxa"/>
            <w:gridSpan w:val="3"/>
            <w:tcBorders/>
          </w:tcPr>
          <w:p>
            <w:pPr>
              <w:pStyle w:val="TableContents"/>
              <w:bidi w:val="0"/>
              <w:spacing w:before="0" w:after="283"/>
              <w:jc w:val="left"/>
              <w:rPr/>
            </w:pPr>
            <w:r>
              <w:rPr/>
              <w:t>WELLINGTON REGIONAL MEDICAL CENTER,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Universal Health Services,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6" w:type="dxa"/>
            <w:tcBorders/>
            <w:vAlign w:val="center"/>
          </w:tcPr>
          <w:p>
            <w:pPr>
              <w:pStyle w:val="TableContents"/>
              <w:bidi w:val="0"/>
              <w:spacing w:before="0" w:after="283"/>
              <w:jc w:val="left"/>
              <w:rPr>
                <w:sz w:val="4"/>
                <w:szCs w:val="4"/>
              </w:rPr>
            </w:pPr>
            <w:r>
              <w:rPr>
                <w:sz w:val="4"/>
                <w:szCs w:val="4"/>
              </w:rPr>
            </w:r>
          </w:p>
        </w:tc>
        <w:tc>
          <w:tcPr>
            <w:tcW w:w="3406" w:type="dxa"/>
            <w:gridSpan w:val="2"/>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4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6" w:type="dxa"/>
            <w:tcBorders/>
          </w:tcPr>
          <w:p>
            <w:pPr>
              <w:pStyle w:val="TableContents"/>
              <w:bidi w:val="0"/>
              <w:spacing w:before="0" w:after="283"/>
              <w:jc w:val="left"/>
              <w:rPr/>
            </w:pPr>
            <w:r>
              <w:rPr/>
              <w:t>Steve Filton</w:t>
            </w:r>
          </w:p>
        </w:tc>
      </w:tr>
      <w:tr>
        <w:trPr/>
        <w:tc>
          <w:tcPr>
            <w:tcW w:w="67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6" w:type="dxa"/>
            <w:tcBorders/>
          </w:tcPr>
          <w:p>
            <w:pPr>
              <w:pStyle w:val="TableContents"/>
              <w:bidi w:val="0"/>
              <w:spacing w:before="0" w:after="283"/>
              <w:jc w:val="left"/>
              <w:rPr/>
            </w:pPr>
            <w:r>
              <w:rPr/>
              <w:t>Executive Vice President, Secretary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FORT DUNCAN MEDICAL CENTER,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Fort Duncan Medical Center, Inc.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03"/>
        <w:gridCol w:w="60"/>
        <w:gridCol w:w="3319"/>
      </w:tblGrid>
      <w:tr>
        <w:trPr/>
        <w:tc>
          <w:tcPr>
            <w:tcW w:w="70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FRONTLINE HOSPITAL, LLC</w:t>
            </w:r>
          </w:p>
        </w:tc>
      </w:tr>
      <w:tr>
        <w:trPr/>
        <w:tc>
          <w:tcPr>
            <w:tcW w:w="4082" w:type="dxa"/>
            <w:gridSpan w:val="3"/>
            <w:tcBorders/>
          </w:tcPr>
          <w:p>
            <w:pPr>
              <w:pStyle w:val="TableContents"/>
              <w:bidi w:val="0"/>
              <w:spacing w:before="0" w:after="283"/>
              <w:jc w:val="left"/>
              <w:rPr/>
            </w:pPr>
            <w:r>
              <w:rPr/>
              <w:t>FRONTLINE RESIDENTIAL TREATMENT CENTER,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Frontline Behavioral Health,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703" w:type="dxa"/>
            <w:tcBorders/>
            <w:vAlign w:val="center"/>
          </w:tcPr>
          <w:p>
            <w:pPr>
              <w:pStyle w:val="TableContents"/>
              <w:bidi w:val="0"/>
              <w:spacing w:before="0" w:after="283"/>
              <w:jc w:val="left"/>
              <w:rPr>
                <w:sz w:val="4"/>
                <w:szCs w:val="4"/>
              </w:rPr>
            </w:pPr>
            <w:r>
              <w:rPr>
                <w:sz w:val="4"/>
                <w:szCs w:val="4"/>
              </w:rPr>
            </w:r>
          </w:p>
        </w:tc>
        <w:tc>
          <w:tcPr>
            <w:tcW w:w="3379" w:type="dxa"/>
            <w:gridSpan w:val="2"/>
            <w:tcBorders/>
            <w:vAlign w:val="center"/>
          </w:tcPr>
          <w:p>
            <w:pPr>
              <w:pStyle w:val="TableContents"/>
              <w:bidi w:val="0"/>
              <w:spacing w:before="0" w:after="283"/>
              <w:jc w:val="left"/>
              <w:rPr>
                <w:sz w:val="4"/>
                <w:szCs w:val="4"/>
              </w:rPr>
            </w:pPr>
            <w:r>
              <w:rPr>
                <w:sz w:val="4"/>
                <w:szCs w:val="4"/>
              </w:rPr>
            </w:r>
          </w:p>
        </w:tc>
      </w:tr>
      <w:tr>
        <w:trPr/>
        <w:tc>
          <w:tcPr>
            <w:tcW w:w="70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70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9" w:type="dxa"/>
            <w:tcBorders/>
          </w:tcPr>
          <w:p>
            <w:pPr>
              <w:pStyle w:val="TableContents"/>
              <w:bidi w:val="0"/>
              <w:spacing w:before="0" w:after="283"/>
              <w:jc w:val="left"/>
              <w:rPr/>
            </w:pPr>
            <w:r>
              <w:rPr/>
              <w:t>Steve Filton</w:t>
            </w:r>
          </w:p>
        </w:tc>
      </w:tr>
      <w:tr>
        <w:trPr/>
        <w:tc>
          <w:tcPr>
            <w:tcW w:w="70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9"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KEYS GROUP HOLDINGS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Children Services,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KEYSTONE/CCS PARTNERS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Children’s Comprehensive Services, Inc.</w:t>
            </w:r>
          </w:p>
        </w:tc>
      </w:tr>
      <w:tr>
        <w:trPr/>
        <w:tc>
          <w:tcPr>
            <w:tcW w:w="4082" w:type="dxa"/>
            <w:gridSpan w:val="3"/>
            <w:tcBorders/>
          </w:tcPr>
          <w:p>
            <w:pPr>
              <w:pStyle w:val="TableContents"/>
              <w:bidi w:val="0"/>
              <w:spacing w:before="0" w:after="283"/>
              <w:jc w:val="left"/>
              <w:rPr/>
            </w:pPr>
            <w:r>
              <w:rPr/>
              <w:t>Its Minority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KEYS Group Holdings LLC</w:t>
            </w:r>
          </w:p>
        </w:tc>
      </w:tr>
      <w:tr>
        <w:trPr/>
        <w:tc>
          <w:tcPr>
            <w:tcW w:w="4082" w:type="dxa"/>
            <w:gridSpan w:val="3"/>
            <w:tcBorders/>
          </w:tcPr>
          <w:p>
            <w:pPr>
              <w:pStyle w:val="TableContents"/>
              <w:bidi w:val="0"/>
              <w:spacing w:before="0" w:after="283"/>
              <w:jc w:val="left"/>
              <w:rPr/>
            </w:pPr>
            <w:r>
              <w:rPr/>
              <w:t>Its Managing Member and sole member of the minority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UHS Children Services,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4"/>
        <w:gridCol w:w="60"/>
        <w:gridCol w:w="3338"/>
      </w:tblGrid>
      <w:tr>
        <w:trPr/>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KEYSTONE CONTINUUM, LLC</w:t>
            </w:r>
          </w:p>
        </w:tc>
      </w:tr>
      <w:tr>
        <w:trPr/>
        <w:tc>
          <w:tcPr>
            <w:tcW w:w="4082" w:type="dxa"/>
            <w:gridSpan w:val="3"/>
            <w:tcBorders/>
          </w:tcPr>
          <w:p>
            <w:pPr>
              <w:pStyle w:val="TableContents"/>
              <w:bidi w:val="0"/>
              <w:spacing w:before="0" w:after="283"/>
              <w:jc w:val="left"/>
              <w:rPr/>
            </w:pPr>
            <w:r>
              <w:rPr/>
              <w:t>KEYSTONE NPS LLC</w:t>
            </w:r>
          </w:p>
        </w:tc>
      </w:tr>
      <w:tr>
        <w:trPr/>
        <w:tc>
          <w:tcPr>
            <w:tcW w:w="4082" w:type="dxa"/>
            <w:gridSpan w:val="3"/>
            <w:tcBorders/>
          </w:tcPr>
          <w:p>
            <w:pPr>
              <w:pStyle w:val="TableContents"/>
              <w:bidi w:val="0"/>
              <w:spacing w:before="0" w:after="283"/>
              <w:jc w:val="left"/>
              <w:rPr/>
            </w:pPr>
            <w:r>
              <w:rPr/>
              <w:t>KEYSTONE RICHLAND CENTER,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Keystone/CCS Partners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Children’s Comprehensive Services,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minority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KEYS Group Holdings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managing member and sole member of the minority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UHS Children Services,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8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8" w:type="dxa"/>
            <w:tcBorders/>
          </w:tcPr>
          <w:p>
            <w:pPr>
              <w:pStyle w:val="TableContents"/>
              <w:bidi w:val="0"/>
              <w:spacing w:before="0" w:after="283"/>
              <w:jc w:val="left"/>
              <w:rPr/>
            </w:pPr>
            <w:r>
              <w:rPr/>
              <w:t>Steve Filton</w:t>
            </w:r>
          </w:p>
        </w:tc>
      </w:tr>
      <w:tr>
        <w:trPr/>
        <w:tc>
          <w:tcPr>
            <w:tcW w:w="68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8"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KEYSTONE EDUCATION AND YOUTH SERVICES,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KEYS Group Holdings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UHS Children Services,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KEYSTONE MARION, LLC</w:t>
            </w:r>
          </w:p>
        </w:tc>
      </w:tr>
      <w:tr>
        <w:trPr/>
        <w:tc>
          <w:tcPr>
            <w:tcW w:w="4082" w:type="dxa"/>
            <w:gridSpan w:val="3"/>
            <w:tcBorders/>
          </w:tcPr>
          <w:p>
            <w:pPr>
              <w:pStyle w:val="TableContents"/>
              <w:bidi w:val="0"/>
              <w:spacing w:before="0" w:after="283"/>
              <w:jc w:val="left"/>
              <w:rPr/>
            </w:pPr>
            <w:r>
              <w:rPr/>
              <w:t>KEYSTONE MEMPHIS, LLC</w:t>
            </w:r>
          </w:p>
        </w:tc>
      </w:tr>
      <w:tr>
        <w:trPr/>
        <w:tc>
          <w:tcPr>
            <w:tcW w:w="4082" w:type="dxa"/>
            <w:gridSpan w:val="3"/>
            <w:tcBorders/>
          </w:tcPr>
          <w:p>
            <w:pPr>
              <w:pStyle w:val="TableContents"/>
              <w:bidi w:val="0"/>
              <w:spacing w:before="0" w:after="283"/>
              <w:jc w:val="left"/>
              <w:rPr/>
            </w:pPr>
            <w:r>
              <w:rPr/>
              <w:t>KEYSTONE NEWPORT NEWS, LLC</w:t>
            </w:r>
          </w:p>
        </w:tc>
      </w:tr>
      <w:tr>
        <w:trPr/>
        <w:tc>
          <w:tcPr>
            <w:tcW w:w="4082" w:type="dxa"/>
            <w:gridSpan w:val="3"/>
            <w:tcBorders/>
          </w:tcPr>
          <w:p>
            <w:pPr>
              <w:pStyle w:val="TableContents"/>
              <w:bidi w:val="0"/>
              <w:spacing w:before="0" w:after="283"/>
              <w:jc w:val="left"/>
              <w:rPr/>
            </w:pPr>
            <w:r>
              <w:rPr/>
              <w:t>KEYSTONE WSNC,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Keystone Education and Youth Services,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KEYS Group Holdings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UHS Children Services,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MANATEE MEMORIAL HOSPITAL,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Wellington Regional Medical Center,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Universal Health Services,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Steve Filton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 Secretary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MCALLEN HOSPITALS,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McAllen Medical Center, Inc.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PENDLETON METHODIST HOSPITAL,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River Parishes, Inc.</w:t>
            </w:r>
          </w:p>
        </w:tc>
      </w:tr>
      <w:tr>
        <w:trPr/>
        <w:tc>
          <w:tcPr>
            <w:tcW w:w="4082" w:type="dxa"/>
            <w:gridSpan w:val="3"/>
            <w:tcBorders/>
          </w:tcPr>
          <w:p>
            <w:pPr>
              <w:pStyle w:val="TableContents"/>
              <w:bidi w:val="0"/>
              <w:spacing w:before="0" w:after="283"/>
              <w:jc w:val="left"/>
              <w:rPr/>
            </w:pPr>
            <w:r>
              <w:rPr/>
              <w:t>Its managing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GULPH MILLS ASSOCIATES, LLC</w:t>
            </w:r>
          </w:p>
        </w:tc>
      </w:tr>
      <w:tr>
        <w:trPr/>
        <w:tc>
          <w:tcPr>
            <w:tcW w:w="4082" w:type="dxa"/>
            <w:gridSpan w:val="3"/>
            <w:tcBorders/>
          </w:tcPr>
          <w:p>
            <w:pPr>
              <w:pStyle w:val="TableContents"/>
              <w:bidi w:val="0"/>
              <w:spacing w:before="0" w:after="283"/>
              <w:jc w:val="left"/>
              <w:rPr/>
            </w:pPr>
            <w:r>
              <w:rPr/>
              <w:t>TBD ACQUISITION II, LLC</w:t>
            </w:r>
          </w:p>
        </w:tc>
      </w:tr>
      <w:tr>
        <w:trPr/>
        <w:tc>
          <w:tcPr>
            <w:tcW w:w="4082" w:type="dxa"/>
            <w:gridSpan w:val="3"/>
            <w:tcBorders/>
          </w:tcPr>
          <w:p>
            <w:pPr>
              <w:pStyle w:val="TableContents"/>
              <w:bidi w:val="0"/>
              <w:spacing w:before="0" w:after="283"/>
              <w:jc w:val="left"/>
              <w:rPr/>
            </w:pPr>
            <w:r>
              <w:rPr/>
              <w:t>UHS KENTUCKY HOLDINGS, L.L.C.</w:t>
            </w:r>
          </w:p>
        </w:tc>
      </w:tr>
      <w:tr>
        <w:trPr/>
        <w:tc>
          <w:tcPr>
            <w:tcW w:w="4082" w:type="dxa"/>
            <w:gridSpan w:val="3"/>
            <w:tcBorders/>
          </w:tcPr>
          <w:p>
            <w:pPr>
              <w:pStyle w:val="TableContents"/>
              <w:bidi w:val="0"/>
              <w:spacing w:before="0" w:after="283"/>
              <w:jc w:val="left"/>
              <w:rPr/>
            </w:pPr>
            <w:r>
              <w:rPr/>
              <w:t>UHS OF LANCASTER, LLC</w:t>
            </w:r>
          </w:p>
        </w:tc>
      </w:tr>
      <w:tr>
        <w:trPr/>
        <w:tc>
          <w:tcPr>
            <w:tcW w:w="4082" w:type="dxa"/>
            <w:gridSpan w:val="3"/>
            <w:tcBorders/>
          </w:tcPr>
          <w:p>
            <w:pPr>
              <w:pStyle w:val="TableContents"/>
              <w:bidi w:val="0"/>
              <w:spacing w:before="0" w:after="283"/>
              <w:jc w:val="left"/>
              <w:rPr/>
            </w:pPr>
            <w:r>
              <w:rPr/>
              <w:t>UHS OF NEW ORLEANS, LLC</w:t>
            </w:r>
          </w:p>
        </w:tc>
      </w:tr>
      <w:tr>
        <w:trPr/>
        <w:tc>
          <w:tcPr>
            <w:tcW w:w="4082" w:type="dxa"/>
            <w:gridSpan w:val="3"/>
            <w:tcBorders/>
          </w:tcPr>
          <w:p>
            <w:pPr>
              <w:pStyle w:val="TableContents"/>
              <w:bidi w:val="0"/>
              <w:spacing w:before="0" w:after="283"/>
              <w:jc w:val="left"/>
              <w:rPr/>
            </w:pPr>
            <w:r>
              <w:rPr/>
              <w:t>UHS OF OKLAHOMA, LLC</w:t>
            </w:r>
          </w:p>
        </w:tc>
      </w:tr>
      <w:tr>
        <w:trPr/>
        <w:tc>
          <w:tcPr>
            <w:tcW w:w="4082" w:type="dxa"/>
            <w:gridSpan w:val="3"/>
            <w:tcBorders/>
          </w:tcPr>
          <w:p>
            <w:pPr>
              <w:pStyle w:val="TableContents"/>
              <w:bidi w:val="0"/>
              <w:spacing w:before="0" w:after="283"/>
              <w:jc w:val="left"/>
              <w:rPr/>
            </w:pPr>
            <w:r>
              <w:rPr/>
              <w:t>UHSL, L.L.C.</w:t>
            </w:r>
          </w:p>
        </w:tc>
      </w:tr>
      <w:tr>
        <w:trPr/>
        <w:tc>
          <w:tcPr>
            <w:tcW w:w="4082" w:type="dxa"/>
            <w:gridSpan w:val="3"/>
            <w:tcBorders/>
          </w:tcPr>
          <w:p>
            <w:pPr>
              <w:pStyle w:val="TableContents"/>
              <w:bidi w:val="0"/>
              <w:spacing w:before="0" w:after="283"/>
              <w:jc w:val="left"/>
              <w:rPr/>
            </w:pPr>
            <w:r>
              <w:rPr/>
              <w:t>AZ HOLDING 4, LLC</w:t>
            </w:r>
          </w:p>
        </w:tc>
      </w:tr>
      <w:tr>
        <w:trPr/>
        <w:tc>
          <w:tcPr>
            <w:tcW w:w="4082" w:type="dxa"/>
            <w:gridSpan w:val="3"/>
            <w:tcBorders/>
          </w:tcPr>
          <w:p>
            <w:pPr>
              <w:pStyle w:val="TableContents"/>
              <w:bidi w:val="0"/>
              <w:spacing w:before="0" w:after="283"/>
              <w:jc w:val="left"/>
              <w:rPr/>
            </w:pPr>
            <w:r>
              <w:rPr/>
              <w:t>UHS MIDWEST BEHAVIORAL HEALTH, LLC</w:t>
            </w:r>
          </w:p>
        </w:tc>
      </w:tr>
      <w:tr>
        <w:trPr/>
        <w:tc>
          <w:tcPr>
            <w:tcW w:w="4082" w:type="dxa"/>
            <w:gridSpan w:val="3"/>
            <w:tcBorders/>
          </w:tcPr>
          <w:p>
            <w:pPr>
              <w:pStyle w:val="TableContents"/>
              <w:bidi w:val="0"/>
              <w:spacing w:before="0" w:after="283"/>
              <w:jc w:val="left"/>
              <w:rPr/>
            </w:pPr>
            <w:r>
              <w:rPr/>
              <w:t>RIVERSIDE MEDICAL CLINIC PATIENT SERVICES,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Delaware,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Steve Filton</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Executive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7"/>
        <w:gridCol w:w="61"/>
        <w:gridCol w:w="3344"/>
      </w:tblGrid>
      <w:tr>
        <w:trPr/>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ANCHOR, L.P.</w:t>
            </w:r>
          </w:p>
        </w:tc>
      </w:tr>
      <w:tr>
        <w:trPr/>
        <w:tc>
          <w:tcPr>
            <w:tcW w:w="4082" w:type="dxa"/>
            <w:gridSpan w:val="3"/>
            <w:tcBorders/>
          </w:tcPr>
          <w:p>
            <w:pPr>
              <w:pStyle w:val="TableContents"/>
              <w:bidi w:val="0"/>
              <w:spacing w:before="0" w:after="283"/>
              <w:jc w:val="left"/>
              <w:rPr/>
            </w:pPr>
            <w:r>
              <w:rPr/>
              <w:t>UHS OF LAUREL HEIGHTS, L.P.</w:t>
            </w:r>
          </w:p>
        </w:tc>
      </w:tr>
      <w:tr>
        <w:trPr/>
        <w:tc>
          <w:tcPr>
            <w:tcW w:w="4082" w:type="dxa"/>
            <w:gridSpan w:val="3"/>
            <w:tcBorders/>
          </w:tcPr>
          <w:p>
            <w:pPr>
              <w:pStyle w:val="TableContents"/>
              <w:bidi w:val="0"/>
              <w:spacing w:before="0" w:after="283"/>
              <w:jc w:val="left"/>
              <w:rPr/>
            </w:pPr>
            <w:r>
              <w:rPr/>
              <w:t>UHS OF PEACHFORD,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Georgia, Inc.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77" w:type="dxa"/>
            <w:tcBorders/>
            <w:vAlign w:val="center"/>
          </w:tcPr>
          <w:p>
            <w:pPr>
              <w:pStyle w:val="TableContents"/>
              <w:bidi w:val="0"/>
              <w:spacing w:before="0" w:after="283"/>
              <w:jc w:val="left"/>
              <w:rPr>
                <w:sz w:val="4"/>
                <w:szCs w:val="4"/>
              </w:rPr>
            </w:pPr>
            <w:r>
              <w:rPr>
                <w:sz w:val="4"/>
                <w:szCs w:val="4"/>
              </w:rPr>
            </w:r>
          </w:p>
        </w:tc>
        <w:tc>
          <w:tcPr>
            <w:tcW w:w="3405"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7"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4" w:type="dxa"/>
            <w:tcBorders/>
          </w:tcPr>
          <w:p>
            <w:pPr>
              <w:pStyle w:val="TableContents"/>
              <w:bidi w:val="0"/>
              <w:spacing w:before="0" w:after="283"/>
              <w:jc w:val="left"/>
              <w:rPr/>
            </w:pPr>
            <w:r>
              <w:rPr/>
              <w:t>Steve Filton</w:t>
            </w:r>
          </w:p>
        </w:tc>
      </w:tr>
      <w:tr>
        <w:trPr/>
        <w:tc>
          <w:tcPr>
            <w:tcW w:w="677"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4"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4"/>
        <w:gridCol w:w="60"/>
        <w:gridCol w:w="3338"/>
      </w:tblGrid>
      <w:tr>
        <w:trPr/>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CENTENNIAL PEAKS,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Denver,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8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8" w:type="dxa"/>
            <w:tcBorders/>
          </w:tcPr>
          <w:p>
            <w:pPr>
              <w:pStyle w:val="TableContents"/>
              <w:bidi w:val="0"/>
              <w:spacing w:before="0" w:after="283"/>
              <w:jc w:val="left"/>
              <w:rPr/>
            </w:pPr>
            <w:r>
              <w:rPr/>
              <w:t>Steve Filton</w:t>
            </w:r>
          </w:p>
        </w:tc>
      </w:tr>
      <w:tr>
        <w:trPr/>
        <w:tc>
          <w:tcPr>
            <w:tcW w:w="68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8"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DOVER,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Rockford,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Universal Health Services,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Steve Filton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Executive Vice President, Secretary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DOYLESTOWN,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Pennsylvania,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Steve Filton</w:t>
            </w:r>
          </w:p>
        </w:tc>
      </w:tr>
      <w:tr>
        <w:trPr/>
        <w:tc>
          <w:tcPr>
            <w:tcW w:w="6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SALT LAKE CITY,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Provo Canyon,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SAVANNAH,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Georgia Holdings,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SPRINGWOODS, L.L.C.</w:t>
            </w:r>
          </w:p>
        </w:tc>
      </w:tr>
      <w:tr>
        <w:trPr/>
        <w:tc>
          <w:tcPr>
            <w:tcW w:w="4082" w:type="dxa"/>
            <w:gridSpan w:val="3"/>
            <w:tcBorders/>
          </w:tcPr>
          <w:p>
            <w:pPr>
              <w:pStyle w:val="TableContents"/>
              <w:bidi w:val="0"/>
              <w:spacing w:before="0" w:after="283"/>
              <w:jc w:val="left"/>
              <w:rPr/>
            </w:pPr>
            <w:r>
              <w:rPr/>
              <w:t>UHS OKLAHOMA CITY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New Orleans,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UHS of Delaware,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Steve Filton</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Executive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SUMMITRIDGE,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Peachford, L.P.</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UHS of Georgia,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Steve Filton</w:t>
            </w:r>
          </w:p>
        </w:tc>
      </w:tr>
      <w:tr>
        <w:trPr/>
        <w:tc>
          <w:tcPr>
            <w:tcW w:w="6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PSYCHIATRIC SOLUTIONS HOSPITALS,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Psychiatric Solutions,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Steve Filton</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87"/>
        <w:gridCol w:w="62"/>
        <w:gridCol w:w="3233"/>
      </w:tblGrid>
      <w:tr>
        <w:trPr/>
        <w:tc>
          <w:tcPr>
            <w:tcW w:w="787"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DIAMOND GROVE CENTER, LLC</w:t>
            </w:r>
          </w:p>
        </w:tc>
      </w:tr>
      <w:tr>
        <w:trPr/>
        <w:tc>
          <w:tcPr>
            <w:tcW w:w="4082" w:type="dxa"/>
            <w:gridSpan w:val="3"/>
            <w:tcBorders/>
          </w:tcPr>
          <w:p>
            <w:pPr>
              <w:pStyle w:val="TableContents"/>
              <w:bidi w:val="0"/>
              <w:spacing w:before="0" w:after="283"/>
              <w:jc w:val="left"/>
              <w:rPr/>
            </w:pPr>
            <w:r>
              <w:rPr/>
              <w:t>KMI ACQUISITION, LLC</w:t>
            </w:r>
          </w:p>
        </w:tc>
      </w:tr>
      <w:tr>
        <w:trPr/>
        <w:tc>
          <w:tcPr>
            <w:tcW w:w="4082" w:type="dxa"/>
            <w:gridSpan w:val="3"/>
            <w:tcBorders/>
          </w:tcPr>
          <w:p>
            <w:pPr>
              <w:pStyle w:val="TableContents"/>
              <w:bidi w:val="0"/>
              <w:spacing w:before="0" w:after="283"/>
              <w:jc w:val="left"/>
              <w:rPr/>
            </w:pPr>
            <w:r>
              <w:rPr/>
              <w:t>LIBERTY POINT BEHAVIORAL HEALTHCARE, LLC</w:t>
            </w:r>
          </w:p>
        </w:tc>
      </w:tr>
      <w:tr>
        <w:trPr/>
        <w:tc>
          <w:tcPr>
            <w:tcW w:w="4082" w:type="dxa"/>
            <w:gridSpan w:val="3"/>
            <w:tcBorders/>
          </w:tcPr>
          <w:p>
            <w:pPr>
              <w:pStyle w:val="TableContents"/>
              <w:bidi w:val="0"/>
              <w:spacing w:before="0" w:after="283"/>
              <w:jc w:val="left"/>
              <w:rPr/>
            </w:pPr>
            <w:r>
              <w:rPr/>
              <w:t>PSJ ACQUISITION, LLC</w:t>
            </w:r>
          </w:p>
        </w:tc>
      </w:tr>
      <w:tr>
        <w:trPr/>
        <w:tc>
          <w:tcPr>
            <w:tcW w:w="4082" w:type="dxa"/>
            <w:gridSpan w:val="3"/>
            <w:tcBorders/>
          </w:tcPr>
          <w:p>
            <w:pPr>
              <w:pStyle w:val="TableContents"/>
              <w:bidi w:val="0"/>
              <w:spacing w:before="0" w:after="283"/>
              <w:jc w:val="left"/>
              <w:rPr/>
            </w:pPr>
            <w:r>
              <w:rPr/>
              <w:t>SHADOW MOUNTAIN BEHAVIORAL HEALTH SYSTEM, LLC</w:t>
            </w:r>
          </w:p>
        </w:tc>
      </w:tr>
      <w:tr>
        <w:trPr/>
        <w:tc>
          <w:tcPr>
            <w:tcW w:w="4082" w:type="dxa"/>
            <w:gridSpan w:val="3"/>
            <w:tcBorders/>
          </w:tcPr>
          <w:p>
            <w:pPr>
              <w:pStyle w:val="TableContents"/>
              <w:bidi w:val="0"/>
              <w:spacing w:before="0" w:after="283"/>
              <w:jc w:val="left"/>
              <w:rPr/>
            </w:pPr>
            <w:r>
              <w:rPr/>
              <w:t>SUNSTONE BEHAVIORAL HEALTH, LLC</w:t>
            </w:r>
          </w:p>
        </w:tc>
      </w:tr>
      <w:tr>
        <w:trPr/>
        <w:tc>
          <w:tcPr>
            <w:tcW w:w="4082" w:type="dxa"/>
            <w:gridSpan w:val="3"/>
            <w:tcBorders/>
          </w:tcPr>
          <w:p>
            <w:pPr>
              <w:pStyle w:val="TableContents"/>
              <w:bidi w:val="0"/>
              <w:spacing w:before="0" w:after="283"/>
              <w:jc w:val="left"/>
              <w:rPr/>
            </w:pPr>
            <w:r>
              <w:rPr/>
              <w:t>TBD ACQUISITION,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Psychiatric Solutions Hospitals,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Psychiatric Solutions,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787" w:type="dxa"/>
            <w:tcBorders/>
            <w:vAlign w:val="center"/>
          </w:tcPr>
          <w:p>
            <w:pPr>
              <w:pStyle w:val="TableContents"/>
              <w:bidi w:val="0"/>
              <w:spacing w:before="0" w:after="283"/>
              <w:jc w:val="left"/>
              <w:rPr>
                <w:sz w:val="4"/>
                <w:szCs w:val="4"/>
              </w:rPr>
            </w:pPr>
            <w:r>
              <w:rPr>
                <w:sz w:val="4"/>
                <w:szCs w:val="4"/>
              </w:rPr>
            </w:r>
          </w:p>
        </w:tc>
        <w:tc>
          <w:tcPr>
            <w:tcW w:w="329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tcPr>
          <w:p>
            <w:pPr>
              <w:pStyle w:val="TableContents"/>
              <w:bidi w:val="0"/>
              <w:spacing w:before="0" w:after="283"/>
              <w:jc w:val="left"/>
              <w:rPr/>
            </w:pPr>
            <w:r>
              <w:rPr/>
              <w:t>By:</w:t>
            </w:r>
          </w:p>
        </w:tc>
        <w:tc>
          <w:tcPr>
            <w:tcW w:w="62" w:type="dxa"/>
            <w:tcBorders/>
            <w:vAlign w:val="bottom"/>
          </w:tcPr>
          <w:p>
            <w:pPr>
              <w:pStyle w:val="TableContents"/>
              <w:bidi w:val="0"/>
              <w:spacing w:before="0" w:after="283"/>
              <w:jc w:val="left"/>
              <w:rPr/>
            </w:pPr>
            <w:r>
              <w:rPr/>
              <w:t> </w:t>
            </w:r>
          </w:p>
        </w:tc>
        <w:tc>
          <w:tcPr>
            <w:tcW w:w="32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787" w:type="dxa"/>
            <w:tcBorders/>
          </w:tcPr>
          <w:p>
            <w:pPr>
              <w:pStyle w:val="TableContents"/>
              <w:bidi w:val="0"/>
              <w:spacing w:before="0" w:after="283"/>
              <w:jc w:val="left"/>
              <w:rPr/>
            </w:pPr>
            <w:r>
              <w:rPr/>
              <w:t>Name:</w:t>
            </w:r>
          </w:p>
        </w:tc>
        <w:tc>
          <w:tcPr>
            <w:tcW w:w="62"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Steve Filton</w:t>
            </w:r>
          </w:p>
        </w:tc>
      </w:tr>
      <w:tr>
        <w:trPr/>
        <w:tc>
          <w:tcPr>
            <w:tcW w:w="787" w:type="dxa"/>
            <w:tcBorders/>
          </w:tcPr>
          <w:p>
            <w:pPr>
              <w:pStyle w:val="TableContents"/>
              <w:bidi w:val="0"/>
              <w:spacing w:before="0" w:after="283"/>
              <w:jc w:val="left"/>
              <w:rPr/>
            </w:pPr>
            <w:r>
              <w:rPr/>
              <w:t>Title:</w:t>
            </w:r>
          </w:p>
        </w:tc>
        <w:tc>
          <w:tcPr>
            <w:tcW w:w="62" w:type="dxa"/>
            <w:tcBorders/>
            <w:vAlign w:val="bottom"/>
          </w:tcPr>
          <w:p>
            <w:pPr>
              <w:pStyle w:val="TableContents"/>
              <w:bidi w:val="0"/>
              <w:spacing w:before="0" w:after="283"/>
              <w:jc w:val="left"/>
              <w:rPr/>
            </w:pPr>
            <w:r>
              <w:rPr/>
              <w:t> </w:t>
            </w:r>
          </w:p>
        </w:tc>
        <w:tc>
          <w:tcPr>
            <w:tcW w:w="3233"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75"/>
        <w:gridCol w:w="437"/>
        <w:gridCol w:w="1528"/>
        <w:gridCol w:w="590"/>
        <w:gridCol w:w="60"/>
        <w:gridCol w:w="892"/>
      </w:tblGrid>
      <w:tr>
        <w:trPr/>
        <w:tc>
          <w:tcPr>
            <w:tcW w:w="575"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2" w:type="dxa"/>
            <w:gridSpan w:val="3"/>
            <w:tcBorders/>
          </w:tcPr>
          <w:p>
            <w:pPr>
              <w:pStyle w:val="TableContents"/>
              <w:bidi w:val="0"/>
              <w:spacing w:before="0" w:after="283"/>
              <w:jc w:val="left"/>
              <w:rPr>
                <w:sz w:val="4"/>
                <w:szCs w:val="4"/>
              </w:rPr>
            </w:pPr>
            <w:r>
              <w:rPr>
                <w:sz w:val="4"/>
                <w:szCs w:val="4"/>
              </w:rPr>
            </w:r>
          </w:p>
        </w:tc>
      </w:tr>
      <w:tr>
        <w:trPr/>
        <w:tc>
          <w:tcPr>
            <w:tcW w:w="2540" w:type="dxa"/>
            <w:gridSpan w:val="3"/>
            <w:vMerge w:val="restart"/>
            <w:tcBorders/>
          </w:tcPr>
          <w:p>
            <w:pPr>
              <w:pStyle w:val="TableContents"/>
              <w:bidi w:val="0"/>
              <w:spacing w:before="0" w:after="0"/>
              <w:jc w:val="left"/>
              <w:rPr>
                <w:rFonts w:ascii="Times New Roman" w:hAnsi="Times New Roman"/>
                <w:sz w:val="20"/>
              </w:rPr>
            </w:pPr>
            <w:r>
              <w:rPr>
                <w:rFonts w:ascii="Times New Roman" w:hAnsi="Times New Roman"/>
                <w:sz w:val="20"/>
              </w:rPr>
              <w:t>ATLANTIC SHORES HOSPITAL, L.L.C.</w:t>
            </w:r>
          </w:p>
          <w:p>
            <w:pPr>
              <w:pStyle w:val="TableContents"/>
              <w:bidi w:val="0"/>
              <w:spacing w:before="0" w:after="0"/>
              <w:jc w:val="left"/>
              <w:rPr>
                <w:rFonts w:ascii="Times New Roman" w:hAnsi="Times New Roman"/>
                <w:sz w:val="20"/>
              </w:rPr>
            </w:pPr>
            <w:r>
              <w:rPr>
                <w:rFonts w:ascii="Times New Roman" w:hAnsi="Times New Roman"/>
                <w:sz w:val="20"/>
              </w:rPr>
              <w:t>EMERALD COAST BEHAVIORAL HOSPITAL, LLC</w:t>
            </w:r>
          </w:p>
          <w:p>
            <w:pPr>
              <w:pStyle w:val="TableContents"/>
              <w:bidi w:val="0"/>
              <w:spacing w:before="0" w:after="0"/>
              <w:jc w:val="left"/>
              <w:rPr>
                <w:rFonts w:ascii="Times New Roman" w:hAnsi="Times New Roman"/>
                <w:sz w:val="20"/>
              </w:rPr>
            </w:pPr>
            <w:r>
              <w:rPr>
                <w:rFonts w:ascii="Times New Roman" w:hAnsi="Times New Roman"/>
                <w:sz w:val="20"/>
              </w:rPr>
              <w:t>OCALA BEHAVIORAL HEALTH, LLC</w:t>
            </w:r>
          </w:p>
          <w:p>
            <w:pPr>
              <w:pStyle w:val="TableContents"/>
              <w:bidi w:val="0"/>
              <w:spacing w:before="0" w:after="0"/>
              <w:jc w:val="left"/>
              <w:rPr>
                <w:rFonts w:ascii="Times New Roman" w:hAnsi="Times New Roman"/>
                <w:sz w:val="20"/>
              </w:rPr>
            </w:pPr>
            <w:r>
              <w:rPr>
                <w:rFonts w:ascii="Times New Roman" w:hAnsi="Times New Roman"/>
                <w:sz w:val="20"/>
              </w:rPr>
              <w:t>PALMETTO BEHAVIORAL HEALTH HOLDINGS, LLC</w:t>
            </w:r>
          </w:p>
          <w:p>
            <w:pPr>
              <w:pStyle w:val="TableContents"/>
              <w:bidi w:val="0"/>
              <w:spacing w:before="0" w:after="0"/>
              <w:jc w:val="left"/>
              <w:rPr>
                <w:rFonts w:ascii="Times New Roman" w:hAnsi="Times New Roman"/>
                <w:sz w:val="20"/>
              </w:rPr>
            </w:pPr>
            <w:r>
              <w:rPr>
                <w:rFonts w:ascii="Times New Roman" w:hAnsi="Times New Roman"/>
                <w:sz w:val="20"/>
              </w:rPr>
              <w:t>RAMSAY MANAGED CARE, LLC</w:t>
            </w:r>
          </w:p>
          <w:p>
            <w:pPr>
              <w:pStyle w:val="TableContents"/>
              <w:bidi w:val="0"/>
              <w:spacing w:before="0" w:after="0"/>
              <w:jc w:val="left"/>
              <w:rPr>
                <w:rFonts w:ascii="Times New Roman" w:hAnsi="Times New Roman"/>
                <w:sz w:val="20"/>
              </w:rPr>
            </w:pPr>
            <w:r>
              <w:rPr>
                <w:rFonts w:ascii="Times New Roman" w:hAnsi="Times New Roman"/>
                <w:sz w:val="20"/>
              </w:rPr>
              <w:t>SAMSON PROPERTIES, LLC</w:t>
            </w:r>
          </w:p>
          <w:p>
            <w:pPr>
              <w:pStyle w:val="TableContents"/>
              <w:bidi w:val="0"/>
              <w:spacing w:before="0" w:after="0"/>
              <w:jc w:val="left"/>
              <w:rPr>
                <w:rFonts w:ascii="Times New Roman" w:hAnsi="Times New Roman"/>
                <w:sz w:val="20"/>
              </w:rPr>
            </w:pPr>
            <w:r>
              <w:rPr>
                <w:rFonts w:ascii="Times New Roman" w:hAnsi="Times New Roman"/>
                <w:sz w:val="20"/>
              </w:rPr>
              <w:t>TBJ BEHAVIORAL CENTER, LLC</w:t>
            </w:r>
          </w:p>
          <w:p>
            <w:pPr>
              <w:pStyle w:val="TableContents"/>
              <w:bidi w:val="0"/>
              <w:spacing w:before="0" w:after="0"/>
              <w:jc w:val="left"/>
              <w:rPr>
                <w:rFonts w:ascii="Times New Roman" w:hAnsi="Times New Roman"/>
                <w:sz w:val="20"/>
              </w:rPr>
            </w:pPr>
            <w:r>
              <w:rPr>
                <w:rFonts w:ascii="Times New Roman" w:hAnsi="Times New Roman"/>
                <w:sz w:val="20"/>
              </w:rPr>
              <w:t>THREE RIVERS HEALTHCARE GROUP, LLC</w:t>
            </w:r>
          </w:p>
          <w:p>
            <w:pPr>
              <w:pStyle w:val="TableContents"/>
              <w:bidi w:val="0"/>
              <w:spacing w:before="0" w:after="0"/>
              <w:jc w:val="left"/>
              <w:rPr>
                <w:rFonts w:ascii="Times New Roman" w:hAnsi="Times New Roman"/>
                <w:sz w:val="20"/>
              </w:rPr>
            </w:pPr>
            <w:r>
              <w:rPr>
                <w:rFonts w:ascii="Times New Roman" w:hAnsi="Times New Roman"/>
                <w:sz w:val="20"/>
              </w:rPr>
              <w:t>WEKIVA SPRINGS CENTER, LLC</w:t>
            </w:r>
          </w:p>
          <w:p>
            <w:pPr>
              <w:pStyle w:val="TableContents"/>
              <w:bidi w:val="0"/>
              <w:spacing w:before="0" w:after="20"/>
              <w:jc w:val="left"/>
              <w:rPr>
                <w:rFonts w:ascii="Times New Roman" w:hAnsi="Times New Roman"/>
                <w:sz w:val="20"/>
              </w:rPr>
            </w:pPr>
            <w:r>
              <w:rPr>
                <w:rFonts w:ascii="Times New Roman" w:hAnsi="Times New Roman"/>
                <w:sz w:val="20"/>
              </w:rPr>
              <w:t>ZEUS ENDEAVORS, LLC</w:t>
            </w:r>
          </w:p>
        </w:tc>
        <w:tc>
          <w:tcPr>
            <w:tcW w:w="1542" w:type="dxa"/>
            <w:gridSpan w:val="3"/>
            <w:tcBorders/>
          </w:tcPr>
          <w:p>
            <w:pPr>
              <w:pStyle w:val="TableContents"/>
              <w:bidi w:val="0"/>
              <w:spacing w:before="0" w:after="283"/>
              <w:jc w:val="left"/>
              <w:rPr>
                <w:sz w:val="4"/>
                <w:szCs w:val="4"/>
              </w:rPr>
            </w:pPr>
            <w:r>
              <w:rPr>
                <w:sz w:val="4"/>
                <w:szCs w:val="4"/>
              </w:rPr>
            </w:r>
          </w:p>
        </w:tc>
      </w:tr>
      <w:tr>
        <w:trPr>
          <w:trHeight w:val="240" w:hRule="atLeast"/>
        </w:trPr>
        <w:tc>
          <w:tcPr>
            <w:tcW w:w="2540" w:type="dxa"/>
            <w:gridSpan w:val="3"/>
            <w:vMerge w:val="continue"/>
            <w:tcBorders/>
          </w:tcPr>
          <w:p>
            <w:pPr>
              <w:pStyle w:val="Normal"/>
              <w:bidi w:val="0"/>
              <w:jc w:val="left"/>
              <w:rPr/>
            </w:pPr>
            <w:r>
              <w:rPr/>
            </w:r>
          </w:p>
        </w:tc>
        <w:tc>
          <w:tcPr>
            <w:tcW w:w="1542" w:type="dxa"/>
            <w:gridSpan w:val="3"/>
            <w:tcBorders/>
            <w:vAlign w:val="center"/>
          </w:tcPr>
          <w:p>
            <w:pPr>
              <w:pStyle w:val="TableContents"/>
              <w:bidi w:val="0"/>
              <w:spacing w:before="0" w:after="283"/>
              <w:jc w:val="left"/>
              <w:rPr>
                <w:sz w:val="4"/>
                <w:szCs w:val="4"/>
              </w:rPr>
            </w:pPr>
            <w:r>
              <w:rPr>
                <w:sz w:val="4"/>
                <w:szCs w:val="4"/>
              </w:rPr>
            </w:r>
          </w:p>
        </w:tc>
      </w:tr>
      <w:tr>
        <w:trPr/>
        <w:tc>
          <w:tcPr>
            <w:tcW w:w="2540" w:type="dxa"/>
            <w:gridSpan w:val="3"/>
            <w:vMerge w:val="continue"/>
            <w:tcBorders/>
          </w:tcPr>
          <w:p>
            <w:pPr>
              <w:pStyle w:val="Normal"/>
              <w:bidi w:val="0"/>
              <w:jc w:val="left"/>
              <w:rPr/>
            </w:pPr>
            <w:r>
              <w:rPr/>
            </w:r>
          </w:p>
        </w:tc>
        <w:tc>
          <w:tcPr>
            <w:tcW w:w="1542" w:type="dxa"/>
            <w:gridSpan w:val="3"/>
            <w:tcBorders/>
          </w:tcPr>
          <w:p>
            <w:pPr>
              <w:pStyle w:val="TableContents"/>
              <w:bidi w:val="0"/>
              <w:spacing w:before="0" w:after="283"/>
              <w:jc w:val="left"/>
              <w:rPr/>
            </w:pPr>
            <w:r>
              <w:rPr/>
              <w:t>By: Premier Behavioral Solutions, Inc.</w:t>
            </w:r>
          </w:p>
        </w:tc>
      </w:tr>
      <w:tr>
        <w:trPr/>
        <w:tc>
          <w:tcPr>
            <w:tcW w:w="2540" w:type="dxa"/>
            <w:gridSpan w:val="3"/>
            <w:vMerge w:val="continue"/>
            <w:tcBorders/>
          </w:tcPr>
          <w:p>
            <w:pPr>
              <w:pStyle w:val="Normal"/>
              <w:bidi w:val="0"/>
              <w:jc w:val="left"/>
              <w:rPr/>
            </w:pPr>
            <w:r>
              <w:rPr/>
            </w:r>
          </w:p>
        </w:tc>
        <w:tc>
          <w:tcPr>
            <w:tcW w:w="1542" w:type="dxa"/>
            <w:gridSpan w:val="3"/>
            <w:tcBorders/>
          </w:tcPr>
          <w:p>
            <w:pPr>
              <w:pStyle w:val="TableContents"/>
              <w:bidi w:val="0"/>
              <w:spacing w:before="0" w:after="283"/>
              <w:jc w:val="left"/>
              <w:rPr/>
            </w:pPr>
            <w:r>
              <w:rPr/>
              <w:t>Its Sole Member</w:t>
            </w:r>
          </w:p>
        </w:tc>
      </w:tr>
      <w:tr>
        <w:trPr>
          <w:trHeight w:val="240" w:hRule="atLeast"/>
        </w:trPr>
        <w:tc>
          <w:tcPr>
            <w:tcW w:w="2540" w:type="dxa"/>
            <w:gridSpan w:val="3"/>
            <w:vMerge w:val="continue"/>
            <w:tcBorders/>
          </w:tcPr>
          <w:p>
            <w:pPr>
              <w:pStyle w:val="Normal"/>
              <w:bidi w:val="0"/>
              <w:jc w:val="left"/>
              <w:rPr/>
            </w:pPr>
            <w:r>
              <w:rPr/>
            </w:r>
          </w:p>
        </w:tc>
        <w:tc>
          <w:tcPr>
            <w:tcW w:w="590" w:type="dxa"/>
            <w:tcBorders/>
            <w:vAlign w:val="center"/>
          </w:tcPr>
          <w:p>
            <w:pPr>
              <w:pStyle w:val="TableContents"/>
              <w:bidi w:val="0"/>
              <w:spacing w:before="0" w:after="283"/>
              <w:jc w:val="left"/>
              <w:rPr>
                <w:sz w:val="4"/>
                <w:szCs w:val="4"/>
              </w:rPr>
            </w:pPr>
            <w:r>
              <w:rPr>
                <w:sz w:val="4"/>
                <w:szCs w:val="4"/>
              </w:rPr>
            </w:r>
          </w:p>
        </w:tc>
        <w:tc>
          <w:tcPr>
            <w:tcW w:w="952" w:type="dxa"/>
            <w:gridSpan w:val="2"/>
            <w:tcBorders/>
            <w:vAlign w:val="center"/>
          </w:tcPr>
          <w:p>
            <w:pPr>
              <w:pStyle w:val="TableContents"/>
              <w:bidi w:val="0"/>
              <w:spacing w:before="0" w:after="283"/>
              <w:jc w:val="left"/>
              <w:rPr>
                <w:sz w:val="4"/>
                <w:szCs w:val="4"/>
              </w:rPr>
            </w:pPr>
            <w:r>
              <w:rPr>
                <w:sz w:val="4"/>
                <w:szCs w:val="4"/>
              </w:rPr>
            </w:r>
          </w:p>
        </w:tc>
      </w:tr>
      <w:tr>
        <w:trPr/>
        <w:tc>
          <w:tcPr>
            <w:tcW w:w="2540" w:type="dxa"/>
            <w:gridSpan w:val="3"/>
            <w:vMerge w:val="continue"/>
            <w:tcBorders/>
          </w:tcPr>
          <w:p>
            <w:pPr>
              <w:pStyle w:val="Normal"/>
              <w:bidi w:val="0"/>
              <w:jc w:val="left"/>
              <w:rPr/>
            </w:pPr>
            <w:r>
              <w:rPr/>
            </w:r>
          </w:p>
        </w:tc>
        <w:tc>
          <w:tcPr>
            <w:tcW w:w="5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89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2540" w:type="dxa"/>
            <w:gridSpan w:val="3"/>
            <w:vMerge w:val="continue"/>
            <w:tcBorders/>
          </w:tcPr>
          <w:p>
            <w:pPr>
              <w:pStyle w:val="Normal"/>
              <w:bidi w:val="0"/>
              <w:jc w:val="left"/>
              <w:rPr/>
            </w:pPr>
            <w:r>
              <w:rPr/>
            </w:r>
          </w:p>
        </w:tc>
        <w:tc>
          <w:tcPr>
            <w:tcW w:w="5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Steve Filton</w:t>
            </w:r>
          </w:p>
        </w:tc>
      </w:tr>
      <w:tr>
        <w:trPr/>
        <w:tc>
          <w:tcPr>
            <w:tcW w:w="2540" w:type="dxa"/>
            <w:gridSpan w:val="3"/>
            <w:vMerge w:val="continue"/>
            <w:tcBorders/>
          </w:tcPr>
          <w:p>
            <w:pPr>
              <w:pStyle w:val="Normal"/>
              <w:bidi w:val="0"/>
              <w:jc w:val="left"/>
              <w:rPr/>
            </w:pPr>
            <w:r>
              <w:rPr/>
            </w:r>
          </w:p>
        </w:tc>
        <w:tc>
          <w:tcPr>
            <w:tcW w:w="5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892"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PALMETTO BEHAVIORAL HEALTH SYSTEM,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Palmetto Behavioral Health Holdings,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Premier Behavioral Solutions,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Steve Filton</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PALMETTO LOWCOUNTRY BEHAVIORAL HEALTH,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Palmetto Behavioral Health System,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Palmetto Behavioral Health Holdings,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Premier Behavioral Solutions,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Steve Filton</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8"/>
        <w:gridCol w:w="60"/>
        <w:gridCol w:w="3334"/>
      </w:tblGrid>
      <w:tr>
        <w:trPr/>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SP BEHAVIORAL, LLC</w:t>
            </w:r>
          </w:p>
        </w:tc>
      </w:tr>
      <w:tr>
        <w:trPr/>
        <w:tc>
          <w:tcPr>
            <w:tcW w:w="4082" w:type="dxa"/>
            <w:gridSpan w:val="3"/>
            <w:tcBorders/>
          </w:tcPr>
          <w:p>
            <w:pPr>
              <w:pStyle w:val="TableContents"/>
              <w:bidi w:val="0"/>
              <w:spacing w:before="0" w:after="283"/>
              <w:jc w:val="left"/>
              <w:rPr/>
            </w:pPr>
            <w:r>
              <w:rPr/>
              <w:t>UNIVERSITY BEHAVIORAL,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Ramsay Managed Care,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Premier Behavioral Solutions,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8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Steve Filton</w:t>
            </w:r>
          </w:p>
        </w:tc>
      </w:tr>
      <w:tr>
        <w:trPr/>
        <w:tc>
          <w:tcPr>
            <w:tcW w:w="68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THREE RIVERS BEHAVIORAL HEALTH,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Three Rivers Healthcare Group,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Premier Behavioral Solutions,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Steve Filton</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NATIONAL DEAF ACADEMY,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Zeus Endeavors,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Premier Behavioral Solutions,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WILLOW SPRINGS,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BHC Health Services of Nevada,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32"/>
        <w:gridCol w:w="60"/>
        <w:gridCol w:w="2348"/>
        <w:gridCol w:w="520"/>
        <w:gridCol w:w="522"/>
      </w:tblGrid>
      <w:tr>
        <w:trPr/>
        <w:tc>
          <w:tcPr>
            <w:tcW w:w="63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1042" w:type="dxa"/>
            <w:gridSpan w:val="2"/>
            <w:tcBorders/>
          </w:tcPr>
          <w:p>
            <w:pPr>
              <w:pStyle w:val="TableContents"/>
              <w:bidi w:val="0"/>
              <w:spacing w:before="0" w:after="283"/>
              <w:jc w:val="left"/>
              <w:rPr>
                <w:sz w:val="4"/>
                <w:szCs w:val="4"/>
              </w:rPr>
            </w:pPr>
            <w:r>
              <w:rPr>
                <w:sz w:val="4"/>
                <w:szCs w:val="4"/>
              </w:rPr>
            </w:r>
          </w:p>
        </w:tc>
      </w:tr>
      <w:tr>
        <w:trPr/>
        <w:tc>
          <w:tcPr>
            <w:tcW w:w="3040" w:type="dxa"/>
            <w:gridSpan w:val="3"/>
            <w:vMerge w:val="restart"/>
            <w:tcBorders/>
          </w:tcPr>
          <w:p>
            <w:pPr>
              <w:pStyle w:val="TableContents"/>
              <w:bidi w:val="0"/>
              <w:spacing w:before="0" w:after="0"/>
              <w:jc w:val="left"/>
              <w:rPr>
                <w:rFonts w:ascii="Times New Roman" w:hAnsi="Times New Roman"/>
                <w:sz w:val="20"/>
              </w:rPr>
            </w:pPr>
            <w:r>
              <w:rPr>
                <w:rFonts w:ascii="Times New Roman" w:hAnsi="Times New Roman"/>
                <w:sz w:val="20"/>
              </w:rPr>
              <w:t>BHC PINNACLE POINTE HOSPITAL, LLC</w:t>
            </w:r>
          </w:p>
          <w:p>
            <w:pPr>
              <w:pStyle w:val="TableContents"/>
              <w:bidi w:val="0"/>
              <w:spacing w:before="0" w:after="0"/>
              <w:jc w:val="left"/>
              <w:rPr>
                <w:rFonts w:ascii="Times New Roman" w:hAnsi="Times New Roman"/>
                <w:sz w:val="20"/>
              </w:rPr>
            </w:pPr>
            <w:r>
              <w:rPr>
                <w:rFonts w:ascii="Times New Roman" w:hAnsi="Times New Roman"/>
                <w:sz w:val="20"/>
              </w:rPr>
              <w:t>BHC PROPERTIES, LLC</w:t>
            </w:r>
          </w:p>
          <w:p>
            <w:pPr>
              <w:pStyle w:val="TableContents"/>
              <w:bidi w:val="0"/>
              <w:spacing w:before="0" w:after="0"/>
              <w:jc w:val="left"/>
              <w:rPr>
                <w:rFonts w:ascii="Times New Roman" w:hAnsi="Times New Roman"/>
                <w:sz w:val="20"/>
              </w:rPr>
            </w:pPr>
            <w:r>
              <w:rPr>
                <w:rFonts w:ascii="Times New Roman" w:hAnsi="Times New Roman"/>
                <w:sz w:val="20"/>
              </w:rPr>
              <w:t>COLUMBUS HOSPITAL PARTNERS, LLC</w:t>
            </w:r>
          </w:p>
          <w:p>
            <w:pPr>
              <w:pStyle w:val="TableContents"/>
              <w:bidi w:val="0"/>
              <w:spacing w:before="0" w:after="0"/>
              <w:jc w:val="left"/>
              <w:rPr>
                <w:rFonts w:ascii="Times New Roman" w:hAnsi="Times New Roman"/>
                <w:sz w:val="20"/>
              </w:rPr>
            </w:pPr>
            <w:r>
              <w:rPr>
                <w:rFonts w:ascii="Times New Roman" w:hAnsi="Times New Roman"/>
                <w:sz w:val="20"/>
              </w:rPr>
              <w:t>HOLLY HILL HOSPITAL, LLC</w:t>
            </w:r>
          </w:p>
          <w:p>
            <w:pPr>
              <w:pStyle w:val="TableContents"/>
              <w:bidi w:val="0"/>
              <w:spacing w:before="0" w:after="0"/>
              <w:jc w:val="left"/>
              <w:rPr>
                <w:rFonts w:ascii="Times New Roman" w:hAnsi="Times New Roman"/>
                <w:sz w:val="20"/>
              </w:rPr>
            </w:pPr>
            <w:r>
              <w:rPr>
                <w:rFonts w:ascii="Times New Roman" w:hAnsi="Times New Roman"/>
                <w:sz w:val="20"/>
              </w:rPr>
              <w:t>LEBANON HOSPITAL PARTNERS, LLC</w:t>
            </w:r>
          </w:p>
          <w:p>
            <w:pPr>
              <w:pStyle w:val="TableContents"/>
              <w:bidi w:val="0"/>
              <w:spacing w:before="0" w:after="0"/>
              <w:jc w:val="left"/>
              <w:rPr>
                <w:rFonts w:ascii="Times New Roman" w:hAnsi="Times New Roman"/>
                <w:sz w:val="20"/>
              </w:rPr>
            </w:pPr>
            <w:r>
              <w:rPr>
                <w:rFonts w:ascii="Times New Roman" w:hAnsi="Times New Roman"/>
                <w:sz w:val="20"/>
              </w:rPr>
              <w:t>NORTHERN INDIANA PARTNERS, LLC</w:t>
            </w:r>
          </w:p>
          <w:p>
            <w:pPr>
              <w:pStyle w:val="TableContents"/>
              <w:bidi w:val="0"/>
              <w:spacing w:before="0" w:after="0"/>
              <w:jc w:val="left"/>
              <w:rPr>
                <w:rFonts w:ascii="Times New Roman" w:hAnsi="Times New Roman"/>
                <w:sz w:val="20"/>
              </w:rPr>
            </w:pPr>
            <w:r>
              <w:rPr>
                <w:rFonts w:ascii="Times New Roman" w:hAnsi="Times New Roman"/>
                <w:sz w:val="20"/>
              </w:rPr>
              <w:t>ROLLING HILLS HOSPITAL, LLC</w:t>
            </w:r>
          </w:p>
          <w:p>
            <w:pPr>
              <w:pStyle w:val="TableContents"/>
              <w:bidi w:val="0"/>
              <w:spacing w:before="0" w:after="20"/>
              <w:jc w:val="left"/>
              <w:rPr>
                <w:rFonts w:ascii="Times New Roman" w:hAnsi="Times New Roman"/>
                <w:sz w:val="20"/>
              </w:rPr>
            </w:pPr>
            <w:r>
              <w:rPr>
                <w:rFonts w:ascii="Times New Roman" w:hAnsi="Times New Roman"/>
                <w:sz w:val="20"/>
              </w:rPr>
              <w:t>VALLE VISTA HOSPITAL PARTNERS, LLC</w:t>
            </w:r>
          </w:p>
        </w:tc>
        <w:tc>
          <w:tcPr>
            <w:tcW w:w="1042" w:type="dxa"/>
            <w:gridSpan w:val="2"/>
            <w:tcBorders/>
          </w:tcPr>
          <w:p>
            <w:pPr>
              <w:pStyle w:val="TableContents"/>
              <w:bidi w:val="0"/>
              <w:spacing w:before="0" w:after="283"/>
              <w:jc w:val="left"/>
              <w:rPr>
                <w:sz w:val="4"/>
                <w:szCs w:val="4"/>
              </w:rPr>
            </w:pPr>
            <w:r>
              <w:rPr>
                <w:sz w:val="4"/>
                <w:szCs w:val="4"/>
              </w:rPr>
            </w:r>
          </w:p>
        </w:tc>
      </w:tr>
      <w:tr>
        <w:trPr>
          <w:trHeight w:val="240" w:hRule="atLeast"/>
        </w:trPr>
        <w:tc>
          <w:tcPr>
            <w:tcW w:w="3040" w:type="dxa"/>
            <w:gridSpan w:val="3"/>
            <w:vMerge w:val="continue"/>
            <w:tcBorders/>
          </w:tcPr>
          <w:p>
            <w:pPr>
              <w:pStyle w:val="Normal"/>
              <w:bidi w:val="0"/>
              <w:jc w:val="left"/>
              <w:rPr/>
            </w:pPr>
            <w:r>
              <w:rPr/>
            </w:r>
          </w:p>
        </w:tc>
        <w:tc>
          <w:tcPr>
            <w:tcW w:w="1042" w:type="dxa"/>
            <w:gridSpan w:val="2"/>
            <w:tcBorders/>
            <w:vAlign w:val="center"/>
          </w:tcPr>
          <w:p>
            <w:pPr>
              <w:pStyle w:val="TableContents"/>
              <w:bidi w:val="0"/>
              <w:spacing w:before="0" w:after="283"/>
              <w:jc w:val="left"/>
              <w:rPr>
                <w:sz w:val="4"/>
                <w:szCs w:val="4"/>
              </w:rPr>
            </w:pPr>
            <w:r>
              <w:rPr>
                <w:sz w:val="4"/>
                <w:szCs w:val="4"/>
              </w:rPr>
            </w:r>
          </w:p>
        </w:tc>
      </w:tr>
      <w:tr>
        <w:trPr/>
        <w:tc>
          <w:tcPr>
            <w:tcW w:w="3040" w:type="dxa"/>
            <w:gridSpan w:val="3"/>
            <w:vMerge w:val="continue"/>
            <w:tcBorders/>
          </w:tcPr>
          <w:p>
            <w:pPr>
              <w:pStyle w:val="Normal"/>
              <w:bidi w:val="0"/>
              <w:jc w:val="left"/>
              <w:rPr/>
            </w:pPr>
            <w:r>
              <w:rPr/>
            </w:r>
          </w:p>
        </w:tc>
        <w:tc>
          <w:tcPr>
            <w:tcW w:w="1042" w:type="dxa"/>
            <w:gridSpan w:val="2"/>
            <w:tcBorders/>
          </w:tcPr>
          <w:p>
            <w:pPr>
              <w:pStyle w:val="TableContents"/>
              <w:bidi w:val="0"/>
              <w:spacing w:before="0" w:after="283"/>
              <w:jc w:val="left"/>
              <w:rPr/>
            </w:pPr>
            <w:r>
              <w:rPr/>
              <w:t>By: Behavioral Healthcare LLC</w:t>
            </w:r>
          </w:p>
        </w:tc>
      </w:tr>
      <w:tr>
        <w:trPr/>
        <w:tc>
          <w:tcPr>
            <w:tcW w:w="3040" w:type="dxa"/>
            <w:gridSpan w:val="3"/>
            <w:vMerge w:val="continue"/>
            <w:tcBorders/>
          </w:tcPr>
          <w:p>
            <w:pPr>
              <w:pStyle w:val="Normal"/>
              <w:bidi w:val="0"/>
              <w:jc w:val="left"/>
              <w:rPr/>
            </w:pPr>
            <w:r>
              <w:rPr/>
            </w:r>
          </w:p>
        </w:tc>
        <w:tc>
          <w:tcPr>
            <w:tcW w:w="1042" w:type="dxa"/>
            <w:gridSpan w:val="2"/>
            <w:tcBorders/>
          </w:tcPr>
          <w:p>
            <w:pPr>
              <w:pStyle w:val="TableContents"/>
              <w:bidi w:val="0"/>
              <w:spacing w:before="0" w:after="283"/>
              <w:jc w:val="left"/>
              <w:rPr/>
            </w:pPr>
            <w:r>
              <w:rPr/>
              <w:t>Its Sole Member</w:t>
            </w:r>
          </w:p>
        </w:tc>
      </w:tr>
      <w:tr>
        <w:trPr>
          <w:trHeight w:val="240" w:hRule="atLeast"/>
        </w:trPr>
        <w:tc>
          <w:tcPr>
            <w:tcW w:w="3040" w:type="dxa"/>
            <w:gridSpan w:val="3"/>
            <w:vMerge w:val="continue"/>
            <w:tcBorders/>
          </w:tcPr>
          <w:p>
            <w:pPr>
              <w:pStyle w:val="Normal"/>
              <w:bidi w:val="0"/>
              <w:jc w:val="left"/>
              <w:rPr/>
            </w:pPr>
            <w:r>
              <w:rPr/>
            </w:r>
          </w:p>
        </w:tc>
        <w:tc>
          <w:tcPr>
            <w:tcW w:w="1042" w:type="dxa"/>
            <w:gridSpan w:val="2"/>
            <w:tcBorders/>
            <w:vAlign w:val="center"/>
          </w:tcPr>
          <w:p>
            <w:pPr>
              <w:pStyle w:val="TableContents"/>
              <w:bidi w:val="0"/>
              <w:spacing w:before="0" w:after="283"/>
              <w:jc w:val="left"/>
              <w:rPr>
                <w:sz w:val="4"/>
                <w:szCs w:val="4"/>
              </w:rPr>
            </w:pPr>
            <w:r>
              <w:rPr>
                <w:sz w:val="4"/>
                <w:szCs w:val="4"/>
              </w:rPr>
            </w:r>
          </w:p>
        </w:tc>
      </w:tr>
      <w:tr>
        <w:trPr/>
        <w:tc>
          <w:tcPr>
            <w:tcW w:w="3040" w:type="dxa"/>
            <w:gridSpan w:val="3"/>
            <w:vMerge w:val="continue"/>
            <w:tcBorders/>
          </w:tcPr>
          <w:p>
            <w:pPr>
              <w:pStyle w:val="Normal"/>
              <w:bidi w:val="0"/>
              <w:jc w:val="left"/>
              <w:rPr/>
            </w:pPr>
            <w:r>
              <w:rPr/>
            </w:r>
          </w:p>
        </w:tc>
        <w:tc>
          <w:tcPr>
            <w:tcW w:w="1042" w:type="dxa"/>
            <w:gridSpan w:val="2"/>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tc>
      </w:tr>
      <w:tr>
        <w:trPr/>
        <w:tc>
          <w:tcPr>
            <w:tcW w:w="3040" w:type="dxa"/>
            <w:gridSpan w:val="3"/>
            <w:vMerge w:val="continue"/>
            <w:tcBorders/>
          </w:tcPr>
          <w:p>
            <w:pPr>
              <w:pStyle w:val="Normal"/>
              <w:bidi w:val="0"/>
              <w:jc w:val="left"/>
              <w:rPr/>
            </w:pPr>
            <w:r>
              <w:rPr/>
            </w:r>
          </w:p>
        </w:tc>
        <w:tc>
          <w:tcPr>
            <w:tcW w:w="1042" w:type="dxa"/>
            <w:gridSpan w:val="2"/>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3040" w:type="dxa"/>
            <w:gridSpan w:val="3"/>
            <w:vMerge w:val="continue"/>
            <w:tcBorders/>
          </w:tcPr>
          <w:p>
            <w:pPr>
              <w:pStyle w:val="Normal"/>
              <w:bidi w:val="0"/>
              <w:jc w:val="left"/>
              <w:rPr/>
            </w:pPr>
            <w:r>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63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34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042" w:type="dxa"/>
            <w:gridSpan w:val="2"/>
            <w:tcBorders/>
          </w:tcPr>
          <w:p>
            <w:pPr>
              <w:pStyle w:val="TableContents"/>
              <w:bidi w:val="0"/>
              <w:spacing w:before="0" w:after="283"/>
              <w:jc w:val="left"/>
              <w:rPr>
                <w:sz w:val="4"/>
                <w:szCs w:val="4"/>
              </w:rPr>
            </w:pPr>
            <w:r>
              <w:rPr>
                <w:sz w:val="4"/>
                <w:szCs w:val="4"/>
              </w:rPr>
            </w:r>
          </w:p>
        </w:tc>
      </w:tr>
      <w:tr>
        <w:trPr/>
        <w:tc>
          <w:tcPr>
            <w:tcW w:w="63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left"/>
              <w:rPr/>
            </w:pPr>
            <w:r>
              <w:rPr/>
              <w:t>Steve Filton</w:t>
            </w:r>
          </w:p>
        </w:tc>
        <w:tc>
          <w:tcPr>
            <w:tcW w:w="1042" w:type="dxa"/>
            <w:gridSpan w:val="2"/>
            <w:tcBorders/>
          </w:tcPr>
          <w:p>
            <w:pPr>
              <w:pStyle w:val="TableContents"/>
              <w:bidi w:val="0"/>
              <w:spacing w:before="0" w:after="283"/>
              <w:jc w:val="left"/>
              <w:rPr>
                <w:sz w:val="4"/>
                <w:szCs w:val="4"/>
              </w:rPr>
            </w:pPr>
            <w:r>
              <w:rPr>
                <w:sz w:val="4"/>
                <w:szCs w:val="4"/>
              </w:rPr>
            </w:r>
          </w:p>
        </w:tc>
      </w:tr>
      <w:tr>
        <w:trPr/>
        <w:tc>
          <w:tcPr>
            <w:tcW w:w="63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348" w:type="dxa"/>
            <w:tcBorders/>
          </w:tcPr>
          <w:p>
            <w:pPr>
              <w:pStyle w:val="TableContents"/>
              <w:bidi w:val="0"/>
              <w:spacing w:before="0" w:after="283"/>
              <w:jc w:val="left"/>
              <w:rPr/>
            </w:pPr>
            <w:r>
              <w:rPr/>
              <w:t>Vice President</w:t>
            </w:r>
          </w:p>
        </w:tc>
        <w:tc>
          <w:tcPr>
            <w:tcW w:w="1042"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36"/>
        <w:gridCol w:w="60"/>
        <w:gridCol w:w="2359"/>
        <w:gridCol w:w="1027"/>
      </w:tblGrid>
      <w:tr>
        <w:trPr/>
        <w:tc>
          <w:tcPr>
            <w:tcW w:w="63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1027" w:type="dxa"/>
            <w:tcBorders/>
          </w:tcPr>
          <w:p>
            <w:pPr>
              <w:pStyle w:val="TableContents"/>
              <w:bidi w:val="0"/>
              <w:spacing w:before="0" w:after="283"/>
              <w:jc w:val="left"/>
              <w:rPr>
                <w:sz w:val="4"/>
                <w:szCs w:val="4"/>
              </w:rPr>
            </w:pPr>
            <w:r>
              <w:rPr>
                <w:sz w:val="4"/>
                <w:szCs w:val="4"/>
              </w:rPr>
            </w:r>
          </w:p>
        </w:tc>
      </w:tr>
      <w:tr>
        <w:trPr/>
        <w:tc>
          <w:tcPr>
            <w:tcW w:w="3055" w:type="dxa"/>
            <w:gridSpan w:val="3"/>
            <w:vMerge w:val="restart"/>
            <w:tcBorders/>
          </w:tcPr>
          <w:p>
            <w:pPr>
              <w:pStyle w:val="TableContents"/>
              <w:bidi w:val="0"/>
              <w:spacing w:before="0" w:after="0"/>
              <w:jc w:val="left"/>
              <w:rPr>
                <w:rFonts w:ascii="Times New Roman" w:hAnsi="Times New Roman"/>
                <w:sz w:val="20"/>
              </w:rPr>
            </w:pPr>
            <w:r>
              <w:rPr>
                <w:rFonts w:ascii="Times New Roman" w:hAnsi="Times New Roman"/>
                <w:sz w:val="20"/>
              </w:rPr>
              <w:t>BHC MESILLA VALLEY HOSPITAL, LLC</w:t>
            </w:r>
          </w:p>
          <w:p>
            <w:pPr>
              <w:pStyle w:val="TableContents"/>
              <w:bidi w:val="0"/>
              <w:spacing w:before="0" w:after="0"/>
              <w:jc w:val="left"/>
              <w:rPr>
                <w:rFonts w:ascii="Times New Roman" w:hAnsi="Times New Roman"/>
                <w:sz w:val="20"/>
              </w:rPr>
            </w:pPr>
            <w:r>
              <w:rPr>
                <w:rFonts w:ascii="Times New Roman" w:hAnsi="Times New Roman"/>
                <w:sz w:val="20"/>
              </w:rPr>
              <w:t>BHC NORTHWEST PSYCHIATRIC HOSPITAL, LLC</w:t>
            </w:r>
          </w:p>
          <w:p>
            <w:pPr>
              <w:pStyle w:val="TableContents"/>
              <w:bidi w:val="0"/>
              <w:spacing w:before="0" w:after="20"/>
              <w:jc w:val="left"/>
              <w:rPr>
                <w:rFonts w:ascii="Times New Roman" w:hAnsi="Times New Roman"/>
                <w:sz w:val="20"/>
              </w:rPr>
            </w:pPr>
            <w:r>
              <w:rPr>
                <w:rFonts w:ascii="Times New Roman" w:hAnsi="Times New Roman"/>
                <w:sz w:val="20"/>
              </w:rPr>
              <w:t>CUMBERLAND HOSPITAL PARTNERS, LLC</w:t>
            </w:r>
          </w:p>
        </w:tc>
        <w:tc>
          <w:tcPr>
            <w:tcW w:w="1027" w:type="dxa"/>
            <w:tcBorders/>
          </w:tcPr>
          <w:p>
            <w:pPr>
              <w:pStyle w:val="TableContents"/>
              <w:bidi w:val="0"/>
              <w:spacing w:before="0" w:after="283"/>
              <w:jc w:val="left"/>
              <w:rPr>
                <w:sz w:val="4"/>
                <w:szCs w:val="4"/>
              </w:rPr>
            </w:pPr>
            <w:r>
              <w:rPr>
                <w:sz w:val="4"/>
                <w:szCs w:val="4"/>
              </w:rPr>
            </w:r>
          </w:p>
        </w:tc>
      </w:tr>
      <w:tr>
        <w:trPr>
          <w:trHeight w:val="240" w:hRule="atLeast"/>
        </w:trPr>
        <w:tc>
          <w:tcPr>
            <w:tcW w:w="3055" w:type="dxa"/>
            <w:gridSpan w:val="3"/>
            <w:vMerge w:val="continue"/>
            <w:tcBorders/>
          </w:tcPr>
          <w:p>
            <w:pPr>
              <w:pStyle w:val="Normal"/>
              <w:bidi w:val="0"/>
              <w:jc w:val="left"/>
              <w:rPr/>
            </w:pPr>
            <w:r>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055" w:type="dxa"/>
            <w:gridSpan w:val="3"/>
            <w:vMerge w:val="continue"/>
            <w:tcBorders/>
          </w:tcPr>
          <w:p>
            <w:pPr>
              <w:pStyle w:val="Normal"/>
              <w:bidi w:val="0"/>
              <w:jc w:val="left"/>
              <w:rPr/>
            </w:pPr>
            <w:r>
              <w:rPr/>
            </w:r>
          </w:p>
        </w:tc>
        <w:tc>
          <w:tcPr>
            <w:tcW w:w="1027" w:type="dxa"/>
            <w:tcBorders/>
          </w:tcPr>
          <w:p>
            <w:pPr>
              <w:pStyle w:val="TableContents"/>
              <w:bidi w:val="0"/>
              <w:spacing w:before="0" w:after="283"/>
              <w:jc w:val="left"/>
              <w:rPr/>
            </w:pPr>
            <w:r>
              <w:rPr/>
              <w:t>By: BHC Properties, LLC</w:t>
            </w:r>
          </w:p>
        </w:tc>
      </w:tr>
      <w:tr>
        <w:trPr/>
        <w:tc>
          <w:tcPr>
            <w:tcW w:w="3055" w:type="dxa"/>
            <w:gridSpan w:val="3"/>
            <w:tcBorders/>
          </w:tcPr>
          <w:p>
            <w:pPr>
              <w:pStyle w:val="TableContents"/>
              <w:bidi w:val="0"/>
              <w:spacing w:before="0" w:after="283"/>
              <w:jc w:val="left"/>
              <w:rPr/>
            </w:pPr>
            <w:r>
              <w:rPr/>
              <w:t>Its Sole Member</w:t>
            </w:r>
          </w:p>
        </w:tc>
        <w:tc>
          <w:tcPr>
            <w:tcW w:w="1027" w:type="dxa"/>
            <w:tcBorders/>
          </w:tcPr>
          <w:p>
            <w:pPr>
              <w:pStyle w:val="TableContents"/>
              <w:bidi w:val="0"/>
              <w:spacing w:before="0" w:after="283"/>
              <w:jc w:val="left"/>
              <w:rPr>
                <w:sz w:val="4"/>
                <w:szCs w:val="4"/>
              </w:rPr>
            </w:pPr>
            <w:r>
              <w:rPr>
                <w:sz w:val="4"/>
                <w:szCs w:val="4"/>
              </w:rPr>
            </w:r>
          </w:p>
        </w:tc>
      </w:tr>
      <w:tr>
        <w:trPr>
          <w:trHeight w:val="240" w:hRule="atLeast"/>
        </w:trPr>
        <w:tc>
          <w:tcPr>
            <w:tcW w:w="3055" w:type="dxa"/>
            <w:gridSpan w:val="3"/>
            <w:tcBorders/>
            <w:vAlign w:val="center"/>
          </w:tcPr>
          <w:p>
            <w:pPr>
              <w:pStyle w:val="TableContents"/>
              <w:bidi w:val="0"/>
              <w:spacing w:before="0" w:after="283"/>
              <w:jc w:val="left"/>
              <w:rPr>
                <w:sz w:val="4"/>
                <w:szCs w:val="4"/>
              </w:rPr>
            </w:pPr>
            <w:r>
              <w:rPr>
                <w:sz w:val="4"/>
                <w:szCs w:val="4"/>
              </w:rPr>
            </w:r>
          </w:p>
        </w:tc>
        <w:tc>
          <w:tcPr>
            <w:tcW w:w="1027" w:type="dxa"/>
            <w:tcBorders/>
          </w:tcPr>
          <w:p>
            <w:pPr>
              <w:pStyle w:val="TableContents"/>
              <w:bidi w:val="0"/>
              <w:spacing w:before="0" w:after="283"/>
              <w:jc w:val="left"/>
              <w:rPr>
                <w:sz w:val="4"/>
                <w:szCs w:val="4"/>
              </w:rPr>
            </w:pPr>
            <w:r>
              <w:rPr>
                <w:sz w:val="4"/>
                <w:szCs w:val="4"/>
              </w:rPr>
            </w:r>
          </w:p>
        </w:tc>
      </w:tr>
      <w:tr>
        <w:trPr/>
        <w:tc>
          <w:tcPr>
            <w:tcW w:w="30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Behavioral Healthcare LLC</w:t>
            </w:r>
          </w:p>
        </w:tc>
        <w:tc>
          <w:tcPr>
            <w:tcW w:w="1027" w:type="dxa"/>
            <w:tcBorders/>
          </w:tcPr>
          <w:p>
            <w:pPr>
              <w:pStyle w:val="TableContents"/>
              <w:bidi w:val="0"/>
              <w:spacing w:before="0" w:after="283"/>
              <w:jc w:val="left"/>
              <w:rPr>
                <w:sz w:val="4"/>
                <w:szCs w:val="4"/>
              </w:rPr>
            </w:pPr>
            <w:r>
              <w:rPr>
                <w:sz w:val="4"/>
                <w:szCs w:val="4"/>
              </w:rPr>
            </w:r>
          </w:p>
        </w:tc>
      </w:tr>
      <w:tr>
        <w:trPr/>
        <w:tc>
          <w:tcPr>
            <w:tcW w:w="30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c>
          <w:tcPr>
            <w:tcW w:w="1027" w:type="dxa"/>
            <w:tcBorders/>
          </w:tcPr>
          <w:p>
            <w:pPr>
              <w:pStyle w:val="TableContents"/>
              <w:bidi w:val="0"/>
              <w:spacing w:before="0" w:after="283"/>
              <w:jc w:val="left"/>
              <w:rPr>
                <w:sz w:val="4"/>
                <w:szCs w:val="4"/>
              </w:rPr>
            </w:pPr>
            <w:r>
              <w:rPr>
                <w:sz w:val="4"/>
                <w:szCs w:val="4"/>
              </w:rPr>
            </w:r>
          </w:p>
        </w:tc>
      </w:tr>
      <w:tr>
        <w:trPr>
          <w:trHeight w:val="240" w:hRule="atLeast"/>
        </w:trPr>
        <w:tc>
          <w:tcPr>
            <w:tcW w:w="3055" w:type="dxa"/>
            <w:gridSpan w:val="3"/>
            <w:tcBorders/>
            <w:vAlign w:val="center"/>
          </w:tcPr>
          <w:p>
            <w:pPr>
              <w:pStyle w:val="TableContents"/>
              <w:bidi w:val="0"/>
              <w:spacing w:before="0" w:after="283"/>
              <w:jc w:val="left"/>
              <w:rPr>
                <w:sz w:val="4"/>
                <w:szCs w:val="4"/>
              </w:rPr>
            </w:pPr>
            <w:r>
              <w:rPr>
                <w:sz w:val="4"/>
                <w:szCs w:val="4"/>
              </w:rPr>
            </w:r>
          </w:p>
        </w:tc>
        <w:tc>
          <w:tcPr>
            <w:tcW w:w="1027" w:type="dxa"/>
            <w:tcBorders/>
          </w:tcPr>
          <w:p>
            <w:pPr>
              <w:pStyle w:val="TableContents"/>
              <w:bidi w:val="0"/>
              <w:spacing w:before="0" w:after="283"/>
              <w:jc w:val="left"/>
              <w:rPr>
                <w:sz w:val="4"/>
                <w:szCs w:val="4"/>
              </w:rPr>
            </w:pPr>
            <w:r>
              <w:rPr>
                <w:sz w:val="4"/>
                <w:szCs w:val="4"/>
              </w:rPr>
            </w:r>
          </w:p>
        </w:tc>
      </w:tr>
      <w:tr>
        <w:trPr/>
        <w:tc>
          <w:tcPr>
            <w:tcW w:w="30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tc>
        <w:tc>
          <w:tcPr>
            <w:tcW w:w="1027" w:type="dxa"/>
            <w:tcBorders/>
          </w:tcPr>
          <w:p>
            <w:pPr>
              <w:pStyle w:val="TableContents"/>
              <w:bidi w:val="0"/>
              <w:spacing w:before="0" w:after="283"/>
              <w:jc w:val="left"/>
              <w:rPr>
                <w:sz w:val="4"/>
                <w:szCs w:val="4"/>
              </w:rPr>
            </w:pPr>
            <w:r>
              <w:rPr>
                <w:sz w:val="4"/>
                <w:szCs w:val="4"/>
              </w:rPr>
            </w:r>
          </w:p>
        </w:tc>
      </w:tr>
      <w:tr>
        <w:trPr/>
        <w:tc>
          <w:tcPr>
            <w:tcW w:w="305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c>
          <w:tcPr>
            <w:tcW w:w="1027" w:type="dxa"/>
            <w:tcBorders/>
          </w:tcPr>
          <w:p>
            <w:pPr>
              <w:pStyle w:val="TableContents"/>
              <w:bidi w:val="0"/>
              <w:spacing w:before="0" w:after="283"/>
              <w:jc w:val="left"/>
              <w:rPr>
                <w:sz w:val="4"/>
                <w:szCs w:val="4"/>
              </w:rPr>
            </w:pPr>
            <w:r>
              <w:rPr>
                <w:sz w:val="4"/>
                <w:szCs w:val="4"/>
              </w:rPr>
            </w:r>
          </w:p>
        </w:tc>
      </w:tr>
      <w:tr>
        <w:trPr>
          <w:trHeight w:val="240" w:hRule="atLeast"/>
        </w:trPr>
        <w:tc>
          <w:tcPr>
            <w:tcW w:w="636" w:type="dxa"/>
            <w:tcBorders/>
            <w:vAlign w:val="center"/>
          </w:tcPr>
          <w:p>
            <w:pPr>
              <w:pStyle w:val="TableContents"/>
              <w:bidi w:val="0"/>
              <w:spacing w:before="0" w:after="283"/>
              <w:jc w:val="left"/>
              <w:rPr>
                <w:sz w:val="4"/>
                <w:szCs w:val="4"/>
              </w:rPr>
            </w:pPr>
            <w:r>
              <w:rPr>
                <w:sz w:val="4"/>
                <w:szCs w:val="4"/>
              </w:rPr>
            </w:r>
          </w:p>
        </w:tc>
        <w:tc>
          <w:tcPr>
            <w:tcW w:w="2419" w:type="dxa"/>
            <w:gridSpan w:val="2"/>
            <w:tcBorders/>
            <w:vAlign w:val="center"/>
          </w:tcPr>
          <w:p>
            <w:pPr>
              <w:pStyle w:val="TableContents"/>
              <w:bidi w:val="0"/>
              <w:spacing w:before="0" w:after="283"/>
              <w:jc w:val="left"/>
              <w:rPr>
                <w:sz w:val="4"/>
                <w:szCs w:val="4"/>
              </w:rPr>
            </w:pPr>
            <w:r>
              <w:rPr>
                <w:sz w:val="4"/>
                <w:szCs w:val="4"/>
              </w:rPr>
            </w:r>
          </w:p>
        </w:tc>
        <w:tc>
          <w:tcPr>
            <w:tcW w:w="1027" w:type="dxa"/>
            <w:tcBorders/>
          </w:tcPr>
          <w:p>
            <w:pPr>
              <w:pStyle w:val="TableContents"/>
              <w:bidi w:val="0"/>
              <w:spacing w:before="0" w:after="283"/>
              <w:jc w:val="left"/>
              <w:rPr>
                <w:sz w:val="4"/>
                <w:szCs w:val="4"/>
              </w:rPr>
            </w:pPr>
            <w:r>
              <w:rPr>
                <w:sz w:val="4"/>
                <w:szCs w:val="4"/>
              </w:rPr>
            </w:r>
          </w:p>
        </w:tc>
      </w:tr>
      <w:tr>
        <w:trPr/>
        <w:tc>
          <w:tcPr>
            <w:tcW w:w="63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3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1027" w:type="dxa"/>
            <w:tcBorders/>
          </w:tcPr>
          <w:p>
            <w:pPr>
              <w:pStyle w:val="TableContents"/>
              <w:bidi w:val="0"/>
              <w:spacing w:before="0" w:after="283"/>
              <w:jc w:val="left"/>
              <w:rPr>
                <w:sz w:val="4"/>
                <w:szCs w:val="4"/>
              </w:rPr>
            </w:pPr>
            <w:r>
              <w:rPr>
                <w:sz w:val="4"/>
                <w:szCs w:val="4"/>
              </w:rPr>
            </w:r>
          </w:p>
        </w:tc>
      </w:tr>
      <w:tr>
        <w:trPr/>
        <w:tc>
          <w:tcPr>
            <w:tcW w:w="63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359" w:type="dxa"/>
            <w:tcBorders/>
          </w:tcPr>
          <w:p>
            <w:pPr>
              <w:pStyle w:val="TableContents"/>
              <w:bidi w:val="0"/>
              <w:spacing w:before="0" w:after="283"/>
              <w:jc w:val="left"/>
              <w:rPr/>
            </w:pPr>
            <w:r>
              <w:rPr/>
              <w:t>Steve Filton</w:t>
            </w:r>
          </w:p>
        </w:tc>
        <w:tc>
          <w:tcPr>
            <w:tcW w:w="1027" w:type="dxa"/>
            <w:tcBorders/>
          </w:tcPr>
          <w:p>
            <w:pPr>
              <w:pStyle w:val="TableContents"/>
              <w:bidi w:val="0"/>
              <w:spacing w:before="0" w:after="283"/>
              <w:jc w:val="left"/>
              <w:rPr>
                <w:sz w:val="4"/>
                <w:szCs w:val="4"/>
              </w:rPr>
            </w:pPr>
            <w:r>
              <w:rPr>
                <w:sz w:val="4"/>
                <w:szCs w:val="4"/>
              </w:rPr>
            </w:r>
          </w:p>
        </w:tc>
      </w:tr>
      <w:tr>
        <w:trPr/>
        <w:tc>
          <w:tcPr>
            <w:tcW w:w="63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359" w:type="dxa"/>
            <w:tcBorders/>
          </w:tcPr>
          <w:p>
            <w:pPr>
              <w:pStyle w:val="TableContents"/>
              <w:bidi w:val="0"/>
              <w:spacing w:before="0" w:after="283"/>
              <w:jc w:val="left"/>
              <w:rPr/>
            </w:pPr>
            <w:r>
              <w:rPr/>
              <w:t>Vice President</w:t>
            </w:r>
          </w:p>
        </w:tc>
        <w:tc>
          <w:tcPr>
            <w:tcW w:w="102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8"/>
        <w:gridCol w:w="60"/>
        <w:gridCol w:w="3334"/>
      </w:tblGrid>
      <w:tr>
        <w:trPr/>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CUMBERLAND HOSPITAL,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Cumberland Hospital Partners, LLC</w:t>
            </w:r>
          </w:p>
        </w:tc>
      </w:tr>
      <w:tr>
        <w:trPr/>
        <w:tc>
          <w:tcPr>
            <w:tcW w:w="4082" w:type="dxa"/>
            <w:gridSpan w:val="3"/>
            <w:tcBorders/>
          </w:tcPr>
          <w:p>
            <w:pPr>
              <w:pStyle w:val="TableContents"/>
              <w:bidi w:val="0"/>
              <w:spacing w:before="0" w:after="283"/>
              <w:jc w:val="left"/>
              <w:rPr/>
            </w:pPr>
            <w:r>
              <w:rPr/>
              <w:t>Its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BHC Properties, LLC</w:t>
            </w:r>
          </w:p>
        </w:tc>
      </w:tr>
      <w:tr>
        <w:trPr/>
        <w:tc>
          <w:tcPr>
            <w:tcW w:w="4082" w:type="dxa"/>
            <w:gridSpan w:val="3"/>
            <w:tcBorders/>
          </w:tcPr>
          <w:p>
            <w:pPr>
              <w:pStyle w:val="TableContents"/>
              <w:bidi w:val="0"/>
              <w:spacing w:before="0" w:after="283"/>
              <w:jc w:val="left"/>
              <w:rPr/>
            </w:pPr>
            <w:r>
              <w:rPr/>
              <w:t>Its Minority Member and Sole Member of the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Behavioral Healthcare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8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Steve Filton</w:t>
            </w:r>
          </w:p>
        </w:tc>
      </w:tr>
      <w:tr>
        <w:trPr/>
        <w:tc>
          <w:tcPr>
            <w:tcW w:w="68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VALLE VISTA,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BHC of Indiana, General Partnership</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Columbus Hospital Partners,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Lebanon Hospital Partners,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Northern Indiana Partners,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Valle Vista Hospital Partners,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Behavioral Healthcare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Sole Member of each of the above General Partners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WELLSTONE REGIONAL HOSPITAL ACQUISITION,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Wellstone Holdings, Inc.</w:t>
            </w:r>
          </w:p>
        </w:tc>
      </w:tr>
      <w:tr>
        <w:trPr/>
        <w:tc>
          <w:tcPr>
            <w:tcW w:w="4082" w:type="dxa"/>
            <w:gridSpan w:val="3"/>
            <w:tcBorders/>
          </w:tcPr>
          <w:p>
            <w:pPr>
              <w:pStyle w:val="TableContents"/>
              <w:bidi w:val="0"/>
              <w:spacing w:before="0" w:after="283"/>
              <w:jc w:val="left"/>
              <w:rPr/>
            </w:pPr>
            <w:r>
              <w:rPr/>
              <w:t>Its Minority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Behavioral Healthcare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Managing Member and Sole Member of the Minority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Steve Filton</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8"/>
        <w:gridCol w:w="60"/>
        <w:gridCol w:w="3324"/>
      </w:tblGrid>
      <w:tr>
        <w:trPr/>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BEHAVIORAL HEALTHCARE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BHC Holdings,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9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tcPr>
          <w:p>
            <w:pPr>
              <w:pStyle w:val="TableContents"/>
              <w:bidi w:val="0"/>
              <w:spacing w:before="0" w:after="283"/>
              <w:jc w:val="left"/>
              <w:rPr/>
            </w:pPr>
            <w:r>
              <w:rPr/>
              <w:t>Steve Filton</w:t>
            </w:r>
          </w:p>
        </w:tc>
      </w:tr>
      <w:tr>
        <w:trPr/>
        <w:tc>
          <w:tcPr>
            <w:tcW w:w="69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908"/>
        <w:gridCol w:w="66"/>
        <w:gridCol w:w="3108"/>
      </w:tblGrid>
      <w:tr>
        <w:trPr/>
        <w:tc>
          <w:tcPr>
            <w:tcW w:w="908"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HORIZON HEALTH HOSPITAL SERVICES, LLC</w:t>
            </w:r>
          </w:p>
        </w:tc>
      </w:tr>
      <w:tr>
        <w:trPr/>
        <w:tc>
          <w:tcPr>
            <w:tcW w:w="4082" w:type="dxa"/>
            <w:gridSpan w:val="3"/>
            <w:tcBorders/>
          </w:tcPr>
          <w:p>
            <w:pPr>
              <w:pStyle w:val="TableContents"/>
              <w:bidi w:val="0"/>
              <w:spacing w:before="0" w:after="283"/>
              <w:jc w:val="left"/>
              <w:rPr/>
            </w:pPr>
            <w:r>
              <w:rPr/>
              <w:t>HORIZON MENTAL HEALTH MANAGEMENT,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Horizon Health Corporation</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908" w:type="dxa"/>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By:</w:t>
            </w:r>
          </w:p>
        </w:tc>
        <w:tc>
          <w:tcPr>
            <w:tcW w:w="66" w:type="dxa"/>
            <w:tcBorders/>
            <w:vAlign w:val="bottom"/>
          </w:tcPr>
          <w:p>
            <w:pPr>
              <w:pStyle w:val="TableContents"/>
              <w:bidi w:val="0"/>
              <w:spacing w:before="0" w:after="283"/>
              <w:jc w:val="left"/>
              <w:rPr/>
            </w:pPr>
            <w:r>
              <w:rPr/>
              <w:t> </w:t>
            </w:r>
          </w:p>
        </w:tc>
        <w:tc>
          <w:tcPr>
            <w:tcW w:w="310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908" w:type="dxa"/>
            <w:tcBorders/>
          </w:tcPr>
          <w:p>
            <w:pPr>
              <w:pStyle w:val="TableContents"/>
              <w:bidi w:val="0"/>
              <w:spacing w:before="0" w:after="283"/>
              <w:jc w:val="left"/>
              <w:rPr/>
            </w:pPr>
            <w:r>
              <w:rPr/>
              <w:t>Name:</w:t>
            </w:r>
          </w:p>
        </w:tc>
        <w:tc>
          <w:tcPr>
            <w:tcW w:w="66" w:type="dxa"/>
            <w:tcBorders/>
            <w:vAlign w:val="bottom"/>
          </w:tcPr>
          <w:p>
            <w:pPr>
              <w:pStyle w:val="TableContents"/>
              <w:bidi w:val="0"/>
              <w:spacing w:before="0" w:after="283"/>
              <w:jc w:val="left"/>
              <w:rPr/>
            </w:pPr>
            <w:r>
              <w:rPr/>
              <w:t> </w:t>
            </w:r>
          </w:p>
        </w:tc>
        <w:tc>
          <w:tcPr>
            <w:tcW w:w="3108" w:type="dxa"/>
            <w:tcBorders/>
          </w:tcPr>
          <w:p>
            <w:pPr>
              <w:pStyle w:val="TableContents"/>
              <w:bidi w:val="0"/>
              <w:spacing w:before="0" w:after="283"/>
              <w:jc w:val="left"/>
              <w:rPr/>
            </w:pPr>
            <w:r>
              <w:rPr/>
              <w:t>Steve Filton</w:t>
            </w:r>
          </w:p>
        </w:tc>
      </w:tr>
      <w:tr>
        <w:trPr/>
        <w:tc>
          <w:tcPr>
            <w:tcW w:w="908" w:type="dxa"/>
            <w:tcBorders/>
          </w:tcPr>
          <w:p>
            <w:pPr>
              <w:pStyle w:val="TableContents"/>
              <w:bidi w:val="0"/>
              <w:spacing w:before="0" w:after="283"/>
              <w:jc w:val="left"/>
              <w:rPr/>
            </w:pPr>
            <w:r>
              <w:rPr/>
              <w:t>Title:</w:t>
            </w:r>
          </w:p>
        </w:tc>
        <w:tc>
          <w:tcPr>
            <w:tcW w:w="66" w:type="dxa"/>
            <w:tcBorders/>
            <w:vAlign w:val="bottom"/>
          </w:tcPr>
          <w:p>
            <w:pPr>
              <w:pStyle w:val="TableContents"/>
              <w:bidi w:val="0"/>
              <w:spacing w:before="0" w:after="283"/>
              <w:jc w:val="left"/>
              <w:rPr/>
            </w:pPr>
            <w:r>
              <w:rPr/>
              <w:t> </w:t>
            </w:r>
          </w:p>
        </w:tc>
        <w:tc>
          <w:tcPr>
            <w:tcW w:w="3108"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8"/>
        <w:gridCol w:w="60"/>
        <w:gridCol w:w="2662"/>
        <w:gridCol w:w="742"/>
      </w:tblGrid>
      <w:tr>
        <w:trPr/>
        <w:tc>
          <w:tcPr>
            <w:tcW w:w="61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742" w:type="dxa"/>
            <w:tcBorders/>
          </w:tcPr>
          <w:p>
            <w:pPr>
              <w:pStyle w:val="TableContents"/>
              <w:bidi w:val="0"/>
              <w:spacing w:before="0" w:after="283"/>
              <w:jc w:val="left"/>
              <w:rPr>
                <w:sz w:val="4"/>
                <w:szCs w:val="4"/>
              </w:rPr>
            </w:pPr>
            <w:r>
              <w:rPr>
                <w:sz w:val="4"/>
                <w:szCs w:val="4"/>
              </w:rPr>
            </w:r>
          </w:p>
        </w:tc>
      </w:tr>
      <w:tr>
        <w:trPr/>
        <w:tc>
          <w:tcPr>
            <w:tcW w:w="3340" w:type="dxa"/>
            <w:gridSpan w:val="3"/>
            <w:vMerge w:val="restart"/>
            <w:tcBorders/>
          </w:tcPr>
          <w:p>
            <w:pPr>
              <w:pStyle w:val="TableContents"/>
              <w:bidi w:val="0"/>
              <w:spacing w:before="0" w:after="0"/>
              <w:jc w:val="left"/>
              <w:rPr>
                <w:rFonts w:ascii="Times New Roman" w:hAnsi="Times New Roman"/>
                <w:sz w:val="20"/>
              </w:rPr>
            </w:pPr>
            <w:r>
              <w:rPr>
                <w:rFonts w:ascii="Times New Roman" w:hAnsi="Times New Roman"/>
                <w:sz w:val="20"/>
              </w:rPr>
              <w:t>HHC PENNSYLVANIA, LLC</w:t>
            </w:r>
          </w:p>
          <w:p>
            <w:pPr>
              <w:pStyle w:val="TableContents"/>
              <w:bidi w:val="0"/>
              <w:spacing w:before="0" w:after="0"/>
              <w:jc w:val="left"/>
              <w:rPr>
                <w:rFonts w:ascii="Times New Roman" w:hAnsi="Times New Roman"/>
                <w:sz w:val="20"/>
              </w:rPr>
            </w:pPr>
            <w:r>
              <w:rPr>
                <w:rFonts w:ascii="Times New Roman" w:hAnsi="Times New Roman"/>
                <w:sz w:val="20"/>
              </w:rPr>
              <w:t>HHC POPLAR SPRINGS, LLC</w:t>
            </w:r>
          </w:p>
          <w:p>
            <w:pPr>
              <w:pStyle w:val="TableContents"/>
              <w:bidi w:val="0"/>
              <w:spacing w:before="0" w:after="0"/>
              <w:jc w:val="left"/>
              <w:rPr>
                <w:rFonts w:ascii="Times New Roman" w:hAnsi="Times New Roman"/>
                <w:sz w:val="20"/>
              </w:rPr>
            </w:pPr>
            <w:r>
              <w:rPr>
                <w:rFonts w:ascii="Times New Roman" w:hAnsi="Times New Roman"/>
                <w:sz w:val="20"/>
              </w:rPr>
              <w:t>KINGWOOD PINES HOSPITAL, LLC</w:t>
            </w:r>
          </w:p>
          <w:p>
            <w:pPr>
              <w:pStyle w:val="TableContents"/>
              <w:bidi w:val="0"/>
              <w:spacing w:before="0" w:after="0"/>
              <w:jc w:val="left"/>
              <w:rPr>
                <w:rFonts w:ascii="Times New Roman" w:hAnsi="Times New Roman"/>
                <w:sz w:val="20"/>
              </w:rPr>
            </w:pPr>
            <w:r>
              <w:rPr>
                <w:rFonts w:ascii="Times New Roman" w:hAnsi="Times New Roman"/>
                <w:sz w:val="20"/>
              </w:rPr>
              <w:t>SCHICK SHADEL OF FLORIDA, LLC</w:t>
            </w:r>
          </w:p>
          <w:p>
            <w:pPr>
              <w:pStyle w:val="TableContents"/>
              <w:bidi w:val="0"/>
              <w:spacing w:before="0" w:after="20"/>
              <w:jc w:val="left"/>
              <w:rPr>
                <w:rFonts w:ascii="Times New Roman" w:hAnsi="Times New Roman"/>
                <w:sz w:val="20"/>
              </w:rPr>
            </w:pPr>
            <w:r>
              <w:rPr>
                <w:rFonts w:ascii="Times New Roman" w:hAnsi="Times New Roman"/>
                <w:sz w:val="20"/>
              </w:rPr>
              <w:t>TOLEDO HOLDING CO., LLC</w:t>
            </w:r>
          </w:p>
        </w:tc>
        <w:tc>
          <w:tcPr>
            <w:tcW w:w="742" w:type="dxa"/>
            <w:tcBorders/>
          </w:tcPr>
          <w:p>
            <w:pPr>
              <w:pStyle w:val="TableContents"/>
              <w:bidi w:val="0"/>
              <w:spacing w:before="0" w:after="283"/>
              <w:jc w:val="left"/>
              <w:rPr>
                <w:sz w:val="4"/>
                <w:szCs w:val="4"/>
              </w:rPr>
            </w:pPr>
            <w:r>
              <w:rPr>
                <w:sz w:val="4"/>
                <w:szCs w:val="4"/>
              </w:rPr>
            </w:r>
          </w:p>
        </w:tc>
      </w:tr>
      <w:tr>
        <w:trPr>
          <w:trHeight w:val="240" w:hRule="atLeast"/>
        </w:trPr>
        <w:tc>
          <w:tcPr>
            <w:tcW w:w="3340" w:type="dxa"/>
            <w:gridSpan w:val="3"/>
            <w:vMerge w:val="continue"/>
            <w:tcBorders/>
          </w:tcPr>
          <w:p>
            <w:pPr>
              <w:pStyle w:val="Normal"/>
              <w:bidi w:val="0"/>
              <w:jc w:val="left"/>
              <w:rPr/>
            </w:pPr>
            <w:r>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3340" w:type="dxa"/>
            <w:gridSpan w:val="3"/>
            <w:vMerge w:val="continue"/>
            <w:tcBorders/>
          </w:tcPr>
          <w:p>
            <w:pPr>
              <w:pStyle w:val="Normal"/>
              <w:bidi w:val="0"/>
              <w:jc w:val="left"/>
              <w:rPr/>
            </w:pPr>
            <w:r>
              <w:rPr/>
            </w:r>
          </w:p>
        </w:tc>
        <w:tc>
          <w:tcPr>
            <w:tcW w:w="742" w:type="dxa"/>
            <w:tcBorders/>
          </w:tcPr>
          <w:p>
            <w:pPr>
              <w:pStyle w:val="TableContents"/>
              <w:bidi w:val="0"/>
              <w:spacing w:before="0" w:after="0"/>
              <w:jc w:val="left"/>
              <w:rPr>
                <w:rFonts w:ascii="Times New Roman" w:hAnsi="Times New Roman"/>
                <w:sz w:val="20"/>
              </w:rPr>
            </w:pPr>
            <w:r>
              <w:rPr>
                <w:rFonts w:ascii="Times New Roman" w:hAnsi="Times New Roman"/>
                <w:sz w:val="20"/>
              </w:rPr>
              <w:t>By: Horizon Health Hospital Services, LLC</w:t>
            </w:r>
          </w:p>
        </w:tc>
      </w:tr>
      <w:tr>
        <w:trPr/>
        <w:tc>
          <w:tcPr>
            <w:tcW w:w="3340" w:type="dxa"/>
            <w:gridSpan w:val="3"/>
            <w:vMerge w:val="continue"/>
            <w:tcBorders/>
          </w:tcPr>
          <w:p>
            <w:pPr>
              <w:pStyle w:val="Normal"/>
              <w:bidi w:val="0"/>
              <w:jc w:val="left"/>
              <w:rPr/>
            </w:pPr>
            <w:r>
              <w:rPr/>
            </w:r>
          </w:p>
        </w:tc>
        <w:tc>
          <w:tcPr>
            <w:tcW w:w="742" w:type="dxa"/>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3340" w:type="dxa"/>
            <w:gridSpan w:val="3"/>
            <w:vMerge w:val="continue"/>
            <w:tcBorders/>
          </w:tcPr>
          <w:p>
            <w:pPr>
              <w:pStyle w:val="Normal"/>
              <w:bidi w:val="0"/>
              <w:jc w:val="left"/>
              <w:rPr/>
            </w:pPr>
            <w:r>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334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Horizon Health Corporation</w:t>
            </w:r>
          </w:p>
        </w:tc>
        <w:tc>
          <w:tcPr>
            <w:tcW w:w="742" w:type="dxa"/>
            <w:tcBorders/>
          </w:tcPr>
          <w:p>
            <w:pPr>
              <w:pStyle w:val="TableContents"/>
              <w:bidi w:val="0"/>
              <w:spacing w:before="0" w:after="283"/>
              <w:jc w:val="left"/>
              <w:rPr>
                <w:sz w:val="4"/>
                <w:szCs w:val="4"/>
              </w:rPr>
            </w:pPr>
            <w:r>
              <w:rPr>
                <w:sz w:val="4"/>
                <w:szCs w:val="4"/>
              </w:rPr>
            </w:r>
          </w:p>
        </w:tc>
      </w:tr>
      <w:tr>
        <w:trPr/>
        <w:tc>
          <w:tcPr>
            <w:tcW w:w="334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c>
          <w:tcPr>
            <w:tcW w:w="742" w:type="dxa"/>
            <w:tcBorders/>
          </w:tcPr>
          <w:p>
            <w:pPr>
              <w:pStyle w:val="TableContents"/>
              <w:bidi w:val="0"/>
              <w:spacing w:before="0" w:after="283"/>
              <w:jc w:val="left"/>
              <w:rPr>
                <w:sz w:val="4"/>
                <w:szCs w:val="4"/>
              </w:rPr>
            </w:pPr>
            <w:r>
              <w:rPr>
                <w:sz w:val="4"/>
                <w:szCs w:val="4"/>
              </w:rPr>
            </w:r>
          </w:p>
        </w:tc>
      </w:tr>
      <w:tr>
        <w:trPr>
          <w:trHeight w:val="240" w:hRule="atLeast"/>
        </w:trPr>
        <w:tc>
          <w:tcPr>
            <w:tcW w:w="618" w:type="dxa"/>
            <w:tcBorders/>
            <w:vAlign w:val="center"/>
          </w:tcPr>
          <w:p>
            <w:pPr>
              <w:pStyle w:val="TableContents"/>
              <w:bidi w:val="0"/>
              <w:spacing w:before="0" w:after="283"/>
              <w:jc w:val="left"/>
              <w:rPr>
                <w:sz w:val="4"/>
                <w:szCs w:val="4"/>
              </w:rPr>
            </w:pPr>
            <w:r>
              <w:rPr>
                <w:sz w:val="4"/>
                <w:szCs w:val="4"/>
              </w:rPr>
            </w:r>
          </w:p>
        </w:tc>
        <w:tc>
          <w:tcPr>
            <w:tcW w:w="2722" w:type="dxa"/>
            <w:gridSpan w:val="2"/>
            <w:tcBorders/>
            <w:vAlign w:val="center"/>
          </w:tcPr>
          <w:p>
            <w:pPr>
              <w:pStyle w:val="TableContents"/>
              <w:bidi w:val="0"/>
              <w:spacing w:before="0" w:after="283"/>
              <w:jc w:val="left"/>
              <w:rPr>
                <w:sz w:val="4"/>
                <w:szCs w:val="4"/>
              </w:rPr>
            </w:pPr>
            <w:r>
              <w:rPr>
                <w:sz w:val="4"/>
                <w:szCs w:val="4"/>
              </w:rPr>
            </w:r>
          </w:p>
        </w:tc>
        <w:tc>
          <w:tcPr>
            <w:tcW w:w="742" w:type="dxa"/>
            <w:tcBorders/>
          </w:tcPr>
          <w:p>
            <w:pPr>
              <w:pStyle w:val="TableContents"/>
              <w:bidi w:val="0"/>
              <w:spacing w:before="0" w:after="283"/>
              <w:jc w:val="left"/>
              <w:rPr>
                <w:sz w:val="4"/>
                <w:szCs w:val="4"/>
              </w:rPr>
            </w:pPr>
            <w:r>
              <w:rPr>
                <w:sz w:val="4"/>
                <w:szCs w:val="4"/>
              </w:rPr>
            </w:r>
          </w:p>
        </w:tc>
      </w:tr>
      <w:tr>
        <w:trPr/>
        <w:tc>
          <w:tcPr>
            <w:tcW w:w="61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66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742" w:type="dxa"/>
            <w:tcBorders/>
          </w:tcPr>
          <w:p>
            <w:pPr>
              <w:pStyle w:val="TableContents"/>
              <w:bidi w:val="0"/>
              <w:spacing w:before="0" w:after="283"/>
              <w:jc w:val="left"/>
              <w:rPr>
                <w:sz w:val="4"/>
                <w:szCs w:val="4"/>
              </w:rPr>
            </w:pPr>
            <w:r>
              <w:rPr>
                <w:sz w:val="4"/>
                <w:szCs w:val="4"/>
              </w:rPr>
            </w:r>
          </w:p>
        </w:tc>
      </w:tr>
      <w:tr>
        <w:trPr/>
        <w:tc>
          <w:tcPr>
            <w:tcW w:w="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26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Steve Filton</w:t>
            </w:r>
          </w:p>
        </w:tc>
        <w:tc>
          <w:tcPr>
            <w:tcW w:w="742" w:type="dxa"/>
            <w:tcBorders/>
          </w:tcPr>
          <w:p>
            <w:pPr>
              <w:pStyle w:val="TableContents"/>
              <w:bidi w:val="0"/>
              <w:spacing w:before="0" w:after="283"/>
              <w:jc w:val="left"/>
              <w:rPr>
                <w:sz w:val="4"/>
                <w:szCs w:val="4"/>
              </w:rPr>
            </w:pPr>
            <w:r>
              <w:rPr>
                <w:sz w:val="4"/>
                <w:szCs w:val="4"/>
              </w:rPr>
            </w:r>
          </w:p>
        </w:tc>
      </w:tr>
      <w:tr>
        <w:trPr/>
        <w:tc>
          <w:tcPr>
            <w:tcW w:w="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26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w:t>
            </w:r>
          </w:p>
        </w:tc>
        <w:tc>
          <w:tcPr>
            <w:tcW w:w="74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37"/>
        <w:gridCol w:w="60"/>
        <w:gridCol w:w="2433"/>
        <w:gridCol w:w="952"/>
      </w:tblGrid>
      <w:tr>
        <w:trPr/>
        <w:tc>
          <w:tcPr>
            <w:tcW w:w="63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952" w:type="dxa"/>
            <w:tcBorders/>
          </w:tcPr>
          <w:p>
            <w:pPr>
              <w:pStyle w:val="TableContents"/>
              <w:bidi w:val="0"/>
              <w:spacing w:before="0" w:after="283"/>
              <w:jc w:val="left"/>
              <w:rPr>
                <w:sz w:val="4"/>
                <w:szCs w:val="4"/>
              </w:rPr>
            </w:pPr>
            <w:r>
              <w:rPr>
                <w:sz w:val="4"/>
                <w:szCs w:val="4"/>
              </w:rPr>
            </w:r>
          </w:p>
        </w:tc>
      </w:tr>
      <w:tr>
        <w:trPr/>
        <w:tc>
          <w:tcPr>
            <w:tcW w:w="3130" w:type="dxa"/>
            <w:gridSpan w:val="3"/>
            <w:vMerge w:val="restart"/>
            <w:tcBorders/>
          </w:tcPr>
          <w:p>
            <w:pPr>
              <w:pStyle w:val="TableContents"/>
              <w:bidi w:val="0"/>
              <w:spacing w:before="0" w:after="0"/>
              <w:jc w:val="left"/>
              <w:rPr>
                <w:rFonts w:ascii="Times New Roman" w:hAnsi="Times New Roman"/>
                <w:sz w:val="20"/>
              </w:rPr>
            </w:pPr>
            <w:r>
              <w:rPr>
                <w:rFonts w:ascii="Times New Roman" w:hAnsi="Times New Roman"/>
                <w:sz w:val="20"/>
              </w:rPr>
              <w:t>HICKORY TRAIL HOSPITAL, L.P.</w:t>
            </w:r>
          </w:p>
          <w:p>
            <w:pPr>
              <w:pStyle w:val="TableContents"/>
              <w:bidi w:val="0"/>
              <w:spacing w:before="0" w:after="0"/>
              <w:jc w:val="left"/>
              <w:rPr>
                <w:rFonts w:ascii="Times New Roman" w:hAnsi="Times New Roman"/>
                <w:sz w:val="20"/>
              </w:rPr>
            </w:pPr>
            <w:r>
              <w:rPr>
                <w:rFonts w:ascii="Times New Roman" w:hAnsi="Times New Roman"/>
                <w:sz w:val="20"/>
              </w:rPr>
              <w:t>MILLWOOD HOSPITAL, L.P.</w:t>
            </w:r>
          </w:p>
          <w:p>
            <w:pPr>
              <w:pStyle w:val="TableContents"/>
              <w:bidi w:val="0"/>
              <w:spacing w:before="0" w:after="0"/>
              <w:jc w:val="left"/>
              <w:rPr>
                <w:rFonts w:ascii="Times New Roman" w:hAnsi="Times New Roman"/>
                <w:sz w:val="20"/>
              </w:rPr>
            </w:pPr>
            <w:r>
              <w:rPr>
                <w:rFonts w:ascii="Times New Roman" w:hAnsi="Times New Roman"/>
                <w:sz w:val="20"/>
              </w:rPr>
              <w:t>NEURO INSTITUTE OF AUSTIN, L.P.</w:t>
            </w:r>
          </w:p>
          <w:p>
            <w:pPr>
              <w:pStyle w:val="TableContents"/>
              <w:bidi w:val="0"/>
              <w:spacing w:before="0" w:after="0"/>
              <w:jc w:val="left"/>
              <w:rPr>
                <w:rFonts w:ascii="Times New Roman" w:hAnsi="Times New Roman"/>
                <w:sz w:val="20"/>
              </w:rPr>
            </w:pPr>
            <w:r>
              <w:rPr>
                <w:rFonts w:ascii="Times New Roman" w:hAnsi="Times New Roman"/>
                <w:sz w:val="20"/>
              </w:rPr>
              <w:t>TEXAS CYPRESS CREEK HOSPITAL, L.P.</w:t>
            </w:r>
          </w:p>
          <w:p>
            <w:pPr>
              <w:pStyle w:val="TableContents"/>
              <w:bidi w:val="0"/>
              <w:spacing w:before="0" w:after="0"/>
              <w:jc w:val="left"/>
              <w:rPr>
                <w:rFonts w:ascii="Times New Roman" w:hAnsi="Times New Roman"/>
                <w:sz w:val="20"/>
              </w:rPr>
            </w:pPr>
            <w:r>
              <w:rPr>
                <w:rFonts w:ascii="Times New Roman" w:hAnsi="Times New Roman"/>
                <w:sz w:val="20"/>
              </w:rPr>
              <w:t>TEXAS LAUREL RIDGE HOSPITAL, L.P.</w:t>
            </w:r>
          </w:p>
          <w:p>
            <w:pPr>
              <w:pStyle w:val="TableContents"/>
              <w:bidi w:val="0"/>
              <w:spacing w:before="0" w:after="0"/>
              <w:jc w:val="left"/>
              <w:rPr>
                <w:rFonts w:ascii="Times New Roman" w:hAnsi="Times New Roman"/>
                <w:sz w:val="20"/>
              </w:rPr>
            </w:pPr>
            <w:r>
              <w:rPr>
                <w:rFonts w:ascii="Times New Roman" w:hAnsi="Times New Roman"/>
                <w:sz w:val="20"/>
              </w:rPr>
              <w:t>TEXAS OAKS PSYCHIATRIC HOSPITAL, L.P.</w:t>
            </w:r>
          </w:p>
          <w:p>
            <w:pPr>
              <w:pStyle w:val="TableContents"/>
              <w:bidi w:val="0"/>
              <w:spacing w:before="0" w:after="0"/>
              <w:jc w:val="left"/>
              <w:rPr>
                <w:rFonts w:ascii="Times New Roman" w:hAnsi="Times New Roman"/>
                <w:sz w:val="20"/>
              </w:rPr>
            </w:pPr>
            <w:r>
              <w:rPr>
                <w:rFonts w:ascii="Times New Roman" w:hAnsi="Times New Roman"/>
                <w:sz w:val="20"/>
              </w:rPr>
              <w:t>TEXAS SAN MARCOS TREATMENT CENTER, L.P.</w:t>
            </w:r>
          </w:p>
          <w:p>
            <w:pPr>
              <w:pStyle w:val="TableContents"/>
              <w:bidi w:val="0"/>
              <w:spacing w:before="0" w:after="20"/>
              <w:jc w:val="left"/>
              <w:rPr>
                <w:rFonts w:ascii="Times New Roman" w:hAnsi="Times New Roman"/>
                <w:sz w:val="20"/>
              </w:rPr>
            </w:pPr>
            <w:r>
              <w:rPr>
                <w:rFonts w:ascii="Times New Roman" w:hAnsi="Times New Roman"/>
                <w:sz w:val="20"/>
              </w:rPr>
              <w:t>TEXAS WEST OAKS HOSPITAL, L.P.</w:t>
            </w:r>
          </w:p>
        </w:tc>
        <w:tc>
          <w:tcPr>
            <w:tcW w:w="952" w:type="dxa"/>
            <w:tcBorders/>
          </w:tcPr>
          <w:p>
            <w:pPr>
              <w:pStyle w:val="TableContents"/>
              <w:bidi w:val="0"/>
              <w:spacing w:before="0" w:after="283"/>
              <w:jc w:val="left"/>
              <w:rPr>
                <w:sz w:val="4"/>
                <w:szCs w:val="4"/>
              </w:rPr>
            </w:pPr>
            <w:r>
              <w:rPr>
                <w:sz w:val="4"/>
                <w:szCs w:val="4"/>
              </w:rPr>
            </w:r>
          </w:p>
        </w:tc>
      </w:tr>
      <w:tr>
        <w:trPr>
          <w:trHeight w:val="240" w:hRule="atLeast"/>
        </w:trPr>
        <w:tc>
          <w:tcPr>
            <w:tcW w:w="3130" w:type="dxa"/>
            <w:gridSpan w:val="3"/>
            <w:vMerge w:val="continue"/>
            <w:tcBorders/>
          </w:tcPr>
          <w:p>
            <w:pPr>
              <w:pStyle w:val="Normal"/>
              <w:bidi w:val="0"/>
              <w:jc w:val="left"/>
              <w:rPr/>
            </w:pPr>
            <w:r>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3130" w:type="dxa"/>
            <w:gridSpan w:val="3"/>
            <w:vMerge w:val="continue"/>
            <w:tcBorders/>
          </w:tcPr>
          <w:p>
            <w:pPr>
              <w:pStyle w:val="Normal"/>
              <w:bidi w:val="0"/>
              <w:jc w:val="left"/>
              <w:rPr/>
            </w:pPr>
            <w:r>
              <w:rPr/>
            </w:r>
          </w:p>
        </w:tc>
        <w:tc>
          <w:tcPr>
            <w:tcW w:w="952" w:type="dxa"/>
            <w:tcBorders/>
          </w:tcPr>
          <w:p>
            <w:pPr>
              <w:pStyle w:val="TableContents"/>
              <w:bidi w:val="0"/>
              <w:spacing w:before="0" w:after="283"/>
              <w:jc w:val="left"/>
              <w:rPr/>
            </w:pPr>
            <w:r>
              <w:rPr/>
              <w:t>By: Texas Hospital Holdings, LLC</w:t>
            </w:r>
          </w:p>
        </w:tc>
      </w:tr>
      <w:tr>
        <w:trPr/>
        <w:tc>
          <w:tcPr>
            <w:tcW w:w="3130" w:type="dxa"/>
            <w:gridSpan w:val="3"/>
            <w:vMerge w:val="continue"/>
            <w:tcBorders/>
          </w:tcPr>
          <w:p>
            <w:pPr>
              <w:pStyle w:val="Normal"/>
              <w:bidi w:val="0"/>
              <w:jc w:val="left"/>
              <w:rPr/>
            </w:pPr>
            <w:r>
              <w:rPr/>
            </w:r>
          </w:p>
        </w:tc>
        <w:tc>
          <w:tcPr>
            <w:tcW w:w="952" w:type="dxa"/>
            <w:tcBorders/>
          </w:tcPr>
          <w:p>
            <w:pPr>
              <w:pStyle w:val="TableContents"/>
              <w:bidi w:val="0"/>
              <w:spacing w:before="0" w:after="283"/>
              <w:jc w:val="left"/>
              <w:rPr/>
            </w:pPr>
            <w:r>
              <w:rPr/>
              <w:t>Its General Partner</w:t>
            </w:r>
          </w:p>
        </w:tc>
      </w:tr>
      <w:tr>
        <w:trPr>
          <w:trHeight w:val="240" w:hRule="atLeast"/>
        </w:trPr>
        <w:tc>
          <w:tcPr>
            <w:tcW w:w="3130" w:type="dxa"/>
            <w:gridSpan w:val="3"/>
            <w:vMerge w:val="continue"/>
            <w:tcBorders/>
          </w:tcPr>
          <w:p>
            <w:pPr>
              <w:pStyle w:val="Normal"/>
              <w:bidi w:val="0"/>
              <w:jc w:val="left"/>
              <w:rPr/>
            </w:pPr>
            <w:r>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3130" w:type="dxa"/>
            <w:gridSpan w:val="3"/>
            <w:vMerge w:val="continue"/>
            <w:tcBorders/>
          </w:tcPr>
          <w:p>
            <w:pPr>
              <w:pStyle w:val="Normal"/>
              <w:bidi w:val="0"/>
              <w:jc w:val="left"/>
              <w:rPr/>
            </w:pPr>
            <w:r>
              <w:rPr/>
            </w:r>
          </w:p>
        </w:tc>
        <w:tc>
          <w:tcPr>
            <w:tcW w:w="952" w:type="dxa"/>
            <w:tcBorders/>
          </w:tcPr>
          <w:p>
            <w:pPr>
              <w:pStyle w:val="TableContents"/>
              <w:bidi w:val="0"/>
              <w:spacing w:before="0" w:after="0"/>
              <w:jc w:val="left"/>
              <w:rPr>
                <w:rFonts w:ascii="Times New Roman" w:hAnsi="Times New Roman"/>
                <w:sz w:val="20"/>
              </w:rPr>
            </w:pPr>
            <w:r>
              <w:rPr>
                <w:rFonts w:ascii="Times New Roman" w:hAnsi="Times New Roman"/>
                <w:sz w:val="20"/>
              </w:rPr>
              <w:t>By: Psychiatric Solutions Hospitals, LLC</w:t>
            </w:r>
          </w:p>
        </w:tc>
      </w:tr>
      <w:tr>
        <w:trPr/>
        <w:tc>
          <w:tcPr>
            <w:tcW w:w="3130" w:type="dxa"/>
            <w:gridSpan w:val="3"/>
            <w:vMerge w:val="continue"/>
            <w:tcBorders/>
          </w:tcPr>
          <w:p>
            <w:pPr>
              <w:pStyle w:val="Normal"/>
              <w:bidi w:val="0"/>
              <w:jc w:val="left"/>
              <w:rPr/>
            </w:pPr>
            <w:r>
              <w:rPr/>
            </w:r>
          </w:p>
        </w:tc>
        <w:tc>
          <w:tcPr>
            <w:tcW w:w="952" w:type="dxa"/>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3130" w:type="dxa"/>
            <w:gridSpan w:val="3"/>
            <w:vMerge w:val="continue"/>
            <w:tcBorders/>
          </w:tcPr>
          <w:p>
            <w:pPr>
              <w:pStyle w:val="Normal"/>
              <w:bidi w:val="0"/>
              <w:jc w:val="left"/>
              <w:rPr/>
            </w:pPr>
            <w:r>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313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Psychiatric Solutions, Inc.</w:t>
            </w:r>
          </w:p>
        </w:tc>
        <w:tc>
          <w:tcPr>
            <w:tcW w:w="952" w:type="dxa"/>
            <w:tcBorders/>
          </w:tcPr>
          <w:p>
            <w:pPr>
              <w:pStyle w:val="TableContents"/>
              <w:bidi w:val="0"/>
              <w:spacing w:before="0" w:after="283"/>
              <w:jc w:val="left"/>
              <w:rPr>
                <w:sz w:val="4"/>
                <w:szCs w:val="4"/>
              </w:rPr>
            </w:pPr>
            <w:r>
              <w:rPr>
                <w:sz w:val="4"/>
                <w:szCs w:val="4"/>
              </w:rPr>
            </w:r>
          </w:p>
        </w:tc>
      </w:tr>
      <w:tr>
        <w:trPr/>
        <w:tc>
          <w:tcPr>
            <w:tcW w:w="313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c>
          <w:tcPr>
            <w:tcW w:w="952" w:type="dxa"/>
            <w:tcBorders/>
          </w:tcPr>
          <w:p>
            <w:pPr>
              <w:pStyle w:val="TableContents"/>
              <w:bidi w:val="0"/>
              <w:spacing w:before="0" w:after="283"/>
              <w:jc w:val="left"/>
              <w:rPr>
                <w:sz w:val="4"/>
                <w:szCs w:val="4"/>
              </w:rPr>
            </w:pPr>
            <w:r>
              <w:rPr>
                <w:sz w:val="4"/>
                <w:szCs w:val="4"/>
              </w:rPr>
            </w:r>
          </w:p>
        </w:tc>
      </w:tr>
      <w:tr>
        <w:trPr>
          <w:trHeight w:val="240" w:hRule="atLeast"/>
        </w:trPr>
        <w:tc>
          <w:tcPr>
            <w:tcW w:w="637" w:type="dxa"/>
            <w:tcBorders/>
            <w:vAlign w:val="center"/>
          </w:tcPr>
          <w:p>
            <w:pPr>
              <w:pStyle w:val="TableContents"/>
              <w:bidi w:val="0"/>
              <w:spacing w:before="0" w:after="283"/>
              <w:jc w:val="left"/>
              <w:rPr>
                <w:sz w:val="4"/>
                <w:szCs w:val="4"/>
              </w:rPr>
            </w:pPr>
            <w:r>
              <w:rPr>
                <w:sz w:val="4"/>
                <w:szCs w:val="4"/>
              </w:rPr>
            </w:r>
          </w:p>
        </w:tc>
        <w:tc>
          <w:tcPr>
            <w:tcW w:w="2493" w:type="dxa"/>
            <w:gridSpan w:val="2"/>
            <w:tcBorders/>
            <w:vAlign w:val="center"/>
          </w:tcPr>
          <w:p>
            <w:pPr>
              <w:pStyle w:val="TableContents"/>
              <w:bidi w:val="0"/>
              <w:spacing w:before="0" w:after="283"/>
              <w:jc w:val="left"/>
              <w:rPr>
                <w:sz w:val="4"/>
                <w:szCs w:val="4"/>
              </w:rPr>
            </w:pPr>
            <w:r>
              <w:rPr>
                <w:sz w:val="4"/>
                <w:szCs w:val="4"/>
              </w:rPr>
            </w:r>
          </w:p>
        </w:tc>
        <w:tc>
          <w:tcPr>
            <w:tcW w:w="952" w:type="dxa"/>
            <w:tcBorders/>
          </w:tcPr>
          <w:p>
            <w:pPr>
              <w:pStyle w:val="TableContents"/>
              <w:bidi w:val="0"/>
              <w:spacing w:before="0" w:after="283"/>
              <w:jc w:val="left"/>
              <w:rPr>
                <w:sz w:val="4"/>
                <w:szCs w:val="4"/>
              </w:rPr>
            </w:pPr>
            <w:r>
              <w:rPr>
                <w:sz w:val="4"/>
                <w:szCs w:val="4"/>
              </w:rPr>
            </w:r>
          </w:p>
        </w:tc>
      </w:tr>
      <w:tr>
        <w:trPr/>
        <w:tc>
          <w:tcPr>
            <w:tcW w:w="63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4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c>
          <w:tcPr>
            <w:tcW w:w="952" w:type="dxa"/>
            <w:tcBorders/>
          </w:tcPr>
          <w:p>
            <w:pPr>
              <w:pStyle w:val="TableContents"/>
              <w:bidi w:val="0"/>
              <w:spacing w:before="0" w:after="283"/>
              <w:jc w:val="left"/>
              <w:rPr>
                <w:sz w:val="4"/>
                <w:szCs w:val="4"/>
              </w:rPr>
            </w:pPr>
            <w:r>
              <w:rPr>
                <w:sz w:val="4"/>
                <w:szCs w:val="4"/>
              </w:rPr>
            </w:r>
          </w:p>
        </w:tc>
      </w:tr>
      <w:tr>
        <w:trPr/>
        <w:tc>
          <w:tcPr>
            <w:tcW w:w="63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433" w:type="dxa"/>
            <w:tcBorders/>
          </w:tcPr>
          <w:p>
            <w:pPr>
              <w:pStyle w:val="TableContents"/>
              <w:bidi w:val="0"/>
              <w:spacing w:before="0" w:after="283"/>
              <w:jc w:val="left"/>
              <w:rPr/>
            </w:pPr>
            <w:r>
              <w:rPr/>
              <w:t>Steve Filton</w:t>
            </w:r>
          </w:p>
        </w:tc>
        <w:tc>
          <w:tcPr>
            <w:tcW w:w="952" w:type="dxa"/>
            <w:tcBorders/>
          </w:tcPr>
          <w:p>
            <w:pPr>
              <w:pStyle w:val="TableContents"/>
              <w:bidi w:val="0"/>
              <w:spacing w:before="0" w:after="283"/>
              <w:jc w:val="left"/>
              <w:rPr>
                <w:sz w:val="4"/>
                <w:szCs w:val="4"/>
              </w:rPr>
            </w:pPr>
            <w:r>
              <w:rPr>
                <w:sz w:val="4"/>
                <w:szCs w:val="4"/>
              </w:rPr>
            </w:r>
          </w:p>
        </w:tc>
      </w:tr>
      <w:tr>
        <w:trPr/>
        <w:tc>
          <w:tcPr>
            <w:tcW w:w="63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433" w:type="dxa"/>
            <w:tcBorders/>
          </w:tcPr>
          <w:p>
            <w:pPr>
              <w:pStyle w:val="TableContents"/>
              <w:bidi w:val="0"/>
              <w:spacing w:before="0" w:after="283"/>
              <w:jc w:val="left"/>
              <w:rPr/>
            </w:pPr>
            <w:r>
              <w:rPr/>
              <w:t>Vice President</w:t>
            </w:r>
          </w:p>
        </w:tc>
        <w:tc>
          <w:tcPr>
            <w:tcW w:w="95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SHC-KPH,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HHC Kingwood Investment,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Horizon Health Hospital Services,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Sole member of the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Horizon Health Corporation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8"/>
        <w:gridCol w:w="60"/>
        <w:gridCol w:w="3324"/>
      </w:tblGrid>
      <w:tr>
        <w:trPr/>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H.C. PARTNERSHIP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H.C. Corporation</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Steve Filton</w:t>
            </w:r>
          </w:p>
        </w:tc>
      </w:tr>
      <w:tr>
        <w:trPr/>
        <w:tc>
          <w:tcPr>
            <w:tcW w:w="69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HSA Hill Crest Corporation</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8"/>
        <w:gridCol w:w="60"/>
        <w:gridCol w:w="3324"/>
      </w:tblGrid>
      <w:tr>
        <w:trPr/>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BHC OF INDIANA, GENERAL PARTNERSHIP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Columbus Hospital Partners,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Lebanon Hospital Partners,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Northern Indiana Partners,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Valle Vista Hospital Partners,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t>By: Behavioral Healthcare, LLC</w:t>
            </w:r>
          </w:p>
        </w:tc>
      </w:tr>
      <w:tr>
        <w:trPr/>
        <w:tc>
          <w:tcPr>
            <w:tcW w:w="4082" w:type="dxa"/>
            <w:gridSpan w:val="3"/>
            <w:tcBorders/>
          </w:tcPr>
          <w:p>
            <w:pPr>
              <w:pStyle w:val="TableContents"/>
              <w:bidi w:val="0"/>
              <w:spacing w:before="0" w:after="283"/>
              <w:jc w:val="left"/>
              <w:rPr/>
            </w:pPr>
            <w:r>
              <w:rPr/>
              <w:t> </w:t>
            </w:r>
            <w:r>
              <w:rPr/>
              <w:t>The Sole Member of each of the above General Partners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t>By: BHC Holdings, Inc.</w:t>
            </w:r>
          </w:p>
        </w:tc>
      </w:tr>
      <w:tr>
        <w:trPr/>
        <w:tc>
          <w:tcPr>
            <w:tcW w:w="4082" w:type="dxa"/>
            <w:gridSpan w:val="3"/>
            <w:tcBorders/>
          </w:tcPr>
          <w:p>
            <w:pPr>
              <w:pStyle w:val="TableContents"/>
              <w:bidi w:val="0"/>
              <w:spacing w:before="0" w:after="283"/>
              <w:jc w:val="left"/>
              <w:rPr/>
            </w:pPr>
            <w:r>
              <w:rPr/>
              <w:t>  </w:t>
            </w:r>
            <w:r>
              <w:rPr/>
              <w:t>Its Sole Member</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Steve Filton</w:t>
            </w:r>
          </w:p>
        </w:tc>
      </w:tr>
      <w:tr>
        <w:trPr/>
        <w:tc>
          <w:tcPr>
            <w:tcW w:w="69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INDEPENDENCE PHYSICIAN MANAGEMENT,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Fairmount,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Steve Filton</w:t>
            </w:r>
          </w:p>
        </w:tc>
      </w:tr>
      <w:tr>
        <w:trPr/>
        <w:tc>
          <w:tcPr>
            <w:tcW w:w="69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BEHAVIORAL HEALTH MANAGEMENT, LLC</w:t>
            </w:r>
          </w:p>
        </w:tc>
      </w:tr>
      <w:tr>
        <w:trPr/>
        <w:tc>
          <w:tcPr>
            <w:tcW w:w="4082" w:type="dxa"/>
            <w:gridSpan w:val="3"/>
            <w:tcBorders/>
          </w:tcPr>
          <w:p>
            <w:pPr>
              <w:pStyle w:val="TableContents"/>
              <w:bidi w:val="0"/>
              <w:spacing w:before="0" w:after="283"/>
              <w:jc w:val="left"/>
              <w:rPr/>
            </w:pPr>
            <w:r>
              <w:rPr/>
              <w:t>BEHAVIORAL HEALTH REALTY, LLC</w:t>
            </w:r>
          </w:p>
        </w:tc>
      </w:tr>
      <w:tr>
        <w:trPr/>
        <w:tc>
          <w:tcPr>
            <w:tcW w:w="4082" w:type="dxa"/>
            <w:gridSpan w:val="3"/>
            <w:tcBorders/>
          </w:tcPr>
          <w:p>
            <w:pPr>
              <w:pStyle w:val="TableContents"/>
              <w:bidi w:val="0"/>
              <w:spacing w:before="0" w:after="283"/>
              <w:jc w:val="left"/>
              <w:rPr/>
            </w:pPr>
            <w:r>
              <w:rPr/>
              <w:t>CAT REALTY, LLC</w:t>
            </w:r>
          </w:p>
        </w:tc>
      </w:tr>
      <w:tr>
        <w:trPr/>
        <w:tc>
          <w:tcPr>
            <w:tcW w:w="4082" w:type="dxa"/>
            <w:gridSpan w:val="3"/>
            <w:tcBorders/>
          </w:tcPr>
          <w:p>
            <w:pPr>
              <w:pStyle w:val="TableContents"/>
              <w:bidi w:val="0"/>
              <w:spacing w:before="0" w:after="283"/>
              <w:jc w:val="left"/>
              <w:rPr/>
            </w:pPr>
            <w:r>
              <w:rPr/>
              <w:t>CAT SEATTLE, LLC</w:t>
            </w:r>
          </w:p>
        </w:tc>
      </w:tr>
      <w:tr>
        <w:trPr/>
        <w:tc>
          <w:tcPr>
            <w:tcW w:w="4082" w:type="dxa"/>
            <w:gridSpan w:val="3"/>
            <w:tcBorders/>
          </w:tcPr>
          <w:p>
            <w:pPr>
              <w:pStyle w:val="TableContents"/>
              <w:bidi w:val="0"/>
              <w:spacing w:before="0" w:after="283"/>
              <w:jc w:val="left"/>
              <w:rPr/>
            </w:pPr>
            <w:r>
              <w:rPr/>
              <w:t>MAYHILL BEHAVIORAL HEALTH, LLC</w:t>
            </w:r>
          </w:p>
        </w:tc>
      </w:tr>
      <w:tr>
        <w:trPr/>
        <w:tc>
          <w:tcPr>
            <w:tcW w:w="4082" w:type="dxa"/>
            <w:gridSpan w:val="3"/>
            <w:tcBorders/>
          </w:tcPr>
          <w:p>
            <w:pPr>
              <w:pStyle w:val="TableContents"/>
              <w:bidi w:val="0"/>
              <w:spacing w:before="0" w:after="283"/>
              <w:jc w:val="left"/>
              <w:rPr/>
            </w:pPr>
            <w:r>
              <w:rPr/>
              <w:t>PSYCHIATRIC REALTY, LLC</w:t>
            </w:r>
          </w:p>
        </w:tc>
      </w:tr>
      <w:tr>
        <w:trPr/>
        <w:tc>
          <w:tcPr>
            <w:tcW w:w="4082" w:type="dxa"/>
            <w:gridSpan w:val="3"/>
            <w:tcBorders/>
          </w:tcPr>
          <w:p>
            <w:pPr>
              <w:pStyle w:val="TableContents"/>
              <w:bidi w:val="0"/>
              <w:spacing w:before="0" w:after="283"/>
              <w:jc w:val="left"/>
              <w:rPr/>
            </w:pPr>
            <w:r>
              <w:rPr/>
              <w:t>RR RECOVERY, LLC</w:t>
            </w:r>
          </w:p>
        </w:tc>
      </w:tr>
      <w:tr>
        <w:trPr/>
        <w:tc>
          <w:tcPr>
            <w:tcW w:w="4082" w:type="dxa"/>
            <w:gridSpan w:val="3"/>
            <w:tcBorders/>
          </w:tcPr>
          <w:p>
            <w:pPr>
              <w:pStyle w:val="TableContents"/>
              <w:bidi w:val="0"/>
              <w:spacing w:before="0" w:after="283"/>
              <w:jc w:val="left"/>
              <w:rPr/>
            </w:pPr>
            <w:r>
              <w:rPr/>
              <w:t>SALT LAKE BEHAVIORAL HEALTH, LLC</w:t>
            </w:r>
          </w:p>
        </w:tc>
      </w:tr>
      <w:tr>
        <w:trPr/>
        <w:tc>
          <w:tcPr>
            <w:tcW w:w="4082" w:type="dxa"/>
            <w:gridSpan w:val="3"/>
            <w:tcBorders/>
          </w:tcPr>
          <w:p>
            <w:pPr>
              <w:pStyle w:val="TableContents"/>
              <w:bidi w:val="0"/>
              <w:spacing w:before="0" w:after="283"/>
              <w:jc w:val="left"/>
              <w:rPr/>
            </w:pPr>
            <w:r>
              <w:rPr/>
              <w:t>SALT LAKE PSYCHIATRIC REALTY, LLC</w:t>
            </w:r>
          </w:p>
        </w:tc>
      </w:tr>
      <w:tr>
        <w:trPr/>
        <w:tc>
          <w:tcPr>
            <w:tcW w:w="4082" w:type="dxa"/>
            <w:gridSpan w:val="3"/>
            <w:tcBorders/>
          </w:tcPr>
          <w:p>
            <w:pPr>
              <w:pStyle w:val="TableContents"/>
              <w:bidi w:val="0"/>
              <w:spacing w:before="0" w:after="283"/>
              <w:jc w:val="left"/>
              <w:rPr/>
            </w:pPr>
            <w:r>
              <w:rPr/>
              <w:t>UBH OF OREGON, LLC</w:t>
            </w:r>
          </w:p>
        </w:tc>
      </w:tr>
      <w:tr>
        <w:trPr/>
        <w:tc>
          <w:tcPr>
            <w:tcW w:w="4082" w:type="dxa"/>
            <w:gridSpan w:val="3"/>
            <w:tcBorders/>
          </w:tcPr>
          <w:p>
            <w:pPr>
              <w:pStyle w:val="TableContents"/>
              <w:bidi w:val="0"/>
              <w:spacing w:before="0" w:after="283"/>
              <w:jc w:val="left"/>
              <w:rPr/>
            </w:pPr>
            <w:r>
              <w:rPr/>
              <w:t>UBH OF PHOENIX, LLC</w:t>
            </w:r>
          </w:p>
        </w:tc>
      </w:tr>
      <w:tr>
        <w:trPr/>
        <w:tc>
          <w:tcPr>
            <w:tcW w:w="4082" w:type="dxa"/>
            <w:gridSpan w:val="3"/>
            <w:tcBorders/>
          </w:tcPr>
          <w:p>
            <w:pPr>
              <w:pStyle w:val="TableContents"/>
              <w:bidi w:val="0"/>
              <w:spacing w:before="0" w:after="283"/>
              <w:jc w:val="left"/>
              <w:rPr/>
            </w:pPr>
            <w:r>
              <w:rPr/>
              <w:t>UBH OF PHOENIX REALTY, LLC</w:t>
            </w:r>
          </w:p>
        </w:tc>
      </w:tr>
      <w:tr>
        <w:trPr/>
        <w:tc>
          <w:tcPr>
            <w:tcW w:w="4082" w:type="dxa"/>
            <w:gridSpan w:val="3"/>
            <w:tcBorders/>
          </w:tcPr>
          <w:p>
            <w:pPr>
              <w:pStyle w:val="TableContents"/>
              <w:bidi w:val="0"/>
              <w:spacing w:before="0" w:after="283"/>
              <w:jc w:val="left"/>
              <w:rPr/>
            </w:pPr>
            <w:r>
              <w:rPr/>
              <w:t>UNIVERSITY BEHAVIORAL HEALTH OF EL PASO,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Ascend Health Corporation</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7"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Steve Filton</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GARFIELD PARK HOSPITAL,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Hartgrove,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ABS LINCS KY, LLC</w:t>
            </w:r>
          </w:p>
        </w:tc>
      </w:tr>
      <w:tr>
        <w:trPr/>
        <w:tc>
          <w:tcPr>
            <w:tcW w:w="4082" w:type="dxa"/>
            <w:gridSpan w:val="3"/>
            <w:tcBorders/>
          </w:tcPr>
          <w:p>
            <w:pPr>
              <w:pStyle w:val="TableContents"/>
              <w:bidi w:val="0"/>
              <w:spacing w:before="0" w:after="283"/>
              <w:jc w:val="left"/>
              <w:rPr/>
            </w:pPr>
            <w:r>
              <w:rPr/>
              <w:t>HUGHES CENTER,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Alternative Behavioral Services,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VALLEY HEALTH SYSTEM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Valley Hospital Medical Center,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UHP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Island 77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Ascend Health Corporation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BEACH 77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2026 W. University Properties,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Ascend Health Corporation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CORAL SHORES BEHAVIORAL HEALTH,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Children’s Comprehensive Services,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Steve Filton</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DVH HOSPITAL ALLIANCE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Holding Company,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DHP 2131 K ST,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District Hospital Partners, L.P.</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UHS of D.C.,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4"/>
        <w:gridCol w:w="61"/>
        <w:gridCol w:w="3347"/>
      </w:tblGrid>
      <w:tr>
        <w:trPr/>
        <w:tc>
          <w:tcPr>
            <w:tcW w:w="67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FUNDING,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Delaware, Inc.</w:t>
            </w:r>
          </w:p>
        </w:tc>
      </w:tr>
      <w:tr>
        <w:trPr/>
        <w:tc>
          <w:tcPr>
            <w:tcW w:w="4082" w:type="dxa"/>
            <w:gridSpan w:val="3"/>
            <w:tcBorders/>
          </w:tcPr>
          <w:p>
            <w:pPr>
              <w:pStyle w:val="TableContents"/>
              <w:bidi w:val="0"/>
              <w:spacing w:before="0" w:after="283"/>
              <w:jc w:val="left"/>
              <w:rPr/>
            </w:pPr>
            <w:r>
              <w:rPr/>
              <w:t>Its majority member</w:t>
            </w:r>
          </w:p>
        </w:tc>
      </w:tr>
      <w:tr>
        <w:trPr>
          <w:trHeight w:val="240" w:hRule="atLeast"/>
        </w:trPr>
        <w:tc>
          <w:tcPr>
            <w:tcW w:w="674" w:type="dxa"/>
            <w:tcBorders/>
            <w:vAlign w:val="center"/>
          </w:tcPr>
          <w:p>
            <w:pPr>
              <w:pStyle w:val="TableContents"/>
              <w:bidi w:val="0"/>
              <w:spacing w:before="0" w:after="283"/>
              <w:jc w:val="left"/>
              <w:rPr>
                <w:sz w:val="4"/>
                <w:szCs w:val="4"/>
              </w:rPr>
            </w:pPr>
            <w:r>
              <w:rPr>
                <w:sz w:val="4"/>
                <w:szCs w:val="4"/>
              </w:rPr>
            </w:r>
          </w:p>
        </w:tc>
        <w:tc>
          <w:tcPr>
            <w:tcW w:w="3408"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4"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7" w:type="dxa"/>
            <w:tcBorders/>
          </w:tcPr>
          <w:p>
            <w:pPr>
              <w:pStyle w:val="TableContents"/>
              <w:bidi w:val="0"/>
              <w:spacing w:before="0" w:after="283"/>
              <w:jc w:val="left"/>
              <w:rPr/>
            </w:pPr>
            <w:r>
              <w:rPr/>
              <w:t>Steve Filton</w:t>
            </w:r>
          </w:p>
        </w:tc>
      </w:tr>
      <w:tr>
        <w:trPr/>
        <w:tc>
          <w:tcPr>
            <w:tcW w:w="674"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and Chief</w:t>
            </w:r>
          </w:p>
          <w:p>
            <w:pPr>
              <w:pStyle w:val="TableContents"/>
              <w:bidi w:val="0"/>
              <w:spacing w:before="0" w:after="20"/>
              <w:jc w:val="left"/>
              <w:rPr>
                <w:rFonts w:ascii="Times New Roman" w:hAnsi="Times New Roman"/>
                <w:sz w:val="20"/>
              </w:rPr>
            </w:pPr>
            <w:r>
              <w:rPr>
                <w:rFonts w:ascii="Times New Roman" w:hAnsi="Times New Roman"/>
                <w:sz w:val="20"/>
              </w:rPr>
              <w:t>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Universal Health Services, Inc.</w:t>
            </w:r>
          </w:p>
        </w:tc>
      </w:tr>
      <w:tr>
        <w:trPr/>
        <w:tc>
          <w:tcPr>
            <w:tcW w:w="4082" w:type="dxa"/>
            <w:gridSpan w:val="3"/>
            <w:tcBorders/>
          </w:tcPr>
          <w:p>
            <w:pPr>
              <w:pStyle w:val="TableContents"/>
              <w:bidi w:val="0"/>
              <w:spacing w:before="0" w:after="283"/>
              <w:jc w:val="left"/>
              <w:rPr/>
            </w:pPr>
            <w:r>
              <w:rPr/>
              <w:t>Its minority member</w:t>
            </w:r>
          </w:p>
        </w:tc>
      </w:tr>
      <w:tr>
        <w:trPr>
          <w:trHeight w:val="240" w:hRule="atLeast"/>
        </w:trPr>
        <w:tc>
          <w:tcPr>
            <w:tcW w:w="674" w:type="dxa"/>
            <w:tcBorders/>
            <w:vAlign w:val="center"/>
          </w:tcPr>
          <w:p>
            <w:pPr>
              <w:pStyle w:val="TableContents"/>
              <w:bidi w:val="0"/>
              <w:spacing w:before="0" w:after="283"/>
              <w:jc w:val="left"/>
              <w:rPr>
                <w:sz w:val="4"/>
                <w:szCs w:val="4"/>
              </w:rPr>
            </w:pPr>
            <w:r>
              <w:rPr>
                <w:sz w:val="4"/>
                <w:szCs w:val="4"/>
              </w:rPr>
            </w:r>
          </w:p>
        </w:tc>
        <w:tc>
          <w:tcPr>
            <w:tcW w:w="3408" w:type="dxa"/>
            <w:gridSpan w:val="2"/>
            <w:tcBorders/>
            <w:vAlign w:val="center"/>
          </w:tcPr>
          <w:p>
            <w:pPr>
              <w:pStyle w:val="TableContents"/>
              <w:bidi w:val="0"/>
              <w:spacing w:before="0" w:after="283"/>
              <w:jc w:val="left"/>
              <w:rPr>
                <w:sz w:val="4"/>
                <w:szCs w:val="4"/>
              </w:rPr>
            </w:pPr>
            <w:r>
              <w:rPr>
                <w:sz w:val="4"/>
                <w:szCs w:val="4"/>
              </w:rPr>
            </w:r>
          </w:p>
        </w:tc>
      </w:tr>
      <w:tr>
        <w:trPr/>
        <w:tc>
          <w:tcPr>
            <w:tcW w:w="67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4"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7" w:type="dxa"/>
            <w:tcBorders/>
          </w:tcPr>
          <w:p>
            <w:pPr>
              <w:pStyle w:val="TableContents"/>
              <w:bidi w:val="0"/>
              <w:spacing w:before="0" w:after="283"/>
              <w:jc w:val="left"/>
              <w:rPr/>
            </w:pPr>
            <w:r>
              <w:rPr/>
              <w:t>Steve Filton</w:t>
            </w:r>
          </w:p>
        </w:tc>
      </w:tr>
      <w:tr>
        <w:trPr/>
        <w:tc>
          <w:tcPr>
            <w:tcW w:w="674"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7" w:type="dxa"/>
            <w:tcBorders/>
          </w:tcPr>
          <w:p>
            <w:pPr>
              <w:pStyle w:val="TableContents"/>
              <w:bidi w:val="0"/>
              <w:spacing w:before="0" w:after="0"/>
              <w:jc w:val="left"/>
              <w:rPr>
                <w:rFonts w:ascii="Times New Roman" w:hAnsi="Times New Roman"/>
                <w:sz w:val="20"/>
              </w:rPr>
            </w:pPr>
            <w:r>
              <w:rPr>
                <w:rFonts w:ascii="Times New Roman" w:hAnsi="Times New Roman"/>
                <w:sz w:val="20"/>
              </w:rPr>
              <w:t>Executive Vice President, Chief</w:t>
            </w:r>
          </w:p>
          <w:p>
            <w:pPr>
              <w:pStyle w:val="TableContents"/>
              <w:bidi w:val="0"/>
              <w:spacing w:before="0" w:after="20"/>
              <w:jc w:val="left"/>
              <w:rPr>
                <w:rFonts w:ascii="Times New Roman" w:hAnsi="Times New Roman"/>
                <w:sz w:val="20"/>
              </w:rPr>
            </w:pPr>
            <w:r>
              <w:rPr>
                <w:rFonts w:ascii="Times New Roman" w:hAnsi="Times New Roman"/>
                <w:sz w:val="20"/>
              </w:rPr>
              <w:t>Financial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7"/>
        <w:gridCol w:w="60"/>
        <w:gridCol w:w="3355"/>
      </w:tblGrid>
      <w:tr>
        <w:trPr/>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MILWAUKEE BEHAVIORAL HEALTH,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Delaware, Inc.</w:t>
            </w:r>
          </w:p>
        </w:tc>
      </w:tr>
      <w:tr>
        <w:trPr/>
        <w:tc>
          <w:tcPr>
            <w:tcW w:w="4082" w:type="dxa"/>
            <w:gridSpan w:val="3"/>
            <w:tcBorders/>
          </w:tcPr>
          <w:p>
            <w:pPr>
              <w:pStyle w:val="TableContents"/>
              <w:bidi w:val="0"/>
              <w:spacing w:before="0" w:after="283"/>
              <w:jc w:val="left"/>
              <w:rPr/>
            </w:pPr>
            <w:r>
              <w:rPr/>
              <w:t>Its minority member</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Steve Filton</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Executive Vice President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Funding, LLC</w:t>
            </w:r>
          </w:p>
        </w:tc>
      </w:tr>
      <w:tr>
        <w:trPr/>
        <w:tc>
          <w:tcPr>
            <w:tcW w:w="4082" w:type="dxa"/>
            <w:gridSpan w:val="3"/>
            <w:tcBorders/>
          </w:tcPr>
          <w:p>
            <w:pPr>
              <w:pStyle w:val="TableContents"/>
              <w:bidi w:val="0"/>
              <w:spacing w:before="0" w:after="283"/>
              <w:jc w:val="left"/>
              <w:rPr/>
            </w:pPr>
            <w:r>
              <w:rPr/>
              <w:t>Its majority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UHS of Delaware,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majority member</w:t>
            </w:r>
          </w:p>
        </w:tc>
      </w:tr>
      <w:tr>
        <w:trPr>
          <w:trHeight w:val="240" w:hRule="atLeast"/>
        </w:trPr>
        <w:tc>
          <w:tcPr>
            <w:tcW w:w="667" w:type="dxa"/>
            <w:tcBorders/>
            <w:vAlign w:val="center"/>
          </w:tcPr>
          <w:p>
            <w:pPr>
              <w:pStyle w:val="TableContents"/>
              <w:bidi w:val="0"/>
              <w:spacing w:before="0" w:after="283"/>
              <w:jc w:val="left"/>
              <w:rPr>
                <w:sz w:val="4"/>
                <w:szCs w:val="4"/>
              </w:rPr>
            </w:pPr>
            <w:r>
              <w:rPr>
                <w:sz w:val="4"/>
                <w:szCs w:val="4"/>
              </w:rPr>
            </w:r>
          </w:p>
        </w:tc>
        <w:tc>
          <w:tcPr>
            <w:tcW w:w="3415" w:type="dxa"/>
            <w:gridSpan w:val="2"/>
            <w:tcBorders/>
            <w:vAlign w:val="center"/>
          </w:tcPr>
          <w:p>
            <w:pPr>
              <w:pStyle w:val="TableContents"/>
              <w:bidi w:val="0"/>
              <w:spacing w:before="0" w:after="283"/>
              <w:jc w:val="left"/>
              <w:rPr>
                <w:sz w:val="4"/>
                <w:szCs w:val="4"/>
              </w:rPr>
            </w:pPr>
            <w:r>
              <w:rPr>
                <w:sz w:val="4"/>
                <w:szCs w:val="4"/>
              </w:rPr>
            </w:r>
          </w:p>
        </w:tc>
      </w:tr>
      <w:tr>
        <w:trPr/>
        <w:tc>
          <w:tcPr>
            <w:tcW w:w="66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6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Steve Filton</w:t>
            </w:r>
          </w:p>
        </w:tc>
      </w:tr>
      <w:tr>
        <w:trPr/>
        <w:tc>
          <w:tcPr>
            <w:tcW w:w="66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5" w:type="dxa"/>
            <w:tcBorders/>
          </w:tcPr>
          <w:p>
            <w:pPr>
              <w:pStyle w:val="TableContents"/>
              <w:bidi w:val="0"/>
              <w:spacing w:before="0" w:after="283"/>
              <w:jc w:val="left"/>
              <w:rPr/>
            </w:pPr>
            <w:r>
              <w:rPr/>
              <w:t>Executive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FANNIN MANAGEMENT SERVICES,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Texoma,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Steve Filton</w:t>
            </w:r>
          </w:p>
        </w:tc>
      </w:tr>
      <w:tr>
        <w:trPr/>
        <w:tc>
          <w:tcPr>
            <w:tcW w:w="6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RIDGE OUTPATIENT COUNSELING,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Ridge,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Steve Filton</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15"/>
        <w:gridCol w:w="616"/>
        <w:gridCol w:w="2851"/>
      </w:tblGrid>
      <w:tr>
        <w:trPr/>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bottom"/>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BLOOMINGTON MEADOWS, GENERAL PARTNERSHIP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of Indiana, General Partnership,</w:t>
            </w:r>
          </w:p>
          <w:p>
            <w:pPr>
              <w:pStyle w:val="TableContents"/>
              <w:bidi w:val="0"/>
              <w:spacing w:before="0" w:after="20"/>
              <w:jc w:val="left"/>
              <w:rPr/>
            </w:pPr>
            <w:r>
              <w:rPr/>
              <w:t>  </w:t>
            </w:r>
            <w:r>
              <w:rPr>
                <w:rFonts w:ascii="Times New Roman" w:hAnsi="Times New Roman"/>
                <w:sz w:val="20"/>
              </w:rPr>
              <w:t>its General Partner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Columbus Hospital Partners, LLC,</w:t>
            </w:r>
          </w:p>
          <w:p>
            <w:pPr>
              <w:pStyle w:val="TableContents"/>
              <w:bidi w:val="0"/>
              <w:spacing w:before="0" w:after="20"/>
              <w:jc w:val="left"/>
              <w:rPr/>
            </w:pPr>
            <w:r>
              <w:rPr/>
              <w:t>  </w:t>
            </w:r>
            <w:r>
              <w:rPr>
                <w:rFonts w:ascii="Times New Roman" w:hAnsi="Times New Roman"/>
                <w:sz w:val="20"/>
              </w:rPr>
              <w:t>its General Partner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Lebanon Hospital Partners, LLC,</w:t>
            </w:r>
          </w:p>
          <w:p>
            <w:pPr>
              <w:pStyle w:val="TableContents"/>
              <w:bidi w:val="0"/>
              <w:spacing w:before="0" w:after="20"/>
              <w:jc w:val="left"/>
              <w:rPr/>
            </w:pPr>
            <w:r>
              <w:rPr/>
              <w:t>  </w:t>
            </w:r>
            <w:r>
              <w:rPr>
                <w:rFonts w:ascii="Times New Roman" w:hAnsi="Times New Roman"/>
                <w:sz w:val="20"/>
              </w:rPr>
              <w:t>its General Partner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Northern Indiana Partners, LLC,</w:t>
            </w:r>
          </w:p>
          <w:p>
            <w:pPr>
              <w:pStyle w:val="TableContents"/>
              <w:bidi w:val="0"/>
              <w:spacing w:before="0" w:after="20"/>
              <w:jc w:val="left"/>
              <w:rPr/>
            </w:pPr>
            <w:r>
              <w:rPr/>
              <w:t>  </w:t>
            </w:r>
            <w:r>
              <w:rPr>
                <w:rFonts w:ascii="Times New Roman" w:hAnsi="Times New Roman"/>
                <w:sz w:val="20"/>
              </w:rPr>
              <w:t>its General Partner</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Valle Vista Hospital Partners, LLC,</w:t>
            </w:r>
          </w:p>
          <w:p>
            <w:pPr>
              <w:pStyle w:val="TableContents"/>
              <w:bidi w:val="0"/>
              <w:spacing w:before="0" w:after="20"/>
              <w:jc w:val="left"/>
              <w:rPr/>
            </w:pPr>
            <w:r>
              <w:rPr/>
              <w:t>  </w:t>
            </w:r>
            <w:r>
              <w:rPr>
                <w:rFonts w:ascii="Times New Roman" w:hAnsi="Times New Roman"/>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Behavioral Healthcare LLC,</w:t>
            </w:r>
          </w:p>
          <w:p>
            <w:pPr>
              <w:pStyle w:val="TableContents"/>
              <w:bidi w:val="0"/>
              <w:spacing w:before="0" w:after="0"/>
              <w:jc w:val="left"/>
              <w:rPr>
                <w:rFonts w:ascii="Times New Roman" w:hAnsi="Times New Roman"/>
                <w:sz w:val="20"/>
              </w:rPr>
            </w:pPr>
            <w:r>
              <w:rPr>
                <w:rFonts w:ascii="Times New Roman" w:hAnsi="Times New Roman"/>
                <w:sz w:val="20"/>
              </w:rPr>
              <w:t>the Sole Member of each of the</w:t>
            </w:r>
          </w:p>
          <w:p>
            <w:pPr>
              <w:pStyle w:val="TableContents"/>
              <w:bidi w:val="0"/>
              <w:spacing w:before="0" w:after="20"/>
              <w:jc w:val="left"/>
              <w:rPr>
                <w:rFonts w:ascii="Times New Roman" w:hAnsi="Times New Roman"/>
                <w:sz w:val="20"/>
              </w:rPr>
            </w:pPr>
            <w:r>
              <w:rPr>
                <w:rFonts w:ascii="Times New Roman" w:hAnsi="Times New Roman"/>
                <w:sz w:val="20"/>
              </w:rPr>
              <w:t>above General Partners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p>
            <w:pPr>
              <w:pStyle w:val="TableContents"/>
              <w:bidi w:val="0"/>
              <w:spacing w:before="0" w:after="20"/>
              <w:jc w:val="left"/>
              <w:rPr/>
            </w:pPr>
            <w:r>
              <w:rPr/>
              <w:t>   </w:t>
            </w:r>
            <w:r>
              <w:rPr>
                <w:rFonts w:ascii="Times New Roman" w:hAnsi="Times New Roman"/>
                <w:sz w:val="20"/>
              </w:rPr>
              <w:t>its Sole Member</w:t>
            </w:r>
          </w:p>
        </w:tc>
      </w:tr>
    </w:tbl>
    <w:tbl>
      <w:tblPr>
        <w:tblW w:w="2000" w:type="pct"/>
        <w:jc w:val="right"/>
        <w:tblInd w:w="0" w:type="dxa"/>
        <w:tblLayout w:type="fixed"/>
        <w:tblCellMar>
          <w:top w:w="0" w:type="dxa"/>
          <w:left w:w="0" w:type="dxa"/>
          <w:bottom w:w="0" w:type="dxa"/>
          <w:right w:w="0" w:type="dxa"/>
        </w:tblCellMar>
      </w:tblPr>
      <w:tblGrid>
        <w:gridCol w:w="547"/>
        <w:gridCol w:w="60"/>
        <w:gridCol w:w="607"/>
        <w:gridCol w:w="60"/>
        <w:gridCol w:w="656"/>
        <w:gridCol w:w="60"/>
        <w:gridCol w:w="2092"/>
      </w:tblGrid>
      <w:tr>
        <w:trPr/>
        <w:tc>
          <w:tcPr>
            <w:tcW w:w="5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47" w:type="dxa"/>
            <w:tcBorders/>
            <w:vAlign w:val="center"/>
          </w:tcPr>
          <w:p>
            <w:pPr>
              <w:pStyle w:val="TableContents"/>
              <w:bidi w:val="0"/>
              <w:spacing w:before="0" w:after="283"/>
              <w:jc w:val="left"/>
              <w:rPr>
                <w:sz w:val="4"/>
                <w:szCs w:val="4"/>
              </w:rPr>
            </w:pPr>
            <w:r>
              <w:rPr>
                <w:sz w:val="4"/>
                <w:szCs w:val="4"/>
              </w:rPr>
            </w:r>
          </w:p>
        </w:tc>
        <w:tc>
          <w:tcPr>
            <w:tcW w:w="667" w:type="dxa"/>
            <w:gridSpan w:val="2"/>
            <w:tcBorders/>
            <w:vAlign w:val="center"/>
          </w:tcPr>
          <w:p>
            <w:pPr>
              <w:pStyle w:val="TableContents"/>
              <w:bidi w:val="0"/>
              <w:spacing w:before="0" w:after="283"/>
              <w:jc w:val="left"/>
              <w:rPr>
                <w:sz w:val="4"/>
                <w:szCs w:val="4"/>
              </w:rPr>
            </w:pPr>
            <w:r>
              <w:rPr>
                <w:sz w:val="4"/>
                <w:szCs w:val="4"/>
              </w:rPr>
            </w:r>
          </w:p>
        </w:tc>
        <w:tc>
          <w:tcPr>
            <w:tcW w:w="716" w:type="dxa"/>
            <w:gridSpan w:val="2"/>
            <w:tcBorders/>
            <w:vAlign w:val="center"/>
          </w:tcPr>
          <w:p>
            <w:pPr>
              <w:pStyle w:val="TableContents"/>
              <w:bidi w:val="0"/>
              <w:spacing w:before="0" w:after="283"/>
              <w:jc w:val="left"/>
              <w:rPr>
                <w:sz w:val="4"/>
                <w:szCs w:val="4"/>
              </w:rPr>
            </w:pPr>
            <w:r>
              <w:rPr>
                <w:sz w:val="4"/>
                <w:szCs w:val="4"/>
              </w:rPr>
            </w:r>
          </w:p>
        </w:tc>
        <w:tc>
          <w:tcPr>
            <w:tcW w:w="2152" w:type="dxa"/>
            <w:gridSpan w:val="2"/>
            <w:tcBorders/>
            <w:vAlign w:val="center"/>
          </w:tcPr>
          <w:p>
            <w:pPr>
              <w:pStyle w:val="TableContents"/>
              <w:bidi w:val="0"/>
              <w:spacing w:before="0" w:after="283"/>
              <w:jc w:val="left"/>
              <w:rPr>
                <w:sz w:val="4"/>
                <w:szCs w:val="4"/>
              </w:rPr>
            </w:pPr>
            <w:r>
              <w:rPr>
                <w:sz w:val="4"/>
                <w:szCs w:val="4"/>
              </w:rPr>
            </w:r>
          </w:p>
        </w:tc>
      </w:tr>
      <w:tr>
        <w:trPr/>
        <w:tc>
          <w:tcPr>
            <w:tcW w:w="547"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09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5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092" w:type="dxa"/>
            <w:tcBorders/>
          </w:tcPr>
          <w:p>
            <w:pPr>
              <w:pStyle w:val="TableContents"/>
              <w:bidi w:val="0"/>
              <w:spacing w:before="0" w:after="283"/>
              <w:jc w:val="left"/>
              <w:rPr/>
            </w:pPr>
            <w:r>
              <w:rPr/>
              <w:t>Steve Filton</w:t>
            </w:r>
          </w:p>
        </w:tc>
      </w:tr>
      <w:tr>
        <w:trPr/>
        <w:tc>
          <w:tcPr>
            <w:tcW w:w="5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092" w:type="dxa"/>
            <w:tcBorders/>
          </w:tcPr>
          <w:p>
            <w:pPr>
              <w:pStyle w:val="TableContents"/>
              <w:bidi w:val="0"/>
              <w:spacing w:before="0" w:after="283"/>
              <w:jc w:val="left"/>
              <w:rPr/>
            </w:pPr>
            <w:r>
              <w:rPr/>
              <w:t>Vice President</w:t>
            </w:r>
          </w:p>
        </w:tc>
      </w:tr>
    </w:tbl>
    <w:tbl>
      <w:tblPr>
        <w:tblW w:w="2000" w:type="pct"/>
        <w:jc w:val="right"/>
        <w:tblInd w:w="0" w:type="dxa"/>
        <w:tblLayout w:type="fixed"/>
        <w:tblCellMar>
          <w:top w:w="0" w:type="dxa"/>
          <w:left w:w="0" w:type="dxa"/>
          <w:bottom w:w="0" w:type="dxa"/>
          <w:right w:w="0" w:type="dxa"/>
        </w:tblCellMar>
      </w:tblPr>
      <w:tblGrid>
        <w:gridCol w:w="350"/>
        <w:gridCol w:w="351"/>
        <w:gridCol w:w="3381"/>
      </w:tblGrid>
      <w:tr>
        <w:trPr/>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bottom"/>
          </w:tcPr>
          <w:p>
            <w:pPr>
              <w:pStyle w:val="TableContents"/>
              <w:bidi w:val="0"/>
              <w:spacing w:before="0" w:after="283"/>
              <w:jc w:val="left"/>
              <w:rPr>
                <w:sz w:val="4"/>
                <w:szCs w:val="4"/>
              </w:rPr>
            </w:pPr>
            <w:r>
              <w:rPr>
                <w:sz w:val="4"/>
                <w:szCs w:val="4"/>
              </w:rPr>
            </w:r>
          </w:p>
        </w:tc>
        <w:tc>
          <w:tcPr>
            <w:tcW w:w="3381"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Indiana Psychiatric Institutes, LLC,</w:t>
              <w:br/>
              <w:t>  its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Healthcare, LLC,</w:t>
            </w:r>
          </w:p>
          <w:p>
            <w:pPr>
              <w:pStyle w:val="TableContents"/>
              <w:bidi w:val="0"/>
              <w:spacing w:before="0" w:after="20"/>
              <w:jc w:val="left"/>
              <w:rPr/>
            </w:pPr>
            <w:r>
              <w:rPr/>
              <w:t>  </w:t>
            </w:r>
            <w:r>
              <w:rPr>
                <w:rFonts w:ascii="Times New Roman" w:hAnsi="Times New Roman"/>
                <w:sz w:val="20"/>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p>
            <w:pPr>
              <w:pStyle w:val="TableContents"/>
              <w:bidi w:val="0"/>
              <w:spacing w:before="0" w:after="20"/>
              <w:jc w:val="left"/>
              <w:rPr/>
            </w:pPr>
            <w:r>
              <w:rPr/>
              <w:t>  </w:t>
            </w:r>
            <w:r>
              <w:rPr>
                <w:rFonts w:ascii="Times New Roman" w:hAnsi="Times New Roman"/>
                <w:sz w:val="20"/>
              </w:rPr>
              <w:t>its Sole Member</w:t>
            </w:r>
          </w:p>
        </w:tc>
      </w:tr>
    </w:tbl>
    <w:tbl>
      <w:tblPr>
        <w:tblW w:w="2000" w:type="pct"/>
        <w:jc w:val="right"/>
        <w:tblInd w:w="0" w:type="dxa"/>
        <w:tblLayout w:type="fixed"/>
        <w:tblCellMar>
          <w:top w:w="0" w:type="dxa"/>
          <w:left w:w="0" w:type="dxa"/>
          <w:bottom w:w="0" w:type="dxa"/>
          <w:right w:w="0" w:type="dxa"/>
        </w:tblCellMar>
      </w:tblPr>
      <w:tblGrid>
        <w:gridCol w:w="860"/>
        <w:gridCol w:w="60"/>
        <w:gridCol w:w="659"/>
        <w:gridCol w:w="60"/>
        <w:gridCol w:w="2443"/>
      </w:tblGrid>
      <w:tr>
        <w:trPr/>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860" w:type="dxa"/>
            <w:tcBorders/>
            <w:vAlign w:val="center"/>
          </w:tcPr>
          <w:p>
            <w:pPr>
              <w:pStyle w:val="TableContents"/>
              <w:bidi w:val="0"/>
              <w:spacing w:before="0" w:after="283"/>
              <w:jc w:val="left"/>
              <w:rPr>
                <w:sz w:val="4"/>
                <w:szCs w:val="4"/>
              </w:rPr>
            </w:pPr>
            <w:r>
              <w:rPr>
                <w:sz w:val="4"/>
                <w:szCs w:val="4"/>
              </w:rPr>
            </w:r>
          </w:p>
        </w:tc>
        <w:tc>
          <w:tcPr>
            <w:tcW w:w="719" w:type="dxa"/>
            <w:gridSpan w:val="2"/>
            <w:tcBorders/>
            <w:vAlign w:val="center"/>
          </w:tcPr>
          <w:p>
            <w:pPr>
              <w:pStyle w:val="TableContents"/>
              <w:bidi w:val="0"/>
              <w:spacing w:before="0" w:after="283"/>
              <w:jc w:val="left"/>
              <w:rPr>
                <w:sz w:val="4"/>
                <w:szCs w:val="4"/>
              </w:rPr>
            </w:pPr>
            <w:r>
              <w:rPr>
                <w:sz w:val="4"/>
                <w:szCs w:val="4"/>
              </w:rPr>
            </w:r>
          </w:p>
        </w:tc>
        <w:tc>
          <w:tcPr>
            <w:tcW w:w="2503" w:type="dxa"/>
            <w:gridSpan w:val="2"/>
            <w:tcBorders/>
            <w:vAlign w:val="center"/>
          </w:tcPr>
          <w:p>
            <w:pPr>
              <w:pStyle w:val="TableContents"/>
              <w:bidi w:val="0"/>
              <w:spacing w:before="0" w:after="283"/>
              <w:jc w:val="left"/>
              <w:rPr>
                <w:sz w:val="4"/>
                <w:szCs w:val="4"/>
              </w:rPr>
            </w:pPr>
            <w:r>
              <w:rPr>
                <w:sz w:val="4"/>
                <w:szCs w:val="4"/>
              </w:rPr>
            </w:r>
          </w:p>
        </w:tc>
      </w:tr>
      <w:tr>
        <w:trPr/>
        <w:tc>
          <w:tcPr>
            <w:tcW w:w="86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4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8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443" w:type="dxa"/>
            <w:tcBorders/>
          </w:tcPr>
          <w:p>
            <w:pPr>
              <w:pStyle w:val="TableContents"/>
              <w:bidi w:val="0"/>
              <w:spacing w:before="0" w:after="283"/>
              <w:jc w:val="left"/>
              <w:rPr/>
            </w:pPr>
            <w:r>
              <w:rPr/>
              <w:t>Steve Filton</w:t>
            </w:r>
          </w:p>
        </w:tc>
      </w:tr>
      <w:tr>
        <w:trPr/>
        <w:tc>
          <w:tcPr>
            <w:tcW w:w="8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443"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PASTEUR HEALTHCARE PROPERTIES, LLC</w:t>
            </w:r>
          </w:p>
        </w:tc>
      </w:tr>
      <w:tr>
        <w:trPr/>
        <w:tc>
          <w:tcPr>
            <w:tcW w:w="4082" w:type="dxa"/>
            <w:gridSpan w:val="3"/>
            <w:tcBorders/>
          </w:tcPr>
          <w:p>
            <w:pPr>
              <w:pStyle w:val="TableContents"/>
              <w:bidi w:val="0"/>
              <w:spacing w:before="0" w:after="283"/>
              <w:jc w:val="left"/>
              <w:rPr/>
            </w:pPr>
            <w:r>
              <w:rPr/>
              <w:t>UHS CAPITOL ACQUISITION,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Delaware,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Steve Filton</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Executive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DISTRICT HOSPITAL PARTNERS,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D.C., Inc., its General Partner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KANSAS CITY,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Great Plains Hospital,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EAST END SUB,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East End Corporation</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EAST END CORPORATION</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Steve Filton</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4"/>
        <w:gridCol w:w="60"/>
        <w:gridCol w:w="3328"/>
      </w:tblGrid>
      <w:tr>
        <w:trPr/>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694" w:type="dxa"/>
            <w:tcBorders/>
            <w:vAlign w:val="center"/>
          </w:tcPr>
          <w:p>
            <w:pPr>
              <w:pStyle w:val="TableContents"/>
              <w:bidi w:val="0"/>
              <w:spacing w:before="0" w:after="283"/>
              <w:jc w:val="left"/>
              <w:rPr>
                <w:sz w:val="4"/>
                <w:szCs w:val="4"/>
              </w:rPr>
            </w:pPr>
            <w:r>
              <w:rPr>
                <w:sz w:val="4"/>
                <w:szCs w:val="4"/>
              </w:rPr>
            </w:r>
          </w:p>
        </w:tc>
        <w:tc>
          <w:tcPr>
            <w:tcW w:w="3388" w:type="dxa"/>
            <w:gridSpan w:val="2"/>
            <w:tcBorders/>
            <w:vAlign w:val="center"/>
          </w:tcPr>
          <w:p>
            <w:pPr>
              <w:pStyle w:val="TableContents"/>
              <w:bidi w:val="0"/>
              <w:spacing w:before="0" w:after="283"/>
              <w:jc w:val="left"/>
              <w:rPr>
                <w:sz w:val="4"/>
                <w:szCs w:val="4"/>
              </w:rPr>
            </w:pPr>
            <w:r>
              <w:rPr>
                <w:sz w:val="4"/>
                <w:szCs w:val="4"/>
              </w:rPr>
            </w:r>
          </w:p>
        </w:tc>
      </w:tr>
      <w:tr>
        <w:trPr/>
        <w:tc>
          <w:tcPr>
            <w:tcW w:w="6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Gregory P. Guim</w:t>
            </w:r>
          </w:p>
        </w:tc>
      </w:tr>
      <w:tr>
        <w:trPr/>
        <w:tc>
          <w:tcPr>
            <w:tcW w:w="69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Gregory P. Guim</w:t>
            </w:r>
          </w:p>
        </w:tc>
      </w:tr>
      <w:tr>
        <w:trPr/>
        <w:tc>
          <w:tcPr>
            <w:tcW w:w="69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8"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4"/>
        <w:gridCol w:w="60"/>
        <w:gridCol w:w="3358"/>
      </w:tblGrid>
      <w:tr>
        <w:trPr/>
        <w:tc>
          <w:tcPr>
            <w:tcW w:w="6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 as Collateral Agent</w:t>
            </w:r>
          </w:p>
        </w:tc>
      </w:tr>
      <w:tr>
        <w:trPr>
          <w:trHeight w:val="240" w:hRule="atLeast"/>
        </w:trPr>
        <w:tc>
          <w:tcPr>
            <w:tcW w:w="664" w:type="dxa"/>
            <w:tcBorders/>
            <w:vAlign w:val="center"/>
          </w:tcPr>
          <w:p>
            <w:pPr>
              <w:pStyle w:val="TableContents"/>
              <w:bidi w:val="0"/>
              <w:spacing w:before="0" w:after="283"/>
              <w:jc w:val="left"/>
              <w:rPr>
                <w:sz w:val="4"/>
                <w:szCs w:val="4"/>
              </w:rPr>
            </w:pPr>
            <w:r>
              <w:rPr>
                <w:sz w:val="4"/>
                <w:szCs w:val="4"/>
              </w:rPr>
            </w:r>
          </w:p>
        </w:tc>
        <w:tc>
          <w:tcPr>
            <w:tcW w:w="3418" w:type="dxa"/>
            <w:gridSpan w:val="2"/>
            <w:tcBorders/>
            <w:vAlign w:val="center"/>
          </w:tcPr>
          <w:p>
            <w:pPr>
              <w:pStyle w:val="TableContents"/>
              <w:bidi w:val="0"/>
              <w:spacing w:before="0" w:after="283"/>
              <w:jc w:val="left"/>
              <w:rPr>
                <w:sz w:val="4"/>
                <w:szCs w:val="4"/>
              </w:rPr>
            </w:pPr>
            <w:r>
              <w:rPr>
                <w:sz w:val="4"/>
                <w:szCs w:val="4"/>
              </w:rPr>
            </w:r>
          </w:p>
        </w:tc>
      </w:tr>
      <w:tr>
        <w:trPr/>
        <w:tc>
          <w:tcPr>
            <w:tcW w:w="6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Sebastian Leszczuk</w:t>
            </w:r>
          </w:p>
        </w:tc>
      </w:tr>
      <w:tr>
        <w:trPr/>
        <w:tc>
          <w:tcPr>
            <w:tcW w:w="66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Sebastian Leszczuk</w:t>
            </w:r>
          </w:p>
        </w:tc>
      </w:tr>
      <w:tr>
        <w:trPr/>
        <w:tc>
          <w:tcPr>
            <w:tcW w:w="66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8"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Third Supplemental Indenture]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A-1 </w:t>
      </w:r>
    </w:p>
    <w:p>
      <w:pPr>
        <w:pStyle w:val="TextBody"/>
        <w:bidi w:val="0"/>
        <w:spacing w:before="240" w:after="0"/>
        <w:jc w:val="center"/>
        <w:rPr>
          <w:rFonts w:ascii="Times New Roman" w:hAnsi="Times New Roman"/>
          <w:sz w:val="20"/>
        </w:rPr>
      </w:pPr>
      <w:r>
        <w:rPr>
          <w:rFonts w:ascii="Times New Roman" w:hAnsi="Times New Roman"/>
          <w:sz w:val="20"/>
        </w:rPr>
        <w:t xml:space="preserve">[FORM OF FACE OF NOTE]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913903 BD1 </w:t>
      </w:r>
    </w:p>
    <w:p>
      <w:pPr>
        <w:pStyle w:val="TextBody"/>
        <w:bidi w:val="0"/>
        <w:spacing w:before="0" w:after="0"/>
        <w:jc w:val="right"/>
        <w:rPr>
          <w:rFonts w:ascii="Times New Roman" w:hAnsi="Times New Roman"/>
          <w:sz w:val="20"/>
        </w:rPr>
      </w:pPr>
      <w:r>
        <w:rPr>
          <w:rFonts w:ascii="Times New Roman" w:hAnsi="Times New Roman"/>
          <w:sz w:val="20"/>
        </w:rPr>
        <w:t xml:space="preserve">ISIN US913903BD14 </w:t>
      </w:r>
    </w:p>
    <w:p>
      <w:pPr>
        <w:pStyle w:val="TextBody"/>
        <w:bidi w:val="0"/>
        <w:spacing w:before="240" w:after="0"/>
        <w:jc w:val="center"/>
        <w:rPr>
          <w:rFonts w:ascii="Times New Roman" w:hAnsi="Times New Roman"/>
          <w:sz w:val="20"/>
        </w:rPr>
      </w:pPr>
      <w:r>
        <w:rPr>
          <w:rFonts w:ascii="Times New Roman" w:hAnsi="Times New Roman"/>
          <w:sz w:val="20"/>
        </w:rPr>
        <w:t xml:space="preserve">GLOBAL NOTE </w:t>
      </w:r>
    </w:p>
    <w:p>
      <w:pPr>
        <w:pStyle w:val="TextBody"/>
        <w:bidi w:val="0"/>
        <w:spacing w:before="240" w:after="0"/>
        <w:jc w:val="center"/>
        <w:rPr>
          <w:rFonts w:ascii="Times New Roman" w:hAnsi="Times New Roman"/>
          <w:sz w:val="20"/>
        </w:rPr>
      </w:pPr>
      <w:r>
        <w:rPr>
          <w:rFonts w:ascii="Times New Roman" w:hAnsi="Times New Roman"/>
          <w:sz w:val="20"/>
        </w:rPr>
        <w:t xml:space="preserve">5.500% Senior Secured Notes due 2031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6"/>
        <w:gridCol w:w="123"/>
        <w:gridCol w:w="4846"/>
      </w:tblGrid>
      <w:tr>
        <w:trPr/>
        <w:tc>
          <w:tcPr>
            <w:tcW w:w="523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46" w:type="dxa"/>
            <w:tcBorders/>
            <w:vAlign w:val="center"/>
          </w:tcPr>
          <w:p>
            <w:pPr>
              <w:pStyle w:val="TableContents"/>
              <w:bidi w:val="0"/>
              <w:spacing w:before="0" w:after="283"/>
              <w:jc w:val="left"/>
              <w:rPr>
                <w:sz w:val="4"/>
                <w:szCs w:val="4"/>
              </w:rPr>
            </w:pPr>
            <w:r>
              <w:rPr>
                <w:sz w:val="4"/>
                <w:szCs w:val="4"/>
              </w:rPr>
            </w:r>
          </w:p>
        </w:tc>
      </w:tr>
      <w:tr>
        <w:trPr/>
        <w:tc>
          <w:tcPr>
            <w:tcW w:w="5236" w:type="dxa"/>
            <w:tcBorders/>
          </w:tcPr>
          <w:p>
            <w:pPr>
              <w:pStyle w:val="TableContents"/>
              <w:bidi w:val="0"/>
              <w:spacing w:before="0" w:after="283"/>
              <w:jc w:val="left"/>
              <w:rPr/>
            </w:pPr>
            <w:r>
              <w:rPr/>
              <w:t>No. ___</w:t>
            </w:r>
          </w:p>
        </w:tc>
        <w:tc>
          <w:tcPr>
            <w:tcW w:w="123" w:type="dxa"/>
            <w:tcBorders/>
            <w:vAlign w:val="bottom"/>
          </w:tcPr>
          <w:p>
            <w:pPr>
              <w:pStyle w:val="TableContents"/>
              <w:bidi w:val="0"/>
              <w:spacing w:before="0" w:after="283"/>
              <w:jc w:val="left"/>
              <w:rPr/>
            </w:pPr>
            <w:r>
              <w:rPr/>
              <w:t>  </w:t>
            </w:r>
          </w:p>
        </w:tc>
        <w:tc>
          <w:tcPr>
            <w:tcW w:w="4846" w:type="dxa"/>
            <w:tcBorders/>
          </w:tcPr>
          <w:p>
            <w:pPr>
              <w:pStyle w:val="TableContents"/>
              <w:bidi w:val="0"/>
              <w:spacing w:before="0" w:after="283"/>
              <w:jc w:val="right"/>
              <w:rPr/>
            </w:pPr>
            <w:r>
              <w:rPr/>
              <w:t>Up to [$______________]</w:t>
            </w:r>
          </w:p>
        </w:tc>
      </w:tr>
    </w:tbl>
    <w:p>
      <w:pPr>
        <w:pStyle w:val="TextBody"/>
        <w:bidi w:val="0"/>
        <w:spacing w:before="480" w:after="0"/>
        <w:jc w:val="center"/>
        <w:rPr>
          <w:rFonts w:ascii="Times New Roman" w:hAnsi="Times New Roman"/>
          <w:sz w:val="20"/>
        </w:rPr>
      </w:pPr>
      <w:r>
        <w:rPr>
          <w:rFonts w:ascii="Times New Roman" w:hAnsi="Times New Roman"/>
          <w:sz w:val="20"/>
        </w:rPr>
        <w:t xml:space="preserve">UNIVERSAL HEALTH SERVICES, INC. </w:t>
      </w:r>
    </w:p>
    <w:p>
      <w:pPr>
        <w:pStyle w:val="TextBody"/>
        <w:bidi w:val="0"/>
        <w:spacing w:before="240" w:after="0"/>
        <w:jc w:val="left"/>
        <w:rPr>
          <w:rFonts w:ascii="Times New Roman" w:hAnsi="Times New Roman"/>
          <w:sz w:val="20"/>
        </w:rPr>
      </w:pPr>
      <w:r>
        <w:rPr>
          <w:rFonts w:ascii="Times New Roman" w:hAnsi="Times New Roman"/>
          <w:sz w:val="20"/>
        </w:rPr>
        <w:t xml:space="preserve">promises to pay to CEDE &amp; CO. or registered assigns the principal sum set forth on the Schedule of Exchanges of Interests in the Global Note attached hereto on September 1, 2031.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 and September 1 </w:t>
      </w:r>
    </w:p>
    <w:p>
      <w:pPr>
        <w:pStyle w:val="TextBody"/>
        <w:bidi w:val="0"/>
        <w:spacing w:before="240" w:after="0"/>
        <w:jc w:val="left"/>
        <w:rPr>
          <w:rFonts w:ascii="Times New Roman" w:hAnsi="Times New Roman"/>
          <w:sz w:val="20"/>
        </w:rPr>
      </w:pPr>
      <w:r>
        <w:rPr>
          <w:rFonts w:ascii="Times New Roman" w:hAnsi="Times New Roman"/>
          <w:sz w:val="20"/>
        </w:rPr>
        <w:t xml:space="preserve">Record Dates: February 15 and August 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HEREOF, the Issuer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59"/>
        <w:gridCol w:w="121"/>
        <w:gridCol w:w="2702"/>
      </w:tblGrid>
      <w:tr>
        <w:trPr/>
        <w:tc>
          <w:tcPr>
            <w:tcW w:w="12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UNIVERSAL HEALTH SERVICES, INC., as Issuer</w:t>
            </w:r>
          </w:p>
        </w:tc>
      </w:tr>
      <w:tr>
        <w:trPr>
          <w:trHeight w:val="240" w:hRule="atLeast"/>
        </w:trPr>
        <w:tc>
          <w:tcPr>
            <w:tcW w:w="1259" w:type="dxa"/>
            <w:tcBorders/>
            <w:vAlign w:val="center"/>
          </w:tcPr>
          <w:p>
            <w:pPr>
              <w:pStyle w:val="TableContents"/>
              <w:bidi w:val="0"/>
              <w:spacing w:before="0" w:after="283"/>
              <w:jc w:val="left"/>
              <w:rPr>
                <w:sz w:val="4"/>
                <w:szCs w:val="4"/>
              </w:rPr>
            </w:pPr>
            <w:r>
              <w:rPr>
                <w:sz w:val="4"/>
                <w:szCs w:val="4"/>
              </w:rPr>
            </w:r>
          </w:p>
        </w:tc>
        <w:tc>
          <w:tcPr>
            <w:tcW w:w="2823" w:type="dxa"/>
            <w:gridSpan w:val="2"/>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2702" w:type="dxa"/>
            <w:tcBorders/>
            <w:vAlign w:val="bottom"/>
          </w:tcPr>
          <w:p>
            <w:pPr>
              <w:pStyle w:val="TableContents"/>
              <w:pBdr>
                <w:bottom w:val="single" w:sz="2" w:space="1" w:color="000000"/>
              </w:pBdr>
              <w:bidi w:val="0"/>
              <w:spacing w:before="0" w:after="20"/>
              <w:jc w:val="left"/>
              <w:rPr/>
            </w:pPr>
            <w:r>
              <w:rPr/>
              <w:t> </w:t>
            </w:r>
          </w:p>
        </w:tc>
      </w:tr>
      <w:tr>
        <w:trPr/>
        <w:tc>
          <w:tcPr>
            <w:tcW w:w="1259" w:type="dxa"/>
            <w:tcBorders/>
            <w:vAlign w:val="bottom"/>
          </w:tcPr>
          <w:p>
            <w:pPr>
              <w:pStyle w:val="TableContents"/>
              <w:bidi w:val="0"/>
              <w:spacing w:before="0" w:after="283"/>
              <w:jc w:val="left"/>
              <w:rPr/>
            </w:pPr>
            <w:r>
              <w:rPr/>
              <w:t>Name:</w:t>
            </w:r>
          </w:p>
        </w:tc>
        <w:tc>
          <w:tcPr>
            <w:tcW w:w="121" w:type="dxa"/>
            <w:tcBorders/>
            <w:vAlign w:val="bottom"/>
          </w:tcPr>
          <w:p>
            <w:pPr>
              <w:pStyle w:val="TableContents"/>
              <w:bidi w:val="0"/>
              <w:spacing w:before="0" w:after="283"/>
              <w:jc w:val="left"/>
              <w:rPr/>
            </w:pPr>
            <w:r>
              <w:rPr/>
              <w:t> </w:t>
            </w:r>
          </w:p>
        </w:tc>
        <w:tc>
          <w:tcPr>
            <w:tcW w:w="2702" w:type="dxa"/>
            <w:tcBorders/>
            <w:vAlign w:val="bottom"/>
          </w:tcPr>
          <w:p>
            <w:pPr>
              <w:pStyle w:val="TableContents"/>
              <w:bidi w:val="0"/>
              <w:spacing w:before="0" w:after="283"/>
              <w:jc w:val="left"/>
              <w:rPr>
                <w:sz w:val="4"/>
                <w:szCs w:val="4"/>
              </w:rPr>
            </w:pPr>
            <w:r>
              <w:rPr>
                <w:sz w:val="4"/>
                <w:szCs w:val="4"/>
              </w:rPr>
            </w:r>
          </w:p>
        </w:tc>
      </w:tr>
      <w:tr>
        <w:trPr/>
        <w:tc>
          <w:tcPr>
            <w:tcW w:w="1259" w:type="dxa"/>
            <w:tcBorders/>
            <w:vAlign w:val="bottom"/>
          </w:tcPr>
          <w:p>
            <w:pPr>
              <w:pStyle w:val="TableContents"/>
              <w:bidi w:val="0"/>
              <w:spacing w:before="0" w:after="283"/>
              <w:jc w:val="left"/>
              <w:rPr/>
            </w:pPr>
            <w:r>
              <w:rPr/>
              <w:t>Title:</w:t>
            </w:r>
          </w:p>
        </w:tc>
        <w:tc>
          <w:tcPr>
            <w:tcW w:w="121" w:type="dxa"/>
            <w:tcBorders/>
            <w:vAlign w:val="bottom"/>
          </w:tcPr>
          <w:p>
            <w:pPr>
              <w:pStyle w:val="TableContents"/>
              <w:bidi w:val="0"/>
              <w:spacing w:before="0" w:after="283"/>
              <w:jc w:val="left"/>
              <w:rPr/>
            </w:pPr>
            <w:r>
              <w:rPr/>
              <w:t> </w:t>
            </w:r>
          </w:p>
        </w:tc>
        <w:tc>
          <w:tcPr>
            <w:tcW w:w="2702"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99"/>
        <w:gridCol w:w="145"/>
        <w:gridCol w:w="2438"/>
      </w:tblGrid>
      <w:tr>
        <w:trPr/>
        <w:tc>
          <w:tcPr>
            <w:tcW w:w="149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1499" w:type="dxa"/>
            <w:tcBorders/>
            <w:vAlign w:val="center"/>
          </w:tcPr>
          <w:p>
            <w:pPr>
              <w:pStyle w:val="TableContents"/>
              <w:bidi w:val="0"/>
              <w:spacing w:before="0" w:after="283"/>
              <w:jc w:val="left"/>
              <w:rPr>
                <w:sz w:val="4"/>
                <w:szCs w:val="4"/>
              </w:rPr>
            </w:pPr>
            <w:r>
              <w:rPr>
                <w:sz w:val="4"/>
                <w:szCs w:val="4"/>
              </w:rPr>
            </w:r>
          </w:p>
        </w:tc>
        <w:tc>
          <w:tcPr>
            <w:tcW w:w="2583" w:type="dxa"/>
            <w:gridSpan w:val="2"/>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283"/>
              <w:jc w:val="left"/>
              <w:rPr/>
            </w:pPr>
            <w:r>
              <w:rPr/>
              <w:t>By:</w:t>
            </w:r>
          </w:p>
        </w:tc>
        <w:tc>
          <w:tcPr>
            <w:tcW w:w="145" w:type="dxa"/>
            <w:tcBorders/>
            <w:vAlign w:val="bottom"/>
          </w:tcPr>
          <w:p>
            <w:pPr>
              <w:pStyle w:val="TableContents"/>
              <w:bidi w:val="0"/>
              <w:spacing w:before="0" w:after="283"/>
              <w:jc w:val="left"/>
              <w:rPr/>
            </w:pPr>
            <w:r>
              <w:rPr/>
              <w:t> </w:t>
            </w:r>
          </w:p>
        </w:tc>
        <w:tc>
          <w:tcPr>
            <w:tcW w:w="2438" w:type="dxa"/>
            <w:tcBorders/>
            <w:vAlign w:val="bottom"/>
          </w:tcPr>
          <w:p>
            <w:pPr>
              <w:pStyle w:val="TableContents"/>
              <w:pBdr>
                <w:bottom w:val="single" w:sz="2" w:space="1" w:color="000000"/>
              </w:pBdr>
              <w:bidi w:val="0"/>
              <w:spacing w:before="0" w:after="20"/>
              <w:jc w:val="left"/>
              <w:rPr/>
            </w:pPr>
            <w:r>
              <w:rPr/>
              <w:t> </w:t>
            </w:r>
          </w:p>
        </w:tc>
      </w:tr>
      <w:tr>
        <w:trPr/>
        <w:tc>
          <w:tcPr>
            <w:tcW w:w="1499" w:type="dxa"/>
            <w:tcBorders/>
            <w:vAlign w:val="bottom"/>
          </w:tcPr>
          <w:p>
            <w:pPr>
              <w:pStyle w:val="TableContents"/>
              <w:bidi w:val="0"/>
              <w:spacing w:before="0" w:after="283"/>
              <w:jc w:val="left"/>
              <w:rPr/>
            </w:pPr>
            <w:r>
              <w:rPr/>
              <w:t>Name:</w:t>
            </w:r>
          </w:p>
        </w:tc>
        <w:tc>
          <w:tcPr>
            <w:tcW w:w="14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left"/>
              <w:rPr>
                <w:sz w:val="4"/>
                <w:szCs w:val="4"/>
              </w:rPr>
            </w:pPr>
            <w:r>
              <w:rPr>
                <w:sz w:val="4"/>
                <w:szCs w:val="4"/>
              </w:rPr>
            </w:r>
          </w:p>
        </w:tc>
      </w:tr>
      <w:tr>
        <w:trPr/>
        <w:tc>
          <w:tcPr>
            <w:tcW w:w="1499" w:type="dxa"/>
            <w:tcBorders/>
            <w:vAlign w:val="bottom"/>
          </w:tcPr>
          <w:p>
            <w:pPr>
              <w:pStyle w:val="TableContents"/>
              <w:bidi w:val="0"/>
              <w:spacing w:before="0" w:after="283"/>
              <w:jc w:val="left"/>
              <w:rPr/>
            </w:pPr>
            <w:r>
              <w:rPr/>
              <w:t>Title:</w:t>
            </w:r>
          </w:p>
        </w:tc>
        <w:tc>
          <w:tcPr>
            <w:tcW w:w="145" w:type="dxa"/>
            <w:tcBorders/>
            <w:vAlign w:val="bottom"/>
          </w:tcPr>
          <w:p>
            <w:pPr>
              <w:pStyle w:val="TableContents"/>
              <w:bidi w:val="0"/>
              <w:spacing w:before="0" w:after="283"/>
              <w:jc w:val="left"/>
              <w:rPr/>
            </w:pPr>
            <w:r>
              <w:rPr/>
              <w:t> </w:t>
            </w:r>
          </w:p>
        </w:tc>
        <w:tc>
          <w:tcPr>
            <w:tcW w:w="243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[Reverse Side of Note] </w:t>
      </w:r>
    </w:p>
    <w:p>
      <w:pPr>
        <w:pStyle w:val="TextBody"/>
        <w:bidi w:val="0"/>
        <w:spacing w:before="120" w:after="0"/>
        <w:jc w:val="center"/>
        <w:rPr>
          <w:rFonts w:ascii="Times New Roman" w:hAnsi="Times New Roman"/>
          <w:sz w:val="20"/>
        </w:rPr>
      </w:pPr>
      <w:r>
        <w:rPr>
          <w:rFonts w:ascii="Times New Roman" w:hAnsi="Times New Roman"/>
          <w:sz w:val="20"/>
        </w:rPr>
        <w:t xml:space="preserve">5.500% Senior Secured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shall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1. INTEREST. Universal Health Services, Inc., a Delaware corporation, promises to pay interest on the principal amount of this Note at 5.500% per annum from and including August 20, 2026 until maturity. The Issuer shall pay interest, semi-annually in arrears on March 1 and September 1 of each year, or if any such day is not a Business Day, on the next succeeding Business Day (each, an “</w:t>
      </w:r>
      <w:r>
        <w:rPr>
          <w:rFonts w:ascii="Times New Roman" w:hAnsi="Times New Roman"/>
          <w:sz w:val="20"/>
          <w:u w:val="single"/>
        </w:rPr>
        <w:t>Interest Payment Date</w:t>
      </w:r>
      <w:r>
        <w:rPr>
          <w:rFonts w:ascii="Times New Roman" w:hAnsi="Times New Roman"/>
          <w:sz w:val="20"/>
        </w:rPr>
        <w:t xml:space="preserve">”). Interest on the Notes shall accrue from the most recent date to which interest has been paid or, if no interest has been paid, from and including the date of original issuance; </w:t>
      </w:r>
      <w:r>
        <w:rPr>
          <w:rFonts w:ascii="Times New Roman" w:hAnsi="Times New Roman"/>
          <w:sz w:val="20"/>
          <w:u w:val="single"/>
        </w:rPr>
        <w:t>provided</w:t>
      </w:r>
      <w:r>
        <w:rPr>
          <w:rFonts w:ascii="Times New Roman" w:hAnsi="Times New Roman"/>
          <w:sz w:val="20"/>
        </w:rPr>
        <w:t xml:space="preserve"> that the first Interest Payment Date shall be March 1, 2027. The Issuer shall pay interest (including post-petition interest in any proceeding under any Bankruptcy Law) on overdue principal and premium, if any, from time to time on demand at the interest rate on the Notes; it shall pay interest (including post-petition interest in any proceeding under any Bankruptcy Law) on overdue installments of interest (without regard to any applicable grace periods), from time to time on demand at the interest rate on the Notes. Interest shall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2. METHOD OF PAYMENT. The Issuer shall pay interest on the Notes to the Persons who are registered holders of Notes at the close of business on the February 15 and August 15 (whether or not a Business Day), as the case may be, immediately preceding the related Interest Payment Date, even if such Notes are canceled after such record date and on or before such Interest Payment Date, except as provided in Section 2.12 of the Base Indenture with respect to defaulted interest. Principal, premium, if any, and interest on the Notes shall be payable at the office or agency of the Issuer maintained for such purpose or, at the option of the Issuer, payment of interest and premium, if any, may be made by check mailed to the Holders at their respective addresses set forth in the Note Register; </w:t>
      </w:r>
      <w:r>
        <w:rPr>
          <w:rFonts w:ascii="Times New Roman" w:hAnsi="Times New Roman"/>
          <w:sz w:val="20"/>
          <w:u w:val="single"/>
        </w:rPr>
        <w:t>provided</w:t>
      </w:r>
      <w:r>
        <w:rPr>
          <w:rFonts w:ascii="Times New Roman" w:hAnsi="Times New Roman"/>
          <w:sz w:val="20"/>
        </w:rPr>
        <w:t xml:space="preserve"> that payment by wire transfer of immediately available funds shall be required with respect to principal, premium, if any, and interest, on all Global Notes and all other Notes the Holders of which shall have provided wire transfer instructions to the Issuer or the Paying Agent at least five Business Days prior to the applicable payment date. Such payment shall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3. PAYING AGENT AND REGISTRAR. Initially, U.S. Bank Trust Company, National Association, the Trustee under the Indenture, shall act as Paying Agent and Registrar. The Issuer may change any Paying Agent or Registrar without notice to the Holders. The Issuer or any of its Restricted Subsidiaries may act in any such capacity. </w:t>
      </w:r>
    </w:p>
    <w:p>
      <w:pPr>
        <w:pStyle w:val="TextBody"/>
        <w:bidi w:val="0"/>
        <w:spacing w:before="240" w:after="0"/>
        <w:jc w:val="left"/>
        <w:rPr>
          <w:rFonts w:ascii="Times New Roman" w:hAnsi="Times New Roman"/>
          <w:sz w:val="20"/>
        </w:rPr>
      </w:pPr>
      <w:r>
        <w:rPr>
          <w:rFonts w:ascii="Times New Roman" w:hAnsi="Times New Roman"/>
          <w:sz w:val="20"/>
        </w:rPr>
        <w:t>4. INDENTURE. The Issuer issued the Notes under an Indenture, dated as of September 26, 2024 (the “</w:t>
      </w:r>
      <w:r>
        <w:rPr>
          <w:rFonts w:ascii="Times New Roman" w:hAnsi="Times New Roman"/>
          <w:sz w:val="20"/>
          <w:u w:val="single"/>
        </w:rPr>
        <w:t>Base Indenture</w:t>
      </w:r>
      <w:r>
        <w:rPr>
          <w:rFonts w:ascii="Times New Roman" w:hAnsi="Times New Roman"/>
          <w:sz w:val="20"/>
        </w:rPr>
        <w:t>”), as supplemented by the First Supplemental Indenture, dated as of September 26, 2024, the Second Supplemental Indenture, dated as of April 22, 2026, and the Third Supplemental Indenture, dated as of August 20, 2026 (the “</w:t>
      </w:r>
      <w:r>
        <w:rPr>
          <w:rFonts w:ascii="Times New Roman" w:hAnsi="Times New Roman"/>
          <w:sz w:val="20"/>
          <w:u w:val="single"/>
        </w:rPr>
        <w:t>Third 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among the Issuer, the Guarantors, the Trustee and the Collateral Agent. This Note is one of a duly authorized issue of notes of the Issuer designated as its 5.500% Senior Secured Notes due 2031. The Issuer shall be entitled to issue Additional Notes in accordance with Section 2.16(b) of the Third Supplemental Indenture and any other applicable provisions of the Indenture. The terms of the Notes include those stated in the Indenture and those made part of the Indenture by reference to the Trust Indenture Act of 1939, as amended (the “</w:t>
      </w:r>
      <w:r>
        <w:rPr>
          <w:rFonts w:ascii="Times New Roman" w:hAnsi="Times New Roman"/>
          <w:sz w:val="20"/>
          <w:u w:val="single"/>
        </w:rPr>
        <w:t>Trust Indenture Act</w:t>
      </w:r>
      <w:r>
        <w:rPr>
          <w:rFonts w:ascii="Times New Roman" w:hAnsi="Times New Roman"/>
          <w:sz w:val="20"/>
        </w:rPr>
        <w:t xml:space="preserve">”). The Notes are subject to all such terms, and Holders are referred to the Indenture and the Trust Indenture Act for a statement of such terms. To the extent any provision of this Note conflicts with the express provisions of the Indenture, the provisions of the Indenture shall govern and be controlling.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REDEMPTION AND REPURCHASE. The Notes are subject to optional redemption, and may be the subject of an Offer to Purchase, as further described in the Indenture. The Issuer shall not be required to make mandatory redemption or sinking fund payments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6. DENOMINATIONS, TRANSFER, EXCHANGE.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Holders shall be required to pay any taxes and fees required by law or permitted by the Indenture. The Issuer need not exchange or register the transfer of any Note or portion of a Note selected for redemption, except for the unredeemed portion of any Note being redeemed in part. </w:t>
      </w:r>
    </w:p>
    <w:p>
      <w:pPr>
        <w:pStyle w:val="TextBody"/>
        <w:bidi w:val="0"/>
        <w:spacing w:before="240" w:after="0"/>
        <w:jc w:val="left"/>
        <w:rPr>
          <w:rFonts w:ascii="Times New Roman" w:hAnsi="Times New Roman"/>
          <w:sz w:val="20"/>
        </w:rPr>
      </w:pPr>
      <w:r>
        <w:rPr>
          <w:rFonts w:ascii="Times New Roman" w:hAnsi="Times New Roman"/>
          <w:sz w:val="20"/>
        </w:rPr>
        <w:t xml:space="preserve">7. PERSONS DEEMED OWNERS. The registered Holder of a Note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8. AMENDMENT, SUPPLEMENT AND WAIVER. The Indenture, the Guarantees or the Notes may be amended or supplemented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9. DEFAULTS AND REMEDIES. The Events of Default relating to the Notes are defined in Section 6.01 of the Base Indenture. Upon the occurrence of an Event of Default, the rights and obligations of the Issuer, the Guarantors, the Trustee and the Holders shall be as set forth in the applicable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AUTHENTICATION. This Note shall not be entitled to any benefit under the Indenture or be valid or obligatory for any purpose until authenticated by the manual signature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11. GOVERNING LAW. THIS NOTE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12. CUSIP AND ISIN NUMBERS. Pursuant to a recommendation promulgated by the Committee on Uniform Security Identification Procedures, the Issuer has caused CUSIP and ISIN numbers to be printed on the Notes, and the Trustee may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furnish to any Holder upon written request and without charge a copy of the Indenture. Requests may be made to the Issuer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c/o Universal Health Services, Inc. </w:t>
      </w:r>
    </w:p>
    <w:p>
      <w:pPr>
        <w:pStyle w:val="TextBody"/>
        <w:bidi w:val="0"/>
        <w:spacing w:before="0" w:after="0"/>
        <w:jc w:val="center"/>
        <w:rPr>
          <w:rFonts w:ascii="Times New Roman" w:hAnsi="Times New Roman"/>
          <w:sz w:val="20"/>
        </w:rPr>
      </w:pPr>
      <w:r>
        <w:rPr>
          <w:rFonts w:ascii="Times New Roman" w:hAnsi="Times New Roman"/>
          <w:sz w:val="20"/>
        </w:rPr>
        <w:t xml:space="preserve">367 South Gulph Road </w:t>
      </w:r>
    </w:p>
    <w:p>
      <w:pPr>
        <w:pStyle w:val="TextBody"/>
        <w:bidi w:val="0"/>
        <w:spacing w:before="0" w:after="0"/>
        <w:jc w:val="center"/>
        <w:rPr>
          <w:rFonts w:ascii="Times New Roman" w:hAnsi="Times New Roman"/>
          <w:sz w:val="20"/>
        </w:rPr>
      </w:pPr>
      <w:r>
        <w:rPr>
          <w:rFonts w:ascii="Times New Roman" w:hAnsi="Times New Roman"/>
          <w:sz w:val="20"/>
        </w:rPr>
        <w:t xml:space="preserve">P.O. Box 61558 </w:t>
      </w:r>
    </w:p>
    <w:p>
      <w:pPr>
        <w:pStyle w:val="TextBody"/>
        <w:bidi w:val="0"/>
        <w:spacing w:before="0" w:after="0"/>
        <w:jc w:val="center"/>
        <w:rPr>
          <w:rFonts w:ascii="Times New Roman" w:hAnsi="Times New Roman"/>
          <w:sz w:val="20"/>
        </w:rPr>
      </w:pPr>
      <w:r>
        <w:rPr>
          <w:rFonts w:ascii="Times New Roman" w:hAnsi="Times New Roman"/>
          <w:sz w:val="20"/>
        </w:rPr>
        <w:t xml:space="preserve">King of Prussia, PA 19406 </w:t>
      </w:r>
    </w:p>
    <w:p>
      <w:pPr>
        <w:pStyle w:val="TextBody"/>
        <w:bidi w:val="0"/>
        <w:spacing w:before="0" w:after="0"/>
        <w:jc w:val="center"/>
        <w:rPr>
          <w:rFonts w:ascii="Times New Roman" w:hAnsi="Times New Roman"/>
          <w:sz w:val="20"/>
        </w:rPr>
      </w:pPr>
      <w:r>
        <w:rPr>
          <w:rFonts w:ascii="Times New Roman" w:hAnsi="Times New Roman"/>
          <w:sz w:val="20"/>
        </w:rPr>
        <w:t xml:space="preserve">Fax No.: (610) 382-4407 </w:t>
      </w:r>
    </w:p>
    <w:p>
      <w:pPr>
        <w:pStyle w:val="TextBody"/>
        <w:bidi w:val="0"/>
        <w:spacing w:before="0" w:after="0"/>
        <w:jc w:val="center"/>
        <w:rPr>
          <w:rFonts w:ascii="Times New Roman" w:hAnsi="Times New Roman"/>
          <w:sz w:val="20"/>
        </w:rPr>
      </w:pPr>
      <w:r>
        <w:rPr>
          <w:rFonts w:ascii="Times New Roman" w:hAnsi="Times New Roman"/>
          <w:sz w:val="20"/>
        </w:rPr>
        <w:t xml:space="preserve">Email: steve.filton@uhsinc.com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240" w:after="0"/>
        <w:jc w:val="left"/>
        <w:rPr>
          <w:rFonts w:ascii="Times New Roman" w:hAnsi="Times New Roman"/>
          <w:sz w:val="20"/>
        </w:rPr>
      </w:pPr>
      <w:r>
        <w:rPr>
          <w:rFonts w:ascii="Times New Roman" w:hAnsi="Times New Roman"/>
          <w:sz w:val="20"/>
        </w:rPr>
        <w:t>(I) or (we) assign and transfer this Note to: 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center"/>
        <w:rPr/>
      </w:pPr>
      <w:r>
        <w:rPr/>
        <w:t>               </w:t>
      </w:r>
      <w:r>
        <w:rPr>
          <w:rFonts w:ascii="Times New Roman" w:hAnsi="Times New Roman"/>
          <w:sz w:val="20"/>
        </w:rPr>
        <w:t xml:space="preserve">(Insert assignee’s legal name)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80" w:after="0"/>
        <w:jc w:val="left"/>
        <w:rPr>
          <w:rFonts w:ascii="Times New Roman" w:hAnsi="Times New Roman"/>
          <w:sz w:val="20"/>
        </w:rPr>
      </w:pPr>
      <w:r>
        <w:rPr>
          <w:rFonts w:ascii="Times New Roman" w:hAnsi="Times New Roman"/>
          <w:sz w:val="20"/>
        </w:rPr>
        <w:t xml:space="preserve">and irrevocably appoint </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to transfer this Note on the books of the Issuer. The agent may substitute another to act for him.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56"/>
        <w:gridCol w:w="104"/>
        <w:gridCol w:w="354"/>
        <w:gridCol w:w="104"/>
        <w:gridCol w:w="1482"/>
        <w:gridCol w:w="104"/>
        <w:gridCol w:w="3701"/>
      </w:tblGrid>
      <w:tr>
        <w:trPr/>
        <w:tc>
          <w:tcPr>
            <w:tcW w:w="4356"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3701" w:type="dxa"/>
            <w:tcBorders/>
            <w:vAlign w:val="center"/>
          </w:tcPr>
          <w:p>
            <w:pPr>
              <w:pStyle w:val="TableContents"/>
              <w:bidi w:val="0"/>
              <w:spacing w:before="0" w:after="283"/>
              <w:jc w:val="left"/>
              <w:rPr>
                <w:sz w:val="4"/>
                <w:szCs w:val="4"/>
              </w:rPr>
            </w:pPr>
            <w:r>
              <w:rPr>
                <w:sz w:val="4"/>
                <w:szCs w:val="4"/>
              </w:rPr>
            </w:r>
          </w:p>
        </w:tc>
      </w:tr>
      <w:tr>
        <w:trPr/>
        <w:tc>
          <w:tcPr>
            <w:tcW w:w="4356" w:type="dxa"/>
            <w:tcBorders/>
          </w:tcPr>
          <w:p>
            <w:pPr>
              <w:pStyle w:val="TableContents"/>
              <w:bidi w:val="0"/>
              <w:spacing w:before="0" w:after="283"/>
              <w:jc w:val="left"/>
              <w:rPr/>
            </w:pPr>
            <w:r>
              <w:rPr/>
              <w:t>Date: _____________________</w:t>
            </w:r>
          </w:p>
        </w:tc>
        <w:tc>
          <w:tcPr>
            <w:tcW w:w="104" w:type="dxa"/>
            <w:tcBorders/>
            <w:vAlign w:val="bottom"/>
          </w:tcPr>
          <w:p>
            <w:pPr>
              <w:pStyle w:val="TableContents"/>
              <w:bidi w:val="0"/>
              <w:spacing w:before="0" w:after="283"/>
              <w:jc w:val="left"/>
              <w:rPr/>
            </w:pPr>
            <w:r>
              <w:rPr/>
              <w:t> </w:t>
            </w:r>
          </w:p>
        </w:tc>
        <w:tc>
          <w:tcPr>
            <w:tcW w:w="35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482"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701" w:type="dxa"/>
            <w:tcBorders/>
          </w:tcPr>
          <w:p>
            <w:pPr>
              <w:pStyle w:val="TableContents"/>
              <w:bidi w:val="0"/>
              <w:spacing w:before="0" w:after="283"/>
              <w:jc w:val="left"/>
              <w:rPr>
                <w:sz w:val="4"/>
                <w:szCs w:val="4"/>
              </w:rPr>
            </w:pPr>
            <w:r>
              <w:rPr>
                <w:sz w:val="4"/>
                <w:szCs w:val="4"/>
              </w:rPr>
            </w:r>
          </w:p>
        </w:tc>
      </w:tr>
      <w:tr>
        <w:trPr/>
        <w:tc>
          <w:tcPr>
            <w:tcW w:w="4356"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5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482" w:type="dxa"/>
            <w:tcBorders/>
          </w:tcPr>
          <w:p>
            <w:pPr>
              <w:pStyle w:val="TableContents"/>
              <w:bidi w:val="0"/>
              <w:spacing w:before="0" w:after="283"/>
              <w:jc w:val="left"/>
              <w:rPr/>
            </w:pPr>
            <w:r>
              <w:rPr/>
              <w:t>Your Signature:</w:t>
            </w:r>
          </w:p>
        </w:tc>
        <w:tc>
          <w:tcPr>
            <w:tcW w:w="104" w:type="dxa"/>
            <w:tcBorders/>
            <w:vAlign w:val="bottom"/>
          </w:tcPr>
          <w:p>
            <w:pPr>
              <w:pStyle w:val="TableContents"/>
              <w:bidi w:val="0"/>
              <w:spacing w:before="0" w:after="283"/>
              <w:jc w:val="left"/>
              <w:rPr/>
            </w:pPr>
            <w:r>
              <w:rPr/>
              <w:t> </w:t>
            </w:r>
          </w:p>
        </w:tc>
        <w:tc>
          <w:tcPr>
            <w:tcW w:w="3701" w:type="dxa"/>
            <w:tcBorders/>
          </w:tcPr>
          <w:p>
            <w:pPr>
              <w:pStyle w:val="TableContents"/>
              <w:pBdr>
                <w:bottom w:val="single" w:sz="2" w:space="1" w:color="000000"/>
              </w:pBdr>
              <w:bidi w:val="0"/>
              <w:spacing w:before="0" w:after="20"/>
              <w:jc w:val="left"/>
              <w:rPr/>
            </w:pPr>
            <w:r>
              <w:rPr/>
              <w:t> </w:t>
            </w:r>
          </w:p>
        </w:tc>
      </w:tr>
      <w:tr>
        <w:trPr/>
        <w:tc>
          <w:tcPr>
            <w:tcW w:w="4356"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54"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1482" w:type="dxa"/>
            <w:tcBorders/>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3701" w:type="dxa"/>
            <w:tcBorders/>
          </w:tcPr>
          <w:p>
            <w:pPr>
              <w:pStyle w:val="TableContents"/>
              <w:bidi w:val="0"/>
              <w:spacing w:before="0" w:after="283"/>
              <w:jc w:val="left"/>
              <w:rPr/>
            </w:pPr>
            <w:r>
              <w:rPr/>
              <w:t>(Sign exactly as your name appears on the face of this Note)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 __________________________________</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Note purchased by the Issuer pursuant to Section 2.13 of the Third Supplemental Indenture, state the amount you elect to have purchased: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55"/>
        <w:gridCol w:w="124"/>
        <w:gridCol w:w="2360"/>
        <w:gridCol w:w="124"/>
        <w:gridCol w:w="2386"/>
        <w:gridCol w:w="124"/>
        <w:gridCol w:w="2532"/>
      </w:tblGrid>
      <w:tr>
        <w:trPr/>
        <w:tc>
          <w:tcPr>
            <w:tcW w:w="2555"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r>
      <w:tr>
        <w:trPr/>
        <w:tc>
          <w:tcPr>
            <w:tcW w:w="2555"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360"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2386" w:type="dxa"/>
            <w:tcBorders/>
          </w:tcPr>
          <w:p>
            <w:pPr>
              <w:pStyle w:val="TableContents"/>
              <w:bidi w:val="0"/>
              <w:spacing w:before="0" w:after="283"/>
              <w:jc w:val="left"/>
              <w:rPr/>
            </w:pPr>
            <w:r>
              <w:rPr/>
              <w:t>$_______________</w:t>
            </w:r>
          </w:p>
        </w:tc>
        <w:tc>
          <w:tcPr>
            <w:tcW w:w="124" w:type="dxa"/>
            <w:tcBorders/>
            <w:vAlign w:val="bottom"/>
          </w:tcPr>
          <w:p>
            <w:pPr>
              <w:pStyle w:val="TableContents"/>
              <w:bidi w:val="0"/>
              <w:spacing w:before="0" w:after="283"/>
              <w:jc w:val="left"/>
              <w:rPr/>
            </w:pPr>
            <w:r>
              <w:rPr/>
              <w:t>  </w:t>
            </w:r>
          </w:p>
        </w:tc>
        <w:tc>
          <w:tcPr>
            <w:tcW w:w="2532" w:type="dxa"/>
            <w:tcBorders/>
          </w:tcPr>
          <w:p>
            <w:pPr>
              <w:pStyle w:val="TableContents"/>
              <w:bidi w:val="0"/>
              <w:spacing w:before="0" w:after="283"/>
              <w:jc w:val="left"/>
              <w:rPr/>
            </w:pPr>
            <w:r>
              <w:rPr/>
              <w:t xml:space="preserve">(integral multiples of $1,000, </w:t>
            </w:r>
            <w:r>
              <w:rPr>
                <w:u w:val="single"/>
              </w:rPr>
              <w:t>provided</w:t>
            </w:r>
            <w:r>
              <w:rPr/>
              <w:t xml:space="preserve"> that the unpurchased portion must be in a minimum principal amount of $2,000)</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_____________________ </w:t>
      </w:r>
    </w:p>
    <w:tbl>
      <w:tblPr>
        <w:tblW w:w="2000" w:type="pct"/>
        <w:jc w:val="right"/>
        <w:tblInd w:w="0" w:type="dxa"/>
        <w:tblLayout w:type="fixed"/>
        <w:tblCellMar>
          <w:top w:w="0" w:type="dxa"/>
          <w:left w:w="0" w:type="dxa"/>
          <w:bottom w:w="0" w:type="dxa"/>
          <w:right w:w="0" w:type="dxa"/>
        </w:tblCellMar>
      </w:tblPr>
      <w:tblGrid>
        <w:gridCol w:w="2300"/>
        <w:gridCol w:w="60"/>
        <w:gridCol w:w="1722"/>
      </w:tblGrid>
      <w:tr>
        <w:trPr/>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2300" w:type="dxa"/>
            <w:tcBorders/>
          </w:tcPr>
          <w:p>
            <w:pPr>
              <w:pStyle w:val="TableContents"/>
              <w:bidi w:val="0"/>
              <w:spacing w:before="0" w:after="283"/>
              <w:jc w:val="left"/>
              <w:rPr/>
            </w:pPr>
            <w:r>
              <w:rPr/>
              <w:t>Your Signature:</w:t>
            </w:r>
          </w:p>
        </w:tc>
        <w:tc>
          <w:tcPr>
            <w:tcW w:w="60" w:type="dxa"/>
            <w:tcBorders/>
            <w:vAlign w:val="bottom"/>
          </w:tcPr>
          <w:p>
            <w:pPr>
              <w:pStyle w:val="TableContents"/>
              <w:bidi w:val="0"/>
              <w:spacing w:before="0" w:after="283"/>
              <w:jc w:val="left"/>
              <w:rPr/>
            </w:pPr>
            <w:r>
              <w:rPr/>
              <w:t> </w:t>
            </w:r>
          </w:p>
        </w:tc>
        <w:tc>
          <w:tcPr>
            <w:tcW w:w="1722" w:type="dxa"/>
            <w:tcBorders/>
          </w:tcPr>
          <w:p>
            <w:pPr>
              <w:pStyle w:val="TableContents"/>
              <w:pBdr>
                <w:bottom w:val="single" w:sz="2" w:space="1" w:color="000000"/>
              </w:pBdr>
              <w:bidi w:val="0"/>
              <w:spacing w:before="0" w:after="20"/>
              <w:jc w:val="left"/>
              <w:rPr/>
            </w:pPr>
            <w:r>
              <w:rPr/>
              <w:t> </w:t>
            </w:r>
          </w:p>
        </w:tc>
      </w:tr>
      <w:tr>
        <w:trPr/>
        <w:tc>
          <w:tcPr>
            <w:tcW w:w="23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2" w:type="dxa"/>
            <w:tcBorders/>
          </w:tcPr>
          <w:p>
            <w:pPr>
              <w:pStyle w:val="TableContents"/>
              <w:bidi w:val="0"/>
              <w:spacing w:before="0" w:after="283"/>
              <w:jc w:val="left"/>
              <w:rPr/>
            </w:pPr>
            <w:r>
              <w:rPr/>
              <w:t>(Sign exactly as your name appears on the face of this Note)</w:t>
            </w:r>
          </w:p>
        </w:tc>
      </w:tr>
      <w:tr>
        <w:trPr>
          <w:trHeight w:val="240" w:hRule="atLeast"/>
        </w:trPr>
        <w:tc>
          <w:tcPr>
            <w:tcW w:w="2300"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r>
      <w:tr>
        <w:trPr/>
        <w:tc>
          <w:tcPr>
            <w:tcW w:w="2300" w:type="dxa"/>
            <w:tcBorders/>
          </w:tcPr>
          <w:p>
            <w:pPr>
              <w:pStyle w:val="TableContents"/>
              <w:bidi w:val="0"/>
              <w:spacing w:before="0" w:after="283"/>
              <w:jc w:val="left"/>
              <w:rPr/>
            </w:pPr>
            <w:r>
              <w:rPr/>
              <w:t>Tax Identification No.:</w:t>
            </w:r>
          </w:p>
        </w:tc>
        <w:tc>
          <w:tcPr>
            <w:tcW w:w="60" w:type="dxa"/>
            <w:tcBorders/>
            <w:vAlign w:val="bottom"/>
          </w:tcPr>
          <w:p>
            <w:pPr>
              <w:pStyle w:val="TableContents"/>
              <w:bidi w:val="0"/>
              <w:spacing w:before="0" w:after="283"/>
              <w:jc w:val="left"/>
              <w:rPr/>
            </w:pPr>
            <w:r>
              <w:rPr/>
              <w:t> </w:t>
            </w:r>
          </w:p>
        </w:tc>
        <w:tc>
          <w:tcPr>
            <w:tcW w:w="1722"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initial outstanding principal amount of this Global Note is $__________. The following exchanges of a part of this Global Note for an interest in another Global Note or for a Definitive Note, or exchanges of a part of another Global or Definitive Note for an interest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6"/>
        <w:gridCol w:w="101"/>
        <w:gridCol w:w="1940"/>
        <w:gridCol w:w="102"/>
        <w:gridCol w:w="2041"/>
        <w:gridCol w:w="102"/>
        <w:gridCol w:w="2041"/>
        <w:gridCol w:w="102"/>
        <w:gridCol w:w="1940"/>
      </w:tblGrid>
      <w:tr>
        <w:trPr/>
        <w:tc>
          <w:tcPr>
            <w:tcW w:w="183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Date of</w:t>
            </w:r>
          </w:p>
          <w:p>
            <w:pPr>
              <w:pStyle w:val="TableContents"/>
              <w:bidi w:val="0"/>
              <w:spacing w:before="0" w:after="20"/>
              <w:jc w:val="center"/>
              <w:rPr>
                <w:rFonts w:ascii="Times New Roman" w:hAnsi="Times New Roman"/>
                <w:sz w:val="16"/>
              </w:rPr>
            </w:pPr>
            <w:r>
              <w:rPr>
                <w:rFonts w:ascii="Times New Roman" w:hAnsi="Times New Roman"/>
                <w:sz w:val="16"/>
              </w:rPr>
              <w:t>Exchange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decrease</w:t>
              <w:br/>
              <w:t>in Principal</w:t>
            </w:r>
          </w:p>
          <w:p>
            <w:pPr>
              <w:pStyle w:val="TableContents"/>
              <w:bidi w:val="0"/>
              <w:spacing w:before="0" w:after="20"/>
              <w:jc w:val="center"/>
              <w:rPr>
                <w:rFonts w:ascii="Times New Roman" w:hAnsi="Times New Roman"/>
                <w:sz w:val="16"/>
              </w:rPr>
            </w:pPr>
            <w:r>
              <w:rPr>
                <w:rFonts w:ascii="Times New Roman" w:hAnsi="Times New Roman"/>
                <w:sz w:val="16"/>
              </w:rPr>
              <w:t>Amount</w:t>
            </w:r>
          </w:p>
        </w:tc>
        <w:tc>
          <w:tcPr>
            <w:tcW w:w="102"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Amount of increase</w:t>
              <w:br/>
              <w:t>in Principal</w:t>
              <w:br/>
              <w:t>Amount of this</w:t>
              <w:br/>
              <w:t>Global Note</w:t>
            </w:r>
          </w:p>
        </w:tc>
        <w:tc>
          <w:tcPr>
            <w:tcW w:w="102" w:type="dxa"/>
            <w:tcBorders/>
            <w:vAlign w:val="bottom"/>
          </w:tcPr>
          <w:p>
            <w:pPr>
              <w:pStyle w:val="TableContents"/>
              <w:bidi w:val="0"/>
              <w:spacing w:before="0" w:after="283"/>
              <w:jc w:val="left"/>
              <w:rPr/>
            </w:pPr>
            <w:r>
              <w:rPr/>
              <w:t> </w:t>
            </w:r>
          </w:p>
        </w:tc>
        <w:tc>
          <w:tcPr>
            <w:tcW w:w="2041"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bidi w:val="0"/>
              <w:spacing w:before="0" w:after="0"/>
              <w:jc w:val="center"/>
              <w:rPr>
                <w:rFonts w:ascii="Times New Roman" w:hAnsi="Times New Roman"/>
                <w:sz w:val="16"/>
              </w:rPr>
            </w:pPr>
            <w:r>
              <w:rPr>
                <w:rFonts w:ascii="Times New Roman" w:hAnsi="Times New Roman"/>
                <w:sz w:val="16"/>
              </w:rPr>
              <w:t>of</w:t>
              <w:br/>
              <w:t>this Global Note</w:t>
              <w:br/>
              <w:t>following such</w:t>
              <w:br/>
              <w:t>decrease or</w:t>
            </w:r>
          </w:p>
          <w:p>
            <w:pPr>
              <w:pStyle w:val="TableContents"/>
              <w:bidi w:val="0"/>
              <w:spacing w:before="0" w:after="20"/>
              <w:jc w:val="center"/>
              <w:rPr>
                <w:rFonts w:ascii="Times New Roman" w:hAnsi="Times New Roman"/>
                <w:sz w:val="16"/>
              </w:rPr>
            </w:pPr>
            <w:r>
              <w:rPr>
                <w:rFonts w:ascii="Times New Roman" w:hAnsi="Times New Roman"/>
                <w:sz w:val="16"/>
              </w:rPr>
              <w:t>increase</w:t>
            </w:r>
          </w:p>
        </w:tc>
        <w:tc>
          <w:tcPr>
            <w:tcW w:w="102"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w:t>
            </w:r>
          </w:p>
          <w:p>
            <w:pPr>
              <w:pStyle w:val="TableContents"/>
              <w:bidi w:val="0"/>
              <w:spacing w:before="0" w:after="0"/>
              <w:jc w:val="center"/>
              <w:rPr>
                <w:rFonts w:ascii="Times New Roman" w:hAnsi="Times New Roman"/>
                <w:sz w:val="16"/>
              </w:rPr>
            </w:pPr>
            <w:r>
              <w:rPr>
                <w:rFonts w:ascii="Times New Roman" w:hAnsi="Times New Roman"/>
                <w:sz w:val="16"/>
              </w:rPr>
              <w:t>signatory of</w:t>
            </w:r>
          </w:p>
          <w:p>
            <w:pPr>
              <w:pStyle w:val="TableContents"/>
              <w:bidi w:val="0"/>
              <w:spacing w:before="0" w:after="0"/>
              <w:jc w:val="center"/>
              <w:rPr>
                <w:rFonts w:ascii="Times New Roman" w:hAnsi="Times New Roman"/>
                <w:sz w:val="16"/>
              </w:rPr>
            </w:pPr>
            <w:r>
              <w:rPr>
                <w:rFonts w:ascii="Times New Roman" w:hAnsi="Times New Roman"/>
                <w:sz w:val="16"/>
              </w:rPr>
              <w:t>Trustee or</w:t>
            </w:r>
          </w:p>
          <w:p>
            <w:pPr>
              <w:pStyle w:val="TableContents"/>
              <w:bidi w:val="0"/>
              <w:spacing w:before="0" w:after="20"/>
              <w:jc w:val="center"/>
              <w:rPr>
                <w:rFonts w:ascii="Times New Roman" w:hAnsi="Times New Roman"/>
                <w:sz w:val="16"/>
              </w:rPr>
            </w:pPr>
            <w:r>
              <w:rPr>
                <w:rFonts w:ascii="Times New Roman" w:hAnsi="Times New Roman"/>
                <w:sz w:val="16"/>
              </w:rPr>
              <w:t>Custodian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A-2 </w:t>
      </w:r>
    </w:p>
    <w:p>
      <w:pPr>
        <w:pStyle w:val="TextBody"/>
        <w:bidi w:val="0"/>
        <w:spacing w:before="240" w:after="0"/>
        <w:jc w:val="center"/>
        <w:rPr>
          <w:rFonts w:ascii="Times New Roman" w:hAnsi="Times New Roman"/>
          <w:sz w:val="20"/>
        </w:rPr>
      </w:pPr>
      <w:r>
        <w:rPr>
          <w:rFonts w:ascii="Times New Roman" w:hAnsi="Times New Roman"/>
          <w:sz w:val="20"/>
        </w:rPr>
        <w:t xml:space="preserve">[FORM OF FACE OF NOTE]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CUSIP 913903 BE9 </w:t>
      </w:r>
    </w:p>
    <w:p>
      <w:pPr>
        <w:pStyle w:val="TextBody"/>
        <w:bidi w:val="0"/>
        <w:spacing w:before="0" w:after="0"/>
        <w:jc w:val="right"/>
        <w:rPr>
          <w:rFonts w:ascii="Times New Roman" w:hAnsi="Times New Roman"/>
          <w:sz w:val="20"/>
        </w:rPr>
      </w:pPr>
      <w:r>
        <w:rPr>
          <w:rFonts w:ascii="Times New Roman" w:hAnsi="Times New Roman"/>
          <w:sz w:val="20"/>
        </w:rPr>
        <w:t xml:space="preserve">ISIN US913903BE96 </w:t>
      </w:r>
    </w:p>
    <w:p>
      <w:pPr>
        <w:pStyle w:val="TextBody"/>
        <w:bidi w:val="0"/>
        <w:spacing w:before="240" w:after="0"/>
        <w:jc w:val="center"/>
        <w:rPr>
          <w:rFonts w:ascii="Times New Roman" w:hAnsi="Times New Roman"/>
          <w:sz w:val="20"/>
        </w:rPr>
      </w:pPr>
      <w:r>
        <w:rPr>
          <w:rFonts w:ascii="Times New Roman" w:hAnsi="Times New Roman"/>
          <w:sz w:val="20"/>
        </w:rPr>
        <w:t xml:space="preserve">GLOBAL NOTE </w:t>
      </w:r>
    </w:p>
    <w:p>
      <w:pPr>
        <w:pStyle w:val="TextBody"/>
        <w:bidi w:val="0"/>
        <w:spacing w:before="240" w:after="0"/>
        <w:jc w:val="center"/>
        <w:rPr>
          <w:rFonts w:ascii="Times New Roman" w:hAnsi="Times New Roman"/>
          <w:sz w:val="20"/>
        </w:rPr>
      </w:pPr>
      <w:r>
        <w:rPr>
          <w:rFonts w:ascii="Times New Roman" w:hAnsi="Times New Roman"/>
          <w:sz w:val="20"/>
        </w:rPr>
        <w:t xml:space="preserve">6.000% Senior Secured Notes due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37"/>
        <w:gridCol w:w="123"/>
        <w:gridCol w:w="3177"/>
        <w:gridCol w:w="123"/>
        <w:gridCol w:w="3145"/>
      </w:tblGrid>
      <w:tr>
        <w:trPr/>
        <w:tc>
          <w:tcPr>
            <w:tcW w:w="363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7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r>
      <w:tr>
        <w:trPr/>
        <w:tc>
          <w:tcPr>
            <w:tcW w:w="3637" w:type="dxa"/>
            <w:tcBorders/>
          </w:tcPr>
          <w:p>
            <w:pPr>
              <w:pStyle w:val="TableContents"/>
              <w:bidi w:val="0"/>
              <w:spacing w:before="0" w:after="283"/>
              <w:jc w:val="left"/>
              <w:rPr/>
            </w:pPr>
            <w:r>
              <w:rPr/>
              <w:t>No. ___</w:t>
            </w:r>
          </w:p>
        </w:tc>
        <w:tc>
          <w:tcPr>
            <w:tcW w:w="123" w:type="dxa"/>
            <w:tcBorders/>
            <w:vAlign w:val="bottom"/>
          </w:tcPr>
          <w:p>
            <w:pPr>
              <w:pStyle w:val="TableContents"/>
              <w:bidi w:val="0"/>
              <w:spacing w:before="0" w:after="283"/>
              <w:jc w:val="left"/>
              <w:rPr/>
            </w:pPr>
            <w:r>
              <w:rPr/>
              <w:t>  </w:t>
            </w:r>
          </w:p>
        </w:tc>
        <w:tc>
          <w:tcPr>
            <w:tcW w:w="3177"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145" w:type="dxa"/>
            <w:tcBorders/>
          </w:tcPr>
          <w:p>
            <w:pPr>
              <w:pStyle w:val="TableContents"/>
              <w:bidi w:val="0"/>
              <w:spacing w:before="0" w:after="283"/>
              <w:jc w:val="right"/>
              <w:rPr/>
            </w:pPr>
            <w:r>
              <w:rPr/>
              <w:t>Up to [$______________]</w:t>
            </w:r>
          </w:p>
        </w:tc>
      </w:tr>
    </w:tbl>
    <w:p>
      <w:pPr>
        <w:pStyle w:val="TextBody"/>
        <w:bidi w:val="0"/>
        <w:spacing w:before="480" w:after="0"/>
        <w:jc w:val="center"/>
        <w:rPr>
          <w:rFonts w:ascii="Times New Roman" w:hAnsi="Times New Roman"/>
          <w:sz w:val="20"/>
        </w:rPr>
      </w:pPr>
      <w:r>
        <w:rPr>
          <w:rFonts w:ascii="Times New Roman" w:hAnsi="Times New Roman"/>
          <w:sz w:val="20"/>
        </w:rPr>
        <w:t xml:space="preserve">UNIVERSAL HEALTH SERVICES, INC. </w:t>
      </w:r>
    </w:p>
    <w:p>
      <w:pPr>
        <w:pStyle w:val="TextBody"/>
        <w:bidi w:val="0"/>
        <w:spacing w:before="240" w:after="0"/>
        <w:jc w:val="left"/>
        <w:rPr>
          <w:rFonts w:ascii="Times New Roman" w:hAnsi="Times New Roman"/>
          <w:sz w:val="20"/>
        </w:rPr>
      </w:pPr>
      <w:r>
        <w:rPr>
          <w:rFonts w:ascii="Times New Roman" w:hAnsi="Times New Roman"/>
          <w:sz w:val="20"/>
        </w:rPr>
        <w:t xml:space="preserve">promises to pay to CEDE &amp; CO. or registered assigns the principal sum set forth on the Schedule of Exchanges of Interests in the Global Note attached hereto on September 1, 2036.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 Dates: March 1 and September 1 </w:t>
      </w:r>
    </w:p>
    <w:p>
      <w:pPr>
        <w:pStyle w:val="TextBody"/>
        <w:bidi w:val="0"/>
        <w:spacing w:before="240" w:after="0"/>
        <w:jc w:val="left"/>
        <w:rPr>
          <w:rFonts w:ascii="Times New Roman" w:hAnsi="Times New Roman"/>
          <w:sz w:val="20"/>
        </w:rPr>
      </w:pPr>
      <w:r>
        <w:rPr>
          <w:rFonts w:ascii="Times New Roman" w:hAnsi="Times New Roman"/>
          <w:sz w:val="20"/>
        </w:rPr>
        <w:t xml:space="preserve">Record Dates: February 15 and August 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HEREOF, the Issuer has caused this instrument to be duly executed.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59"/>
        <w:gridCol w:w="121"/>
        <w:gridCol w:w="2702"/>
      </w:tblGrid>
      <w:tr>
        <w:trPr/>
        <w:tc>
          <w:tcPr>
            <w:tcW w:w="125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UNIVERSAL HEALTH SERVICES, INC., as Issuer</w:t>
            </w:r>
          </w:p>
        </w:tc>
      </w:tr>
      <w:tr>
        <w:trPr>
          <w:trHeight w:val="240" w:hRule="atLeast"/>
        </w:trPr>
        <w:tc>
          <w:tcPr>
            <w:tcW w:w="1259" w:type="dxa"/>
            <w:tcBorders/>
            <w:vAlign w:val="center"/>
          </w:tcPr>
          <w:p>
            <w:pPr>
              <w:pStyle w:val="TableContents"/>
              <w:bidi w:val="0"/>
              <w:spacing w:before="0" w:after="283"/>
              <w:jc w:val="left"/>
              <w:rPr>
                <w:sz w:val="4"/>
                <w:szCs w:val="4"/>
              </w:rPr>
            </w:pPr>
            <w:r>
              <w:rPr>
                <w:sz w:val="4"/>
                <w:szCs w:val="4"/>
              </w:rPr>
            </w:r>
          </w:p>
        </w:tc>
        <w:tc>
          <w:tcPr>
            <w:tcW w:w="2823" w:type="dxa"/>
            <w:gridSpan w:val="2"/>
            <w:tcBorders/>
            <w:vAlign w:val="center"/>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2702" w:type="dxa"/>
            <w:tcBorders/>
          </w:tcPr>
          <w:p>
            <w:pPr>
              <w:pStyle w:val="TableContents"/>
              <w:pBdr>
                <w:bottom w:val="single" w:sz="2" w:space="1" w:color="000000"/>
              </w:pBdr>
              <w:bidi w:val="0"/>
              <w:spacing w:before="0" w:after="20"/>
              <w:jc w:val="left"/>
              <w:rPr/>
            </w:pPr>
            <w:r>
              <w:rPr/>
              <w:t> </w:t>
            </w:r>
          </w:p>
        </w:tc>
      </w:tr>
      <w:tr>
        <w:trPr/>
        <w:tc>
          <w:tcPr>
            <w:tcW w:w="1259" w:type="dxa"/>
            <w:tcBorders/>
          </w:tcPr>
          <w:p>
            <w:pPr>
              <w:pStyle w:val="TableContents"/>
              <w:bidi w:val="0"/>
              <w:spacing w:before="0" w:after="283"/>
              <w:jc w:val="left"/>
              <w:rPr/>
            </w:pPr>
            <w:r>
              <w:rPr/>
              <w:t>Name:</w:t>
            </w:r>
          </w:p>
        </w:tc>
        <w:tc>
          <w:tcPr>
            <w:tcW w:w="121"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sz w:val="4"/>
                <w:szCs w:val="4"/>
              </w:rPr>
            </w:pPr>
            <w:r>
              <w:rPr>
                <w:sz w:val="4"/>
                <w:szCs w:val="4"/>
              </w:rPr>
            </w:r>
          </w:p>
        </w:tc>
      </w:tr>
      <w:tr>
        <w:trPr/>
        <w:tc>
          <w:tcPr>
            <w:tcW w:w="1259" w:type="dxa"/>
            <w:tcBorders/>
          </w:tcPr>
          <w:p>
            <w:pPr>
              <w:pStyle w:val="TableContents"/>
              <w:bidi w:val="0"/>
              <w:spacing w:before="0" w:after="283"/>
              <w:jc w:val="left"/>
              <w:rPr/>
            </w:pPr>
            <w:r>
              <w:rPr/>
              <w:t>Title:</w:t>
            </w:r>
          </w:p>
        </w:tc>
        <w:tc>
          <w:tcPr>
            <w:tcW w:w="121" w:type="dxa"/>
            <w:tcBorders/>
            <w:vAlign w:val="bottom"/>
          </w:tcPr>
          <w:p>
            <w:pPr>
              <w:pStyle w:val="TableContents"/>
              <w:bidi w:val="0"/>
              <w:spacing w:before="0" w:after="283"/>
              <w:jc w:val="left"/>
              <w:rPr/>
            </w:pPr>
            <w:r>
              <w:rPr/>
              <w:t> </w:t>
            </w:r>
          </w:p>
        </w:tc>
        <w:tc>
          <w:tcPr>
            <w:tcW w:w="2702"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Notes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0" w:after="0"/>
        <w:jc w:val="left"/>
        <w:rPr/>
      </w:pPr>
      <w:r>
        <w:rPr/>
        <w: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99"/>
        <w:gridCol w:w="145"/>
        <w:gridCol w:w="2438"/>
      </w:tblGrid>
      <w:tr>
        <w:trPr/>
        <w:tc>
          <w:tcPr>
            <w:tcW w:w="1499"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24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1499" w:type="dxa"/>
            <w:tcBorders/>
            <w:vAlign w:val="center"/>
          </w:tcPr>
          <w:p>
            <w:pPr>
              <w:pStyle w:val="TableContents"/>
              <w:bidi w:val="0"/>
              <w:spacing w:before="0" w:after="283"/>
              <w:jc w:val="left"/>
              <w:rPr>
                <w:sz w:val="4"/>
                <w:szCs w:val="4"/>
              </w:rPr>
            </w:pPr>
            <w:r>
              <w:rPr>
                <w:sz w:val="4"/>
                <w:szCs w:val="4"/>
              </w:rPr>
            </w:r>
          </w:p>
        </w:tc>
        <w:tc>
          <w:tcPr>
            <w:tcW w:w="2583" w:type="dxa"/>
            <w:gridSpan w:val="2"/>
            <w:tcBorders/>
            <w:vAlign w:val="center"/>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283"/>
              <w:jc w:val="left"/>
              <w:rPr/>
            </w:pPr>
            <w:r>
              <w:rPr/>
              <w:t>By:</w:t>
            </w:r>
          </w:p>
        </w:tc>
        <w:tc>
          <w:tcPr>
            <w:tcW w:w="145" w:type="dxa"/>
            <w:tcBorders/>
            <w:vAlign w:val="bottom"/>
          </w:tcPr>
          <w:p>
            <w:pPr>
              <w:pStyle w:val="TableContents"/>
              <w:bidi w:val="0"/>
              <w:spacing w:before="0" w:after="283"/>
              <w:jc w:val="left"/>
              <w:rPr/>
            </w:pPr>
            <w:r>
              <w:rPr/>
              <w:t> </w:t>
            </w:r>
          </w:p>
        </w:tc>
        <w:tc>
          <w:tcPr>
            <w:tcW w:w="2438" w:type="dxa"/>
            <w:tcBorders/>
          </w:tcPr>
          <w:p>
            <w:pPr>
              <w:pStyle w:val="TableContents"/>
              <w:pBdr>
                <w:bottom w:val="single" w:sz="2" w:space="1" w:color="000000"/>
              </w:pBdr>
              <w:bidi w:val="0"/>
              <w:spacing w:before="0" w:after="20"/>
              <w:jc w:val="left"/>
              <w:rPr/>
            </w:pPr>
            <w:r>
              <w:rPr/>
              <w:t> </w:t>
            </w:r>
          </w:p>
        </w:tc>
      </w:tr>
      <w:tr>
        <w:trPr/>
        <w:tc>
          <w:tcPr>
            <w:tcW w:w="1499" w:type="dxa"/>
            <w:tcBorders/>
          </w:tcPr>
          <w:p>
            <w:pPr>
              <w:pStyle w:val="TableContents"/>
              <w:bidi w:val="0"/>
              <w:spacing w:before="0" w:after="283"/>
              <w:jc w:val="left"/>
              <w:rPr/>
            </w:pPr>
            <w:r>
              <w:rPr/>
              <w:t>Name:</w:t>
            </w:r>
          </w:p>
        </w:tc>
        <w:tc>
          <w:tcPr>
            <w:tcW w:w="145" w:type="dxa"/>
            <w:tcBorders/>
            <w:vAlign w:val="bottom"/>
          </w:tcPr>
          <w:p>
            <w:pPr>
              <w:pStyle w:val="TableContents"/>
              <w:bidi w:val="0"/>
              <w:spacing w:before="0" w:after="283"/>
              <w:jc w:val="left"/>
              <w:rPr/>
            </w:pPr>
            <w:r>
              <w:rPr/>
              <w:t> </w:t>
            </w:r>
          </w:p>
        </w:tc>
        <w:tc>
          <w:tcPr>
            <w:tcW w:w="2438" w:type="dxa"/>
            <w:tcBorders/>
          </w:tcPr>
          <w:p>
            <w:pPr>
              <w:pStyle w:val="TableContents"/>
              <w:bidi w:val="0"/>
              <w:spacing w:before="0" w:after="283"/>
              <w:jc w:val="left"/>
              <w:rPr>
                <w:sz w:val="4"/>
                <w:szCs w:val="4"/>
              </w:rPr>
            </w:pPr>
            <w:r>
              <w:rPr>
                <w:sz w:val="4"/>
                <w:szCs w:val="4"/>
              </w:rPr>
            </w:r>
          </w:p>
        </w:tc>
      </w:tr>
      <w:tr>
        <w:trPr/>
        <w:tc>
          <w:tcPr>
            <w:tcW w:w="1499" w:type="dxa"/>
            <w:tcBorders/>
          </w:tcPr>
          <w:p>
            <w:pPr>
              <w:pStyle w:val="TableContents"/>
              <w:bidi w:val="0"/>
              <w:spacing w:before="0" w:after="283"/>
              <w:jc w:val="left"/>
              <w:rPr/>
            </w:pPr>
            <w:r>
              <w:rPr/>
              <w:t>Title:</w:t>
            </w:r>
          </w:p>
        </w:tc>
        <w:tc>
          <w:tcPr>
            <w:tcW w:w="145" w:type="dxa"/>
            <w:tcBorders/>
            <w:vAlign w:val="bottom"/>
          </w:tcPr>
          <w:p>
            <w:pPr>
              <w:pStyle w:val="TableContents"/>
              <w:bidi w:val="0"/>
              <w:spacing w:before="0" w:after="283"/>
              <w:jc w:val="left"/>
              <w:rPr/>
            </w:pPr>
            <w:r>
              <w:rPr/>
              <w:t> </w:t>
            </w:r>
          </w:p>
        </w:tc>
        <w:tc>
          <w:tcPr>
            <w:tcW w:w="243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[Reverse Side of Note] </w:t>
      </w:r>
    </w:p>
    <w:p>
      <w:pPr>
        <w:pStyle w:val="TextBody"/>
        <w:bidi w:val="0"/>
        <w:spacing w:before="120" w:after="0"/>
        <w:jc w:val="center"/>
        <w:rPr>
          <w:rFonts w:ascii="Times New Roman" w:hAnsi="Times New Roman"/>
          <w:sz w:val="20"/>
        </w:rPr>
      </w:pPr>
      <w:r>
        <w:rPr>
          <w:rFonts w:ascii="Times New Roman" w:hAnsi="Times New Roman"/>
          <w:sz w:val="20"/>
        </w:rPr>
        <w:t xml:space="preserve">6.000% Senior Secured Notes due 2036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shall have the meanings assigned to them in the Indenture referred to below unless otherwise indicated. </w:t>
      </w:r>
    </w:p>
    <w:p>
      <w:pPr>
        <w:pStyle w:val="TextBody"/>
        <w:bidi w:val="0"/>
        <w:spacing w:before="240" w:after="0"/>
        <w:jc w:val="left"/>
        <w:rPr>
          <w:rFonts w:ascii="Times New Roman" w:hAnsi="Times New Roman"/>
          <w:sz w:val="20"/>
        </w:rPr>
      </w:pPr>
      <w:r>
        <w:rPr>
          <w:rFonts w:ascii="Times New Roman" w:hAnsi="Times New Roman"/>
          <w:sz w:val="20"/>
        </w:rPr>
        <w:t>1. INTEREST. Universal Health Services, Inc., a Delaware corporation, promises to pay interest on the principal amount of this Note at 6.000% per annum from and including August 20, 2026 until maturity. The Issuer shall pay interest, semi-annually in arrears on March 1 and September 1 of each year, or if any such day is not a Business Day, on the next succeeding Business Day (each, an “</w:t>
      </w:r>
      <w:r>
        <w:rPr>
          <w:rFonts w:ascii="Times New Roman" w:hAnsi="Times New Roman"/>
          <w:sz w:val="20"/>
          <w:u w:val="single"/>
        </w:rPr>
        <w:t>Interest Payment Date</w:t>
      </w:r>
      <w:r>
        <w:rPr>
          <w:rFonts w:ascii="Times New Roman" w:hAnsi="Times New Roman"/>
          <w:sz w:val="20"/>
        </w:rPr>
        <w:t xml:space="preserve">”). Interest on the Notes shall accrue from the most recent date to which interest has been paid or, if no interest has been paid, from and including the date of original issuance; </w:t>
      </w:r>
      <w:r>
        <w:rPr>
          <w:rFonts w:ascii="Times New Roman" w:hAnsi="Times New Roman"/>
          <w:sz w:val="20"/>
          <w:u w:val="single"/>
        </w:rPr>
        <w:t>provided</w:t>
      </w:r>
      <w:r>
        <w:rPr>
          <w:rFonts w:ascii="Times New Roman" w:hAnsi="Times New Roman"/>
          <w:sz w:val="20"/>
        </w:rPr>
        <w:t xml:space="preserve"> that the first Interest Payment Date shall be March 1, 2027. The Issuer shall pay interest (including post-petition interest in any proceeding under any Bankruptcy Law) on overdue principal and premium, if any, from time to time on demand at the interest rate on the Notes; it shall pay interest (including post-petition interest in any proceeding under any Bankruptcy Law) on overdue installments of interest (without regard to any applicable grace periods), from time to time on demand at the interest rate on the Notes. Interest shall be computed on the basis of a 360-day year comprised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2. METHOD OF PAYMENT. The Issuer shall pay interest on the Notes to the Persons who are registered holders of Notes at the close of business on the February 15 and August 15 (whether or not a Business Day), as the case may be, immediately preceding the related Interest Payment Date, even if such Notes are canceled after such record date and on or before such Interest Payment Date, except as provided in Section 2.12 of the Base Indenture with respect to defaulted interest. Principal, premium, if any, and interest on the Notes shall be payable at the office or agency of the Issuer maintained for such purpose or, at the option of the Issuer, payment of interest and premium, if any, may be made by check mailed to the Holders at their respective addresses set forth in the Note Register; </w:t>
      </w:r>
      <w:r>
        <w:rPr>
          <w:rFonts w:ascii="Times New Roman" w:hAnsi="Times New Roman"/>
          <w:sz w:val="20"/>
          <w:u w:val="single"/>
        </w:rPr>
        <w:t>provided</w:t>
      </w:r>
      <w:r>
        <w:rPr>
          <w:rFonts w:ascii="Times New Roman" w:hAnsi="Times New Roman"/>
          <w:sz w:val="20"/>
        </w:rPr>
        <w:t xml:space="preserve"> that payment by wire transfer of immediately available funds shall be required with respect to principal, premium, if any, and interest, on all Global Notes and all other Notes the Holders of which shall have provided wire transfer instructions to the Issuer or the Paying Agent at least five Business Days prior to the applicable payment date. Such payment shall be in such coin or currency of the United States of America as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3. PAYING AGENT AND REGISTRAR. Initially, U.S. Bank Trust Company, National Association, the Trustee under the Indenture, shall act as Paying Agent and Registrar. The Issuer may change any Paying Agent or Registrar without notice to the Holders. The Issuer or any of its Restricted Subsidiaries may act in any such capacity. </w:t>
      </w:r>
    </w:p>
    <w:p>
      <w:pPr>
        <w:pStyle w:val="TextBody"/>
        <w:bidi w:val="0"/>
        <w:spacing w:before="240" w:after="0"/>
        <w:jc w:val="left"/>
        <w:rPr>
          <w:rFonts w:ascii="Times New Roman" w:hAnsi="Times New Roman"/>
          <w:sz w:val="20"/>
        </w:rPr>
      </w:pPr>
      <w:r>
        <w:rPr>
          <w:rFonts w:ascii="Times New Roman" w:hAnsi="Times New Roman"/>
          <w:sz w:val="20"/>
        </w:rPr>
        <w:t>4. INDENTURE. The Issuer issued the Notes under an Indenture, dated as of September 26, 2024 (the “</w:t>
      </w:r>
      <w:r>
        <w:rPr>
          <w:rFonts w:ascii="Times New Roman" w:hAnsi="Times New Roman"/>
          <w:sz w:val="20"/>
          <w:u w:val="single"/>
        </w:rPr>
        <w:t>Base Indenture</w:t>
      </w:r>
      <w:r>
        <w:rPr>
          <w:rFonts w:ascii="Times New Roman" w:hAnsi="Times New Roman"/>
          <w:sz w:val="20"/>
        </w:rPr>
        <w:t>”), as supplemented by the First Supplemental Indenture, dated as of September 26, 2024, the Second Supplemental Indenture, dated as of April 22, 2026, and the Third Supplemental Indenture, dated as of August 20, 2026 (the “</w:t>
      </w:r>
      <w:r>
        <w:rPr>
          <w:rFonts w:ascii="Times New Roman" w:hAnsi="Times New Roman"/>
          <w:sz w:val="20"/>
          <w:u w:val="single"/>
        </w:rPr>
        <w:t>Third 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among the Issuer, the Guarantors, the Trustee and the Collateral Agent. This Note is one of a duly authorized issue of notes of the Issuer designated as its 6.000% Senior Secured Notes due 2036. The Issuer shall be entitled to issue Additional Notes in accordance with Section 2.16(b) of the Third Supplemental Indenture and any other applicable provisions of the Indenture. The terms of the Notes include those stated in the Indenture and those made part of the Indenture by reference to the Trust Indenture Act of 1939, as amended (the “</w:t>
      </w:r>
      <w:r>
        <w:rPr>
          <w:rFonts w:ascii="Times New Roman" w:hAnsi="Times New Roman"/>
          <w:sz w:val="20"/>
          <w:u w:val="single"/>
        </w:rPr>
        <w:t>Trust Indenture Act</w:t>
      </w:r>
      <w:r>
        <w:rPr>
          <w:rFonts w:ascii="Times New Roman" w:hAnsi="Times New Roman"/>
          <w:sz w:val="20"/>
        </w:rPr>
        <w:t xml:space="preserve">”). The Notes are subject to all such terms, and Holders are referred to the Indenture and the Trust Indenture Act for a statement of such terms. To the extent any provision of this Note conflicts with the express provisions of the Indenture, the provisions of the Indenture shall govern and be controlling.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REDEMPTION AND REPURCHASE. The Notes are subject to optional redemption, and may be the subject of an Offer to Purchase, as further described in the Indenture. The Issuer shall not be required to make mandatory redemption or sinking fund payments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6. DENOMINATIONS, TRANSFER, EXCHANGE. The Notes are in registered form without coupons in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Holders shall be required to pay any taxes and fees required by law or permitted by the Indenture. The Issuer need not exchange or register the transfer of any Note or portion of a Note selected for redemption, except for the unredeemed portion of any Note being redeemed in part. </w:t>
      </w:r>
    </w:p>
    <w:p>
      <w:pPr>
        <w:pStyle w:val="TextBody"/>
        <w:bidi w:val="0"/>
        <w:spacing w:before="240" w:after="0"/>
        <w:jc w:val="left"/>
        <w:rPr>
          <w:rFonts w:ascii="Times New Roman" w:hAnsi="Times New Roman"/>
          <w:sz w:val="20"/>
        </w:rPr>
      </w:pPr>
      <w:r>
        <w:rPr>
          <w:rFonts w:ascii="Times New Roman" w:hAnsi="Times New Roman"/>
          <w:sz w:val="20"/>
        </w:rPr>
        <w:t xml:space="preserve">7. PERSONS DEEMED OWNERS. The registered Holder of a Note may be treated as its owner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8. AMENDMENT, SUPPLEMENT AND WAIVER. The Indenture, the Guarantees or the Notes may be amended or supplemented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9. DEFAULTS AND REMEDIES. The Events of Default relating to the Notes are defined in Section 6.01 of the Base Indenture. Upon the occurrence of an Event of Default, the rights and obligations of the Issuer, the Guarantors, the Trustee and the Holders shall be as set forth in the applicable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10. AUTHENTICATION. This Note shall not be entitled to any benefit under the Indenture or be valid or obligatory for any purpose until authenticated by the manual signature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11. GOVERNING LAW. THIS NOTE WILL BE GOVERNED BY, AND CONSTRUED IN ACCORDANCE WITH, THE LAWS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12. CUSIP AND ISIN NUMBERS. Pursuant to a recommendation promulgated by the Committee on Uniform Security Identification Procedures, the Issuer has caused CUSIP and ISIN numbers to be printed on the Notes, and the Trustee may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 </w:t>
      </w:r>
    </w:p>
    <w:p>
      <w:pPr>
        <w:pStyle w:val="TextBody"/>
        <w:bidi w:val="0"/>
        <w:spacing w:before="240" w:after="0"/>
        <w:jc w:val="left"/>
        <w:rPr>
          <w:rFonts w:ascii="Times New Roman" w:hAnsi="Times New Roman"/>
          <w:sz w:val="20"/>
        </w:rPr>
      </w:pPr>
      <w:r>
        <w:rPr>
          <w:rFonts w:ascii="Times New Roman" w:hAnsi="Times New Roman"/>
          <w:sz w:val="20"/>
        </w:rPr>
        <w:t xml:space="preserve">The Issuer shall furnish to any Holder upon written request and without charge a copy of the Indenture. Requests may be made to the Issuer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c/o Universal Health Services, Inc. </w:t>
      </w:r>
    </w:p>
    <w:p>
      <w:pPr>
        <w:pStyle w:val="TextBody"/>
        <w:bidi w:val="0"/>
        <w:spacing w:before="0" w:after="0"/>
        <w:jc w:val="center"/>
        <w:rPr>
          <w:rFonts w:ascii="Times New Roman" w:hAnsi="Times New Roman"/>
          <w:sz w:val="20"/>
        </w:rPr>
      </w:pPr>
      <w:r>
        <w:rPr>
          <w:rFonts w:ascii="Times New Roman" w:hAnsi="Times New Roman"/>
          <w:sz w:val="20"/>
        </w:rPr>
        <w:t xml:space="preserve">367 South Gulph Road </w:t>
      </w:r>
    </w:p>
    <w:p>
      <w:pPr>
        <w:pStyle w:val="TextBody"/>
        <w:bidi w:val="0"/>
        <w:spacing w:before="0" w:after="0"/>
        <w:jc w:val="center"/>
        <w:rPr>
          <w:rFonts w:ascii="Times New Roman" w:hAnsi="Times New Roman"/>
          <w:sz w:val="20"/>
        </w:rPr>
      </w:pPr>
      <w:r>
        <w:rPr>
          <w:rFonts w:ascii="Times New Roman" w:hAnsi="Times New Roman"/>
          <w:sz w:val="20"/>
        </w:rPr>
        <w:t xml:space="preserve">P.O. Box 61558 </w:t>
      </w:r>
    </w:p>
    <w:p>
      <w:pPr>
        <w:pStyle w:val="TextBody"/>
        <w:bidi w:val="0"/>
        <w:spacing w:before="0" w:after="0"/>
        <w:jc w:val="center"/>
        <w:rPr>
          <w:rFonts w:ascii="Times New Roman" w:hAnsi="Times New Roman"/>
          <w:sz w:val="20"/>
        </w:rPr>
      </w:pPr>
      <w:r>
        <w:rPr>
          <w:rFonts w:ascii="Times New Roman" w:hAnsi="Times New Roman"/>
          <w:sz w:val="20"/>
        </w:rPr>
        <w:t xml:space="preserve">King of Prussia, PA 19406 </w:t>
      </w:r>
    </w:p>
    <w:p>
      <w:pPr>
        <w:pStyle w:val="TextBody"/>
        <w:bidi w:val="0"/>
        <w:spacing w:before="0" w:after="0"/>
        <w:jc w:val="center"/>
        <w:rPr>
          <w:rFonts w:ascii="Times New Roman" w:hAnsi="Times New Roman"/>
          <w:sz w:val="20"/>
        </w:rPr>
      </w:pPr>
      <w:r>
        <w:rPr>
          <w:rFonts w:ascii="Times New Roman" w:hAnsi="Times New Roman"/>
          <w:sz w:val="20"/>
        </w:rPr>
        <w:t xml:space="preserve">Fax No.: (610) 382-4407 </w:t>
      </w:r>
    </w:p>
    <w:p>
      <w:pPr>
        <w:pStyle w:val="TextBody"/>
        <w:bidi w:val="0"/>
        <w:spacing w:before="0" w:after="0"/>
        <w:jc w:val="center"/>
        <w:rPr>
          <w:rFonts w:ascii="Times New Roman" w:hAnsi="Times New Roman"/>
          <w:sz w:val="20"/>
        </w:rPr>
      </w:pPr>
      <w:r>
        <w:rPr>
          <w:rFonts w:ascii="Times New Roman" w:hAnsi="Times New Roman"/>
          <w:sz w:val="20"/>
        </w:rPr>
        <w:t xml:space="preserve">Email: steve.filton@uhsinc.com </w:t>
      </w:r>
    </w:p>
    <w:p>
      <w:pPr>
        <w:pStyle w:val="TextBody"/>
        <w:bidi w:val="0"/>
        <w:spacing w:before="0" w:after="0"/>
        <w:jc w:val="center"/>
        <w:rPr>
          <w:rFonts w:ascii="Times New Roman" w:hAnsi="Times New Roman"/>
          <w:sz w:val="20"/>
        </w:rPr>
      </w:pPr>
      <w:r>
        <w:rPr>
          <w:rFonts w:ascii="Times New Roman" w:hAnsi="Times New Roman"/>
          <w:sz w:val="20"/>
        </w:rPr>
        <w:t xml:space="preserve">Attention: Chief Financial Officer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ASSIGNMENT FORM </w:t>
      </w:r>
    </w:p>
    <w:p>
      <w:pPr>
        <w:pStyle w:val="TextBody"/>
        <w:bidi w:val="0"/>
        <w:spacing w:before="240" w:after="0"/>
        <w:jc w:val="left"/>
        <w:rPr>
          <w:rFonts w:ascii="Times New Roman" w:hAnsi="Times New Roman"/>
          <w:sz w:val="20"/>
        </w:rPr>
      </w:pPr>
      <w:r>
        <w:rPr>
          <w:rFonts w:ascii="Times New Roman" w:hAnsi="Times New Roman"/>
          <w:sz w:val="20"/>
        </w:rPr>
        <w:t xml:space="preserve">To assign this Note, fill in the form below: </w:t>
      </w:r>
    </w:p>
    <w:p>
      <w:pPr>
        <w:pStyle w:val="TextBody"/>
        <w:bidi w:val="0"/>
        <w:spacing w:before="240" w:after="0"/>
        <w:jc w:val="left"/>
        <w:rPr>
          <w:rFonts w:ascii="Times New Roman" w:hAnsi="Times New Roman"/>
          <w:sz w:val="20"/>
        </w:rPr>
      </w:pPr>
      <w:r>
        <w:rPr>
          <w:rFonts w:ascii="Times New Roman" w:hAnsi="Times New Roman"/>
          <w:sz w:val="20"/>
        </w:rPr>
        <w:t>(I) or (we) assign and transfer this Note to: </w:t>
      </w:r>
      <w:r>
        <w:rPr>
          <w:rFonts w:ascii="Times New Roman" w:hAnsi="Times New Roman"/>
          <w:sz w:val="20"/>
          <w:u w:val="single"/>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(Insert assignee’s legal name)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sz w:val="20"/>
        </w:rPr>
      </w:pPr>
      <w:r>
        <w:rPr>
          <w:rFonts w:ascii="Times New Roman" w:hAnsi="Times New Roman"/>
          <w:sz w:val="20"/>
        </w:rPr>
        <w:t xml:space="preserve">(Insert assignee’s soc. sec. or tax I.D. no.)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rFonts w:ascii="Times New Roman" w:hAnsi="Times New Roman"/>
          <w:sz w:val="20"/>
        </w:rPr>
      </w:pPr>
      <w:r>
        <w:rPr>
          <w:rFonts w:ascii="Times New Roman" w:hAnsi="Times New Roman"/>
          <w:sz w:val="20"/>
        </w:rPr>
        <w:t xml:space="preserve">(Print or type assignee’s name, address and zip code) </w:t>
      </w:r>
    </w:p>
    <w:p>
      <w:pPr>
        <w:pStyle w:val="TextBody"/>
        <w:bidi w:val="0"/>
        <w:spacing w:before="360" w:after="0"/>
        <w:jc w:val="left"/>
        <w:rPr>
          <w:rFonts w:ascii="Times New Roman" w:hAnsi="Times New Roman"/>
          <w:sz w:val="20"/>
        </w:rPr>
      </w:pPr>
      <w:r>
        <w:rPr>
          <w:rFonts w:ascii="Times New Roman" w:hAnsi="Times New Roman"/>
          <w:sz w:val="20"/>
        </w:rPr>
        <w:t>and irrevocably appoint </w:t>
      </w:r>
      <w:r>
        <w:rPr>
          <w:rFonts w:ascii="Times New Roman" w:hAnsi="Times New Roman"/>
          <w:sz w:val="20"/>
          <w:u w:val="single"/>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to transfer this Note on the books of the Issuer. The agent may substitute another to act for him. </w:t>
      </w:r>
    </w:p>
    <w:p>
      <w:pPr>
        <w:pStyle w:val="TextBody"/>
        <w:bidi w:val="0"/>
        <w:spacing w:before="240" w:after="0"/>
        <w:jc w:val="left"/>
        <w:rPr>
          <w:rFonts w:ascii="Times New Roman" w:hAnsi="Times New Roman"/>
          <w:sz w:val="20"/>
        </w:rPr>
      </w:pPr>
      <w:r>
        <w:rPr>
          <w:rFonts w:ascii="Times New Roman" w:hAnsi="Times New Roman"/>
          <w:sz w:val="20"/>
        </w:rPr>
        <w:t xml:space="preserve">Date: _____________________ </w:t>
      </w:r>
    </w:p>
    <w:tbl>
      <w:tblPr>
        <w:tblW w:w="2000" w:type="pct"/>
        <w:jc w:val="right"/>
        <w:tblInd w:w="0" w:type="dxa"/>
        <w:tblLayout w:type="fixed"/>
        <w:tblCellMar>
          <w:top w:w="0" w:type="dxa"/>
          <w:left w:w="0" w:type="dxa"/>
          <w:bottom w:w="0" w:type="dxa"/>
          <w:right w:w="0" w:type="dxa"/>
        </w:tblCellMar>
      </w:tblPr>
      <w:tblGrid>
        <w:gridCol w:w="1646"/>
        <w:gridCol w:w="60"/>
        <w:gridCol w:w="2376"/>
      </w:tblGrid>
      <w:tr>
        <w:trPr/>
        <w:tc>
          <w:tcPr>
            <w:tcW w:w="16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r>
      <w:tr>
        <w:trPr/>
        <w:tc>
          <w:tcPr>
            <w:tcW w:w="1646" w:type="dxa"/>
            <w:tcBorders/>
          </w:tcPr>
          <w:p>
            <w:pPr>
              <w:pStyle w:val="TableContents"/>
              <w:bidi w:val="0"/>
              <w:spacing w:before="0" w:after="283"/>
              <w:jc w:val="left"/>
              <w:rPr/>
            </w:pPr>
            <w:r>
              <w:rPr/>
              <w:t>Your Signature:</w:t>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pBdr>
                <w:bottom w:val="single" w:sz="2" w:space="1" w:color="000000"/>
              </w:pBdr>
              <w:bidi w:val="0"/>
              <w:spacing w:before="0" w:after="20"/>
              <w:jc w:val="left"/>
              <w:rPr/>
            </w:pPr>
            <w:r>
              <w:rPr/>
              <w:t> </w:t>
            </w:r>
          </w:p>
        </w:tc>
      </w:tr>
      <w:tr>
        <w:trPr/>
        <w:tc>
          <w:tcPr>
            <w:tcW w:w="16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376" w:type="dxa"/>
            <w:tcBorders/>
          </w:tcPr>
          <w:p>
            <w:pPr>
              <w:pStyle w:val="TableContents"/>
              <w:bidi w:val="0"/>
              <w:spacing w:before="0" w:after="283"/>
              <w:jc w:val="left"/>
              <w:rPr/>
            </w:pPr>
            <w:r>
              <w:rPr/>
              <w:t>(Sign exactly as your name appears on the face of this Note)</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__________________________________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OPTION OF HOLDER TO ELECT PURCHASE </w:t>
      </w:r>
    </w:p>
    <w:p>
      <w:pPr>
        <w:pStyle w:val="TextBody"/>
        <w:bidi w:val="0"/>
        <w:spacing w:before="240" w:after="0"/>
        <w:jc w:val="left"/>
        <w:rPr>
          <w:rFonts w:ascii="Times New Roman" w:hAnsi="Times New Roman"/>
          <w:sz w:val="20"/>
        </w:rPr>
      </w:pPr>
      <w:r>
        <w:rPr>
          <w:rFonts w:ascii="Times New Roman" w:hAnsi="Times New Roman"/>
          <w:sz w:val="20"/>
        </w:rPr>
        <w:t xml:space="preserve">If you want to elect to have only part of this Note purchased by the Issuer pursuant to Section 2.13 of the Third Supplemental Indenture, state the amount you elect to have purchased: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64"/>
        <w:gridCol w:w="111"/>
        <w:gridCol w:w="2465"/>
        <w:gridCol w:w="111"/>
        <w:gridCol w:w="2491"/>
        <w:gridCol w:w="124"/>
        <w:gridCol w:w="2439"/>
      </w:tblGrid>
      <w:tr>
        <w:trPr/>
        <w:tc>
          <w:tcPr>
            <w:tcW w:w="2464"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r>
      <w:tr>
        <w:trPr/>
        <w:tc>
          <w:tcPr>
            <w:tcW w:w="2464"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46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2491" w:type="dxa"/>
            <w:tcBorders/>
          </w:tcPr>
          <w:p>
            <w:pPr>
              <w:pStyle w:val="TableContents"/>
              <w:bidi w:val="0"/>
              <w:spacing w:before="0" w:after="283"/>
              <w:jc w:val="left"/>
              <w:rPr/>
            </w:pPr>
            <w:r>
              <w:rPr/>
              <w:t>$_______________</w:t>
            </w:r>
          </w:p>
        </w:tc>
        <w:tc>
          <w:tcPr>
            <w:tcW w:w="124" w:type="dxa"/>
            <w:tcBorders/>
            <w:vAlign w:val="bottom"/>
          </w:tcPr>
          <w:p>
            <w:pPr>
              <w:pStyle w:val="TableContents"/>
              <w:bidi w:val="0"/>
              <w:spacing w:before="0" w:after="283"/>
              <w:jc w:val="left"/>
              <w:rPr/>
            </w:pPr>
            <w:r>
              <w:rPr/>
              <w:t>  </w:t>
            </w:r>
          </w:p>
        </w:tc>
        <w:tc>
          <w:tcPr>
            <w:tcW w:w="2439" w:type="dxa"/>
            <w:tcBorders/>
          </w:tcPr>
          <w:p>
            <w:pPr>
              <w:pStyle w:val="TableContents"/>
              <w:bidi w:val="0"/>
              <w:spacing w:before="0" w:after="283"/>
              <w:jc w:val="left"/>
              <w:rPr/>
            </w:pPr>
            <w:r>
              <w:rPr/>
              <w:t xml:space="preserve">(integral multiples of $1,000, </w:t>
            </w:r>
            <w:r>
              <w:rPr>
                <w:u w:val="single"/>
              </w:rPr>
              <w:t>provided</w:t>
            </w:r>
            <w:r>
              <w:rPr/>
              <w:t xml:space="preserve"> that the unpurchased portion must be in a minimum principal amount of $2,000)</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_____________________ </w:t>
      </w:r>
    </w:p>
    <w:tbl>
      <w:tblPr>
        <w:tblW w:w="2000" w:type="pct"/>
        <w:jc w:val="right"/>
        <w:tblInd w:w="0" w:type="dxa"/>
        <w:tblLayout w:type="fixed"/>
        <w:tblCellMar>
          <w:top w:w="0" w:type="dxa"/>
          <w:left w:w="0" w:type="dxa"/>
          <w:bottom w:w="0" w:type="dxa"/>
          <w:right w:w="0" w:type="dxa"/>
        </w:tblCellMar>
      </w:tblPr>
      <w:tblGrid>
        <w:gridCol w:w="2300"/>
        <w:gridCol w:w="60"/>
        <w:gridCol w:w="1722"/>
      </w:tblGrid>
      <w:tr>
        <w:trPr/>
        <w:tc>
          <w:tcPr>
            <w:tcW w:w="23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2300" w:type="dxa"/>
            <w:tcBorders/>
          </w:tcPr>
          <w:p>
            <w:pPr>
              <w:pStyle w:val="TableContents"/>
              <w:bidi w:val="0"/>
              <w:spacing w:before="0" w:after="283"/>
              <w:jc w:val="left"/>
              <w:rPr/>
            </w:pPr>
            <w:r>
              <w:rPr/>
              <w:t>Your Signature:</w:t>
            </w:r>
          </w:p>
        </w:tc>
        <w:tc>
          <w:tcPr>
            <w:tcW w:w="60" w:type="dxa"/>
            <w:tcBorders/>
            <w:vAlign w:val="bottom"/>
          </w:tcPr>
          <w:p>
            <w:pPr>
              <w:pStyle w:val="TableContents"/>
              <w:bidi w:val="0"/>
              <w:spacing w:before="0" w:after="283"/>
              <w:jc w:val="left"/>
              <w:rPr/>
            </w:pPr>
            <w:r>
              <w:rPr/>
              <w:t> </w:t>
            </w:r>
          </w:p>
        </w:tc>
        <w:tc>
          <w:tcPr>
            <w:tcW w:w="1722" w:type="dxa"/>
            <w:tcBorders/>
          </w:tcPr>
          <w:p>
            <w:pPr>
              <w:pStyle w:val="TableContents"/>
              <w:pBdr>
                <w:bottom w:val="single" w:sz="2" w:space="1" w:color="000000"/>
              </w:pBdr>
              <w:bidi w:val="0"/>
              <w:spacing w:before="0" w:after="20"/>
              <w:jc w:val="left"/>
              <w:rPr/>
            </w:pPr>
            <w:r>
              <w:rPr/>
              <w:t> </w:t>
            </w:r>
          </w:p>
        </w:tc>
      </w:tr>
      <w:tr>
        <w:trPr/>
        <w:tc>
          <w:tcPr>
            <w:tcW w:w="23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722" w:type="dxa"/>
            <w:tcBorders/>
          </w:tcPr>
          <w:p>
            <w:pPr>
              <w:pStyle w:val="TableContents"/>
              <w:bidi w:val="0"/>
              <w:spacing w:before="0" w:after="283"/>
              <w:jc w:val="left"/>
              <w:rPr/>
            </w:pPr>
            <w:r>
              <w:rPr/>
              <w:t>(Sign exactly as your name appears on the face of this Note)</w:t>
            </w:r>
          </w:p>
        </w:tc>
      </w:tr>
      <w:tr>
        <w:trPr>
          <w:trHeight w:val="240" w:hRule="atLeast"/>
        </w:trPr>
        <w:tc>
          <w:tcPr>
            <w:tcW w:w="2300" w:type="dxa"/>
            <w:tcBorders/>
            <w:vAlign w:val="center"/>
          </w:tcPr>
          <w:p>
            <w:pPr>
              <w:pStyle w:val="TableContents"/>
              <w:bidi w:val="0"/>
              <w:spacing w:before="0" w:after="283"/>
              <w:jc w:val="left"/>
              <w:rPr>
                <w:sz w:val="4"/>
                <w:szCs w:val="4"/>
              </w:rPr>
            </w:pPr>
            <w:r>
              <w:rPr>
                <w:sz w:val="4"/>
                <w:szCs w:val="4"/>
              </w:rPr>
            </w:r>
          </w:p>
        </w:tc>
        <w:tc>
          <w:tcPr>
            <w:tcW w:w="1782" w:type="dxa"/>
            <w:gridSpan w:val="2"/>
            <w:tcBorders/>
            <w:vAlign w:val="center"/>
          </w:tcPr>
          <w:p>
            <w:pPr>
              <w:pStyle w:val="TableContents"/>
              <w:bidi w:val="0"/>
              <w:spacing w:before="0" w:after="283"/>
              <w:jc w:val="left"/>
              <w:rPr>
                <w:sz w:val="4"/>
                <w:szCs w:val="4"/>
              </w:rPr>
            </w:pPr>
            <w:r>
              <w:rPr>
                <w:sz w:val="4"/>
                <w:szCs w:val="4"/>
              </w:rPr>
            </w:r>
          </w:p>
        </w:tc>
      </w:tr>
      <w:tr>
        <w:trPr/>
        <w:tc>
          <w:tcPr>
            <w:tcW w:w="2300" w:type="dxa"/>
            <w:tcBorders/>
          </w:tcPr>
          <w:p>
            <w:pPr>
              <w:pStyle w:val="TableContents"/>
              <w:bidi w:val="0"/>
              <w:spacing w:before="0" w:after="283"/>
              <w:jc w:val="left"/>
              <w:rPr/>
            </w:pPr>
            <w:r>
              <w:rPr/>
              <w:t>Tax Identification No.:</w:t>
            </w:r>
          </w:p>
        </w:tc>
        <w:tc>
          <w:tcPr>
            <w:tcW w:w="60" w:type="dxa"/>
            <w:tcBorders/>
            <w:vAlign w:val="bottom"/>
          </w:tcPr>
          <w:p>
            <w:pPr>
              <w:pStyle w:val="TableContents"/>
              <w:bidi w:val="0"/>
              <w:spacing w:before="0" w:after="283"/>
              <w:jc w:val="left"/>
              <w:rPr/>
            </w:pPr>
            <w:r>
              <w:rPr/>
              <w:t> </w:t>
            </w:r>
          </w:p>
        </w:tc>
        <w:tc>
          <w:tcPr>
            <w:tcW w:w="1722" w:type="dxa"/>
            <w:tcBorders/>
          </w:tcPr>
          <w:p>
            <w:pPr>
              <w:pStyle w:val="TableContents"/>
              <w:pBdr>
                <w:bottom w:val="single" w:sz="2" w:space="1" w:color="000000"/>
              </w:pBdr>
              <w:bidi w:val="0"/>
              <w:spacing w:before="0" w:after="2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Signature Guarantee*: __________________________________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Participant in a recognized Signature Guarantee Medallion Program (or other signature guarantor acceptable to the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The initial outstanding principal amount of this Global Note is $__________. The following exchanges of a part of this Global Note for an interest in another Global Note or for a Definitive Note, or exchanges of a part of another Global or Definitive Note for an interest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43"/>
        <w:gridCol w:w="827"/>
        <w:gridCol w:w="1100"/>
        <w:gridCol w:w="826"/>
        <w:gridCol w:w="1880"/>
        <w:gridCol w:w="826"/>
        <w:gridCol w:w="1701"/>
        <w:gridCol w:w="826"/>
        <w:gridCol w:w="1176"/>
      </w:tblGrid>
      <w:tr>
        <w:trPr/>
        <w:tc>
          <w:tcPr>
            <w:tcW w:w="1043" w:type="dxa"/>
            <w:tcBorders/>
            <w:vAlign w:val="center"/>
          </w:tcPr>
          <w:p>
            <w:pPr>
              <w:pStyle w:val="TableContents"/>
              <w:bidi w:val="0"/>
              <w:spacing w:before="0" w:after="283"/>
              <w:jc w:val="left"/>
              <w:rPr>
                <w:sz w:val="4"/>
                <w:szCs w:val="4"/>
              </w:rPr>
            </w:pPr>
            <w:r>
              <w:rPr>
                <w:sz w:val="4"/>
                <w:szCs w:val="4"/>
              </w:rPr>
            </w:r>
          </w:p>
        </w:tc>
        <w:tc>
          <w:tcPr>
            <w:tcW w:w="827" w:type="dxa"/>
            <w:tcBorders/>
            <w:vAlign w:val="bottom"/>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826" w:type="dxa"/>
            <w:tcBorders/>
            <w:vAlign w:val="bottom"/>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104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Date of</w:t>
            </w:r>
          </w:p>
          <w:p>
            <w:pPr>
              <w:pStyle w:val="TableContents"/>
              <w:bidi w:val="0"/>
              <w:spacing w:before="0" w:after="20"/>
              <w:jc w:val="center"/>
              <w:rPr>
                <w:rFonts w:ascii="Times New Roman" w:hAnsi="Times New Roman"/>
                <w:sz w:val="16"/>
              </w:rPr>
            </w:pPr>
            <w:r>
              <w:rPr>
                <w:rFonts w:ascii="Times New Roman" w:hAnsi="Times New Roman"/>
                <w:sz w:val="16"/>
              </w:rPr>
              <w:t>Exchange</w:t>
            </w:r>
          </w:p>
        </w:tc>
        <w:tc>
          <w:tcPr>
            <w:tcW w:w="827" w:type="dxa"/>
            <w:tcBorders/>
            <w:vAlign w:val="bottom"/>
          </w:tcPr>
          <w:p>
            <w:pPr>
              <w:pStyle w:val="TableContents"/>
              <w:bidi w:val="0"/>
              <w:spacing w:before="0" w:after="283"/>
              <w:jc w:val="left"/>
              <w:rPr/>
            </w:pPr>
            <w:r>
              <w:rPr/>
              <w:t>  </w:t>
            </w:r>
          </w:p>
        </w:tc>
        <w:tc>
          <w:tcPr>
            <w:tcW w:w="1100" w:type="dxa"/>
            <w:tcBorders>
              <w:bottom w:val="single" w:sz="8" w:space="0" w:color="000000"/>
            </w:tcBorders>
            <w:tcMar>
              <w:bottom w:w="28" w:type="dxa"/>
            </w:tcMar>
            <w:vAlign w:val="bottom"/>
          </w:tcPr>
          <w:p>
            <w:pPr>
              <w:pStyle w:val="TableContents"/>
              <w:bidi w:val="0"/>
              <w:spacing w:before="0" w:after="283"/>
              <w:jc w:val="center"/>
              <w:rPr/>
            </w:pPr>
            <w:r>
              <w:rPr/>
              <w:t>Amount of</w:t>
              <w:br/>
              <w:t>decrease</w:t>
              <w:br/>
              <w:t>in Principal</w:t>
              <w:br/>
              <w:t>Amount</w:t>
            </w:r>
          </w:p>
        </w:tc>
        <w:tc>
          <w:tcPr>
            <w:tcW w:w="826" w:type="dxa"/>
            <w:tcBorders/>
            <w:vAlign w:val="bottom"/>
          </w:tcPr>
          <w:p>
            <w:pPr>
              <w:pStyle w:val="TableContents"/>
              <w:bidi w:val="0"/>
              <w:spacing w:before="0" w:after="283"/>
              <w:jc w:val="left"/>
              <w:rPr/>
            </w:pPr>
            <w:r>
              <w:rPr/>
              <w:t>  </w:t>
            </w:r>
          </w:p>
        </w:tc>
        <w:tc>
          <w:tcPr>
            <w:tcW w:w="1880" w:type="dxa"/>
            <w:tcBorders>
              <w:bottom w:val="single" w:sz="8" w:space="0" w:color="000000"/>
            </w:tcBorders>
            <w:tcMar>
              <w:bottom w:w="28" w:type="dxa"/>
            </w:tcMar>
            <w:vAlign w:val="bottom"/>
          </w:tcPr>
          <w:p>
            <w:pPr>
              <w:pStyle w:val="TableContents"/>
              <w:bidi w:val="0"/>
              <w:spacing w:before="0" w:after="283"/>
              <w:jc w:val="center"/>
              <w:rPr/>
            </w:pPr>
            <w:r>
              <w:rPr/>
              <w:t>Amount of increase</w:t>
              <w:br/>
              <w:t>in Principal</w:t>
              <w:br/>
              <w:t>Amount of this</w:t>
              <w:br/>
              <w:t>Global Note</w:t>
            </w:r>
          </w:p>
        </w:tc>
        <w:tc>
          <w:tcPr>
            <w:tcW w:w="826" w:type="dxa"/>
            <w:tcBorders/>
            <w:vAlign w:val="bottom"/>
          </w:tcPr>
          <w:p>
            <w:pPr>
              <w:pStyle w:val="TableContents"/>
              <w:bidi w:val="0"/>
              <w:spacing w:before="0" w:after="283"/>
              <w:jc w:val="left"/>
              <w:rPr/>
            </w:pPr>
            <w:r>
              <w:rPr/>
              <w:t>  </w:t>
            </w:r>
          </w:p>
        </w:tc>
        <w:tc>
          <w:tcPr>
            <w:tcW w:w="1701" w:type="dxa"/>
            <w:tcBorders>
              <w:bottom w:val="single" w:sz="8" w:space="0" w:color="000000"/>
            </w:tcBorders>
            <w:tcMar>
              <w:bottom w:w="28" w:type="dxa"/>
            </w:tcMar>
            <w:vAlign w:val="bottom"/>
          </w:tcPr>
          <w:p>
            <w:pPr>
              <w:pStyle w:val="TableContents"/>
              <w:bidi w:val="0"/>
              <w:spacing w:before="0" w:after="283"/>
              <w:jc w:val="center"/>
              <w:rPr/>
            </w:pPr>
            <w:r>
              <w:rPr/>
              <w:t>Principal Amount</w:t>
              <w:br/>
              <w:t>of</w:t>
              <w:br/>
              <w:t>this Global Note</w:t>
              <w:br/>
              <w:t>following such</w:t>
              <w:br/>
              <w:t>decrease or</w:t>
              <w:br/>
              <w:t>increase</w:t>
            </w:r>
          </w:p>
        </w:tc>
        <w:tc>
          <w:tcPr>
            <w:tcW w:w="826" w:type="dxa"/>
            <w:tcBorders/>
            <w:vAlign w:val="bottom"/>
          </w:tcPr>
          <w:p>
            <w:pPr>
              <w:pStyle w:val="TableContents"/>
              <w:bidi w:val="0"/>
              <w:spacing w:before="0" w:after="283"/>
              <w:jc w:val="left"/>
              <w:rPr/>
            </w:pPr>
            <w:r>
              <w:rPr/>
              <w:t>  </w:t>
            </w:r>
          </w:p>
        </w:tc>
        <w:tc>
          <w:tcPr>
            <w:tcW w:w="1176" w:type="dxa"/>
            <w:tcBorders>
              <w:bottom w:val="single" w:sz="8" w:space="0" w:color="000000"/>
            </w:tcBorders>
            <w:tcMar>
              <w:bottom w:w="28" w:type="dxa"/>
            </w:tcMar>
            <w:vAlign w:val="bottom"/>
          </w:tcPr>
          <w:p>
            <w:pPr>
              <w:pStyle w:val="TableContents"/>
              <w:bidi w:val="0"/>
              <w:spacing w:before="0" w:after="283"/>
              <w:jc w:val="center"/>
              <w:rPr/>
            </w:pPr>
            <w:r>
              <w:rPr/>
              <w:t>Signature of</w:t>
              <w:br/>
              <w:t>authorized</w:t>
              <w:br/>
              <w:t>signatory of</w:t>
              <w:br/>
              <w:t>Trustee or</w:t>
              <w:br/>
              <w:t>Custodian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A-2-8 </w:t>
      </w:r>
    </w:p>
    <w:p>
      <w:pPr>
        <w:pStyle w:val="TextBody"/>
        <w:bidi w:val="0"/>
        <w:spacing w:before="0" w:after="0"/>
        <w:jc w:val="right"/>
        <w:rPr>
          <w:rFonts w:ascii="Times New Roman" w:hAnsi="Times New Roman"/>
          <w:b/>
          <w:sz w:val="20"/>
        </w:rPr>
      </w:pPr>
      <w:bookmarkStart w:id="4" w:name="d329184dex46.htm"/>
      <w:bookmarkStart w:id="5" w:name="ksd329184dex46"/>
      <w:bookmarkEnd w:id="4"/>
      <w:bookmarkEnd w:id="5"/>
      <w:r>
        <w:rPr>
          <w:rFonts w:ascii="Times New Roman" w:hAnsi="Times New Roman"/>
          <w:b/>
          <w:sz w:val="20"/>
        </w:rPr>
        <w:t xml:space="preserve">Exhibit 4.6 </w:t>
      </w:r>
      <w:r>
        <w:br w:type="page"/>
      </w:r>
    </w:p>
    <w:p>
      <w:pPr>
        <w:pStyle w:val="TextBody"/>
        <w:bidi w:val="0"/>
        <w:spacing w:before="240" w:after="0"/>
        <w:jc w:val="left"/>
        <w:rPr>
          <w:rFonts w:ascii="Times New Roman" w:hAnsi="Times New Roman"/>
          <w:sz w:val="20"/>
        </w:rPr>
      </w:pPr>
      <w:r>
        <w:rPr>
          <w:rFonts w:ascii="Times New Roman" w:hAnsi="Times New Roman"/>
          <w:sz w:val="20"/>
        </w:rPr>
        <w:t>ADDITIONAL AUTHORIZED REPRESENTATIVE JOINDER AGREEMENT, dated as of August 20, 2026 (this “</w:t>
      </w:r>
      <w:r>
        <w:rPr>
          <w:rFonts w:ascii="Times New Roman" w:hAnsi="Times New Roman"/>
          <w:sz w:val="20"/>
          <w:u w:val="single"/>
        </w:rPr>
        <w:t>Joinder Agreement</w:t>
      </w:r>
      <w:r>
        <w:rPr>
          <w:rFonts w:ascii="Times New Roman" w:hAnsi="Times New Roman"/>
          <w:sz w:val="20"/>
        </w:rPr>
        <w:t>”), among the Additional Authorized Representative (as defined below), Universal Health Services, Inc. (the “</w:t>
      </w:r>
      <w:r>
        <w:rPr>
          <w:rFonts w:ascii="Times New Roman" w:hAnsi="Times New Roman"/>
          <w:sz w:val="20"/>
          <w:u w:val="single"/>
        </w:rPr>
        <w:t>Borrower</w:t>
      </w:r>
      <w:r>
        <w:rPr>
          <w:rFonts w:ascii="Times New Roman" w:hAnsi="Times New Roman"/>
          <w:sz w:val="20"/>
        </w:rPr>
        <w:t>”), the other Grantors party hereto, and JPMorgan Chase Bank, N.A., as Collateral Agent (in such capacity, the “</w:t>
      </w:r>
      <w:r>
        <w:rPr>
          <w:rFonts w:ascii="Times New Roman" w:hAnsi="Times New Roman"/>
          <w:sz w:val="20"/>
          <w:u w:val="single"/>
        </w:rPr>
        <w:t>Collateral Agent</w:t>
      </w:r>
      <w:r>
        <w:rPr>
          <w:rFonts w:ascii="Times New Roman" w:hAnsi="Times New Roman"/>
          <w:sz w:val="20"/>
        </w:rPr>
        <w:t>”), as collateral agent for the Secured Parties and JPMorgan Chase Bank, N.A., as administrative agent for the Lenders (in such capacity, the “</w:t>
      </w:r>
      <w:r>
        <w:rPr>
          <w:rFonts w:ascii="Times New Roman" w:hAnsi="Times New Roman"/>
          <w:sz w:val="20"/>
          <w:u w:val="single"/>
        </w:rPr>
        <w:t>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Capitalized terms used herein but not otherwise defined herein shall have the meanings assigned to such terms in the Amended and Restated Collateral Agreement, dated as of August 7, 2014, as supplemented by the Additional Authorized Representative Joinder Agreement dated June 3, 2016, the Additional Authorized Representative Joinder Agreement dated September 21, 2020, the Additional Authorized Representative Joinder Agreement dated August 24, 2021 and the Additional Authorized Representative Joinder Agreement dated September 26, 2024, by and among the Borrower, the other Grantors party thereto, the Authorized Representatives and Collateral Agent (as amended, restated, modified, and/or supplemented from time to time, the “</w:t>
      </w:r>
      <w:r>
        <w:rPr>
          <w:rFonts w:ascii="Times New Roman" w:hAnsi="Times New Roman"/>
          <w:sz w:val="20"/>
          <w:u w:val="single"/>
        </w:rPr>
        <w:t>Collateral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Companies and the other Grantors propose to issue or incur “Additional Lien Obligations” designated by the Borrower as such in accordance with Section 9 of the Collateral Agreement in an officers’ certificate delivered concurrently herewith to the Collateral Agent and the Authorized Representatives (the “</w:t>
      </w:r>
      <w:r>
        <w:rPr>
          <w:rFonts w:ascii="Times New Roman" w:hAnsi="Times New Roman"/>
          <w:sz w:val="20"/>
          <w:u w:val="single"/>
        </w:rPr>
        <w:t>Additional Lien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the Indenture dated as of September 26, 2024 (the “</w:t>
      </w:r>
      <w:r>
        <w:rPr>
          <w:rFonts w:ascii="Times New Roman" w:hAnsi="Times New Roman"/>
          <w:sz w:val="20"/>
          <w:u w:val="single"/>
        </w:rPr>
        <w:t>Base Indenture</w:t>
      </w:r>
      <w:r>
        <w:rPr>
          <w:rFonts w:ascii="Times New Roman" w:hAnsi="Times New Roman"/>
          <w:sz w:val="20"/>
        </w:rPr>
        <w:t>”) among the Borrower, U.S. Bank Trust Company, National Association, as Trustee (the “</w:t>
      </w:r>
      <w:r>
        <w:rPr>
          <w:rFonts w:ascii="Times New Roman" w:hAnsi="Times New Roman"/>
          <w:sz w:val="20"/>
          <w:u w:val="single"/>
        </w:rPr>
        <w:t>2026 Trustee</w:t>
      </w:r>
      <w:r>
        <w:rPr>
          <w:rFonts w:ascii="Times New Roman" w:hAnsi="Times New Roman"/>
          <w:sz w:val="20"/>
        </w:rPr>
        <w:t>”), and the Collateral Agent, as supplemented by the First Supplemental Indenture dated as of September 26, 2024, the Second Supplemental Indenture dated as of April 22, 2026, and the Third Supplemental Indenture dated as of August 20, 2026 (together with the Base Indenture, the “</w:t>
      </w:r>
      <w:r>
        <w:rPr>
          <w:rFonts w:ascii="Times New Roman" w:hAnsi="Times New Roman"/>
          <w:sz w:val="20"/>
          <w:u w:val="single"/>
        </w:rPr>
        <w:t>Indenture</w:t>
      </w:r>
      <w:r>
        <w:rPr>
          <w:rFonts w:ascii="Times New Roman" w:hAnsi="Times New Roman"/>
          <w:sz w:val="20"/>
        </w:rPr>
        <w:t>”), the 2026 Trustee (the “</w:t>
      </w:r>
      <w:r>
        <w:rPr>
          <w:rFonts w:ascii="Times New Roman" w:hAnsi="Times New Roman"/>
          <w:sz w:val="20"/>
          <w:u w:val="single"/>
        </w:rPr>
        <w:t>Additional Authorized Representative</w:t>
      </w:r>
      <w:r>
        <w:rPr>
          <w:rFonts w:ascii="Times New Roman" w:hAnsi="Times New Roman"/>
          <w:sz w:val="20"/>
        </w:rPr>
        <w:t>”) will serve as trustee for the holders of the Additional Lien Obligations with respect to the Borrower’s 5.500% Senior Secured Notes due 2031 (the “</w:t>
      </w:r>
      <w:r>
        <w:rPr>
          <w:rFonts w:ascii="Times New Roman" w:hAnsi="Times New Roman"/>
          <w:sz w:val="20"/>
          <w:u w:val="single"/>
        </w:rPr>
        <w:t>2031 Senior Notes</w:t>
      </w:r>
      <w:r>
        <w:rPr>
          <w:rFonts w:ascii="Times New Roman" w:hAnsi="Times New Roman"/>
          <w:sz w:val="20"/>
        </w:rPr>
        <w:t>”) and 6.000% Senior Secured Notes due 2036 (together with the 2031 Senior Notes, the “</w:t>
      </w:r>
      <w:r>
        <w:rPr>
          <w:rFonts w:ascii="Times New Roman" w:hAnsi="Times New Roman"/>
          <w:sz w:val="20"/>
          <w:u w:val="single"/>
        </w:rPr>
        <w:t>New Senior Notes</w:t>
      </w:r>
      <w:r>
        <w:rPr>
          <w:rFonts w:ascii="Times New Roman" w:hAnsi="Times New Roman"/>
          <w:sz w:val="20"/>
        </w:rPr>
        <w:t>” with such holders constituting “</w:t>
      </w:r>
      <w:r>
        <w:rPr>
          <w:rFonts w:ascii="Times New Roman" w:hAnsi="Times New Roman"/>
          <w:sz w:val="20"/>
          <w:u w:val="single"/>
        </w:rPr>
        <w:t>Additional Lien Secured Parties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Additional Authorized Representative wishes, in accordance with the provisions of the Collateral Agreement, to become a party to the Collateral Agreement and to acquire and undertake, for itself and on behalf of such Additional Lien Secured Parties, the rights and obligations of an “Additional Authorized Representative” and “Secured Parties” thereunder.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Additional Authorized Representative (for itself and on behalf of its Additional Lien Secured Parties), the Borrower and the other Grantors agree as follows, for the benefit of the Collateral Agent, the existing Authorized Representatives and the existing Secured Parties: </w:t>
      </w:r>
    </w:p>
    <w:p>
      <w:pPr>
        <w:pStyle w:val="TextBody"/>
        <w:bidi w:val="0"/>
        <w:spacing w:before="12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Accession to the Collateral Agreement</w:t>
      </w:r>
      <w:r>
        <w:rPr>
          <w:rFonts w:ascii="Times New Roman" w:hAnsi="Times New Roman"/>
          <w:sz w:val="20"/>
        </w:rPr>
        <w:t xml:space="preserve">. The Additional Authorized Representative hereby (a) accedes and becomes a party to the Collateral Agreement as an “Additional Authorized Representative,” (b) agrees, for itself and on behalf of its Additional Lien Secured Parties, to all the terms and provisions of the Collateral Agreement and (c) acknowledges and agrees that (i) the Additional Lien Obligations with respect to the Borrower’s New Senior Notes, and Liens on any Common Collateral securing the same shall be subject to the provisions of the Collateral Agreement and (ii) the Additional Authorized Representative and such Additional Lien Secured Parties shall have the rights and obligations specified under the Collateral Agreement with respect to an “Authorized Representative” or a “Secured Party,” and shall be subject to and bound by the provisions of the Collateral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Representations and Warranties of the Additional Authorized Representative</w:t>
      </w:r>
      <w:r>
        <w:rPr>
          <w:rFonts w:ascii="Times New Roman" w:hAnsi="Times New Roman"/>
          <w:sz w:val="20"/>
        </w:rPr>
        <w:t xml:space="preserve">. The Additional Authorized Representative represents and warrants to the Collateral Agent, the existing Authorized Representatives and the existing Secured Parties that (a) it has full power and authority to enter into this Joinder Agreement, in its capacity as the Additional Authorized Representative, (b) this Joinder Agreement has been duly authorized, executed and delivered by it and constitutes its legal, valid and binding obligation, enforceable against it in accordance with its terms, and (c) the Additional Lien Documents relating to the Additional Lien Obligations with respect to the Borrower’s New Senior Notes provide that, upon the Additional Authorized Representative’s execution and delivery of this Joinder Agreement, (i) such Additional Lien Obligations and liens on any Common Collateral securing the same shall be subject to the provisions of the Collateral Agreement and (ii) the Additional Authorized Representative and its Additional Lien Secured Parties shall have the rights and obligations specified therefor under, and shall be subject to and bound by the provisions of, the Collateral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Parties in Interest</w:t>
      </w:r>
      <w:r>
        <w:rPr>
          <w:rFonts w:ascii="Times New Roman" w:hAnsi="Times New Roman"/>
          <w:sz w:val="20"/>
        </w:rPr>
        <w:t xml:space="preserve">. This Joinder Agreement shall be binding upon and inure to the benefit of the parties hereto and their respective successors and assigns, as well as the other Secured Parties, all of whom are intended to be bound by, and to be third-party beneficiaries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Counterparts</w:t>
      </w:r>
      <w:r>
        <w:rPr>
          <w:rFonts w:ascii="Times New Roman" w:hAnsi="Times New Roman"/>
          <w:sz w:val="20"/>
        </w:rPr>
        <w:t xml:space="preserve">. This Joinder Agreement may be executed in counterparts, each of which shall constitute an original but all of which when taken together shall constitute a single contract. Delivery of an executed signature page to this Joinder Agreement by facsimile or other electronic transmission shall be as effective as delivery of a manually signed counterpart of this Joinder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Governing Law</w:t>
      </w:r>
      <w:r>
        <w:rPr>
          <w:rFonts w:ascii="Times New Roman" w:hAnsi="Times New Roman"/>
          <w:sz w:val="20"/>
        </w:rPr>
        <w:t xml:space="preserve">. This Joinder Agreement shall be construed in accordance with and governed by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Notices</w:t>
      </w:r>
      <w:r>
        <w:rPr>
          <w:rFonts w:ascii="Times New Roman" w:hAnsi="Times New Roman"/>
          <w:sz w:val="20"/>
        </w:rPr>
        <w:t xml:space="preserve">. All communications and notices hereunder shall be in writing and given as provided in Section 8.2 of the Collateral Agreement. All communications and notices hereunder to the Additional Authorized Representative shall be given to it at the address set forth under its signature hereto, which information supplements Section 8.2 to the Collateral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Expenses</w:t>
      </w:r>
      <w:r>
        <w:rPr>
          <w:rFonts w:ascii="Times New Roman" w:hAnsi="Times New Roman"/>
          <w:sz w:val="20"/>
        </w:rPr>
        <w:t xml:space="preserve">. The Borrower and the other Grantors, jointly and severally, agree to reimburse the Collateral Agent and each of the Authorized Representatives for its reasonable out-of-pocket expenses in connection with this Joinder Agreement, including the reasonable fees, other charges and disbursements of counsel for the Collateral Agent and any of the Authorized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2026 Trustee</w:t>
      </w:r>
      <w:r>
        <w:rPr>
          <w:rFonts w:ascii="Times New Roman" w:hAnsi="Times New Roman"/>
          <w:sz w:val="20"/>
        </w:rPr>
        <w:t xml:space="preserve">. In acting under the Collateral Agreement, the 2026 Trustee shall be afforded all of the rights, duties, protections, indemnities, immunities and privileges afforded to the 2026 Trustee under the Indenture.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intentionally blank]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Additional Authorized Representative, the Collateral Agent, the Administrative Agent, the Borrower and the other Grantors have duly executed this Joinder Agreement to the Collateral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92"/>
        <w:gridCol w:w="60"/>
        <w:gridCol w:w="3130"/>
      </w:tblGrid>
      <w:tr>
        <w:trPr/>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Additional Authorized Representative</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U.S. BANK TRUST COMPANY, NATIONAL ASSOCIATION, AS 2026 TRUSTEE AND AUTHORIZED REPRESENTATIVE FOR THE HOLDERS OF THE NEW SENIOR NOTES</w:t>
            </w:r>
          </w:p>
        </w:tc>
      </w:tr>
      <w:tr>
        <w:trPr>
          <w:trHeight w:val="240" w:hRule="atLeast"/>
        </w:trPr>
        <w:tc>
          <w:tcPr>
            <w:tcW w:w="892" w:type="dxa"/>
            <w:tcBorders/>
            <w:vAlign w:val="center"/>
          </w:tcPr>
          <w:p>
            <w:pPr>
              <w:pStyle w:val="TableContents"/>
              <w:bidi w:val="0"/>
              <w:spacing w:before="0" w:after="283"/>
              <w:jc w:val="left"/>
              <w:rPr>
                <w:sz w:val="4"/>
                <w:szCs w:val="4"/>
              </w:rPr>
            </w:pPr>
            <w:r>
              <w:rPr>
                <w:sz w:val="4"/>
                <w:szCs w:val="4"/>
              </w:rPr>
            </w:r>
          </w:p>
        </w:tc>
        <w:tc>
          <w:tcPr>
            <w:tcW w:w="3190" w:type="dxa"/>
            <w:gridSpan w:val="2"/>
            <w:tcBorders/>
            <w:vAlign w:val="center"/>
          </w:tcPr>
          <w:p>
            <w:pPr>
              <w:pStyle w:val="TableContents"/>
              <w:bidi w:val="0"/>
              <w:spacing w:before="0" w:after="283"/>
              <w:jc w:val="left"/>
              <w:rPr>
                <w:sz w:val="4"/>
                <w:szCs w:val="4"/>
              </w:rPr>
            </w:pPr>
            <w:r>
              <w:rPr>
                <w:sz w:val="4"/>
                <w:szCs w:val="4"/>
              </w:rPr>
            </w:r>
          </w:p>
        </w:tc>
      </w:tr>
      <w:tr>
        <w:trPr/>
        <w:tc>
          <w:tcPr>
            <w:tcW w:w="892" w:type="dxa"/>
            <w:tcBorders/>
            <w:vAlign w:val="bottom"/>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13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Gregory P. Guim</w:t>
            </w:r>
          </w:p>
        </w:tc>
      </w:tr>
      <w:tr>
        <w:trPr/>
        <w:tc>
          <w:tcPr>
            <w:tcW w:w="8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0" w:type="dxa"/>
            <w:tcBorders/>
            <w:vAlign w:val="bottom"/>
          </w:tcPr>
          <w:p>
            <w:pPr>
              <w:pStyle w:val="TableContents"/>
              <w:bidi w:val="0"/>
              <w:spacing w:before="0" w:after="283"/>
              <w:jc w:val="left"/>
              <w:rPr/>
            </w:pPr>
            <w:r>
              <w:rPr/>
              <w:t>Name:Gregory P. Guim</w:t>
            </w:r>
          </w:p>
        </w:tc>
      </w:tr>
      <w:tr>
        <w:trPr/>
        <w:tc>
          <w:tcPr>
            <w:tcW w:w="89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0" w:type="dxa"/>
            <w:tcBorders/>
            <w:vAlign w:val="bottom"/>
          </w:tcPr>
          <w:p>
            <w:pPr>
              <w:pStyle w:val="TableContents"/>
              <w:bidi w:val="0"/>
              <w:spacing w:before="0" w:after="283"/>
              <w:jc w:val="left"/>
              <w:rPr/>
            </w:pPr>
            <w:r>
              <w:rPr/>
              <w:t>Title:Vice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u w:val="single"/>
              </w:rPr>
              <w:t>Address for notices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U.S. Bank Trust Company, National Association</w:t>
            </w:r>
          </w:p>
          <w:p>
            <w:pPr>
              <w:pStyle w:val="TableContents"/>
              <w:bidi w:val="0"/>
              <w:spacing w:before="0" w:after="0"/>
              <w:jc w:val="left"/>
              <w:rPr>
                <w:rFonts w:ascii="Times New Roman" w:hAnsi="Times New Roman"/>
                <w:sz w:val="20"/>
              </w:rPr>
            </w:pPr>
            <w:r>
              <w:rPr>
                <w:rFonts w:ascii="Times New Roman" w:hAnsi="Times New Roman"/>
                <w:sz w:val="20"/>
              </w:rPr>
              <w:t>1735 Market Street, 43rd Floor</w:t>
            </w:r>
          </w:p>
          <w:p>
            <w:pPr>
              <w:pStyle w:val="TableContents"/>
              <w:bidi w:val="0"/>
              <w:spacing w:before="0" w:after="0"/>
              <w:jc w:val="left"/>
              <w:rPr>
                <w:rFonts w:ascii="Times New Roman" w:hAnsi="Times New Roman"/>
                <w:sz w:val="20"/>
              </w:rPr>
            </w:pPr>
            <w:r>
              <w:rPr>
                <w:rFonts w:ascii="Times New Roman" w:hAnsi="Times New Roman"/>
                <w:sz w:val="20"/>
              </w:rPr>
              <w:t>Philadelphia, PA 19103</w:t>
            </w:r>
          </w:p>
          <w:p>
            <w:pPr>
              <w:pStyle w:val="TableContents"/>
              <w:bidi w:val="0"/>
              <w:spacing w:before="0" w:after="0"/>
              <w:jc w:val="left"/>
              <w:rPr>
                <w:rFonts w:ascii="Times New Roman" w:hAnsi="Times New Roman"/>
                <w:sz w:val="20"/>
              </w:rPr>
            </w:pPr>
            <w:r>
              <w:rPr>
                <w:rFonts w:ascii="Times New Roman" w:hAnsi="Times New Roman"/>
                <w:sz w:val="20"/>
              </w:rPr>
              <w:t>Attention of: Gregory P. Guim</w:t>
            </w:r>
          </w:p>
          <w:p>
            <w:pPr>
              <w:pStyle w:val="TableContents"/>
              <w:bidi w:val="0"/>
              <w:spacing w:before="0" w:after="0"/>
              <w:jc w:val="left"/>
              <w:rPr>
                <w:rFonts w:ascii="Times New Roman" w:hAnsi="Times New Roman"/>
                <w:sz w:val="20"/>
              </w:rPr>
            </w:pPr>
            <w:r>
              <w:rPr>
                <w:rFonts w:ascii="Times New Roman" w:hAnsi="Times New Roman"/>
                <w:sz w:val="20"/>
              </w:rPr>
              <w:t>E-mail: gregory.guim@usbank.com</w:t>
            </w:r>
          </w:p>
          <w:p>
            <w:pPr>
              <w:pStyle w:val="TableContents"/>
              <w:bidi w:val="0"/>
              <w:spacing w:before="0" w:after="20"/>
              <w:jc w:val="left"/>
              <w:rPr>
                <w:rFonts w:ascii="Times New Roman" w:hAnsi="Times New Roman"/>
                <w:sz w:val="20"/>
              </w:rPr>
            </w:pPr>
            <w:r>
              <w:rPr>
                <w:rFonts w:ascii="Times New Roman" w:hAnsi="Times New Roman"/>
                <w:sz w:val="20"/>
              </w:rPr>
              <w:t>Telephone: (215) 761-9315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7"/>
        <w:gridCol w:w="60"/>
        <w:gridCol w:w="3375"/>
      </w:tblGrid>
      <w:tr>
        <w:trPr/>
        <w:tc>
          <w:tcPr>
            <w:tcW w:w="6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Acknowledged and Agreed: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 AS</w:t>
            </w:r>
          </w:p>
        </w:tc>
      </w:tr>
      <w:tr>
        <w:trPr/>
        <w:tc>
          <w:tcPr>
            <w:tcW w:w="4082" w:type="dxa"/>
            <w:gridSpan w:val="3"/>
            <w:tcBorders/>
          </w:tcPr>
          <w:p>
            <w:pPr>
              <w:pStyle w:val="TableContents"/>
              <w:bidi w:val="0"/>
              <w:spacing w:before="0" w:after="283"/>
              <w:jc w:val="left"/>
              <w:rPr/>
            </w:pPr>
            <w:r>
              <w:rPr/>
              <w:t>COLLATERAL AGENT</w:t>
            </w:r>
          </w:p>
        </w:tc>
      </w:tr>
      <w:tr>
        <w:trPr>
          <w:trHeight w:val="240" w:hRule="atLeast"/>
        </w:trPr>
        <w:tc>
          <w:tcPr>
            <w:tcW w:w="647" w:type="dxa"/>
            <w:tcBorders/>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sz w:val="4"/>
                <w:szCs w:val="4"/>
              </w:rPr>
            </w:pPr>
            <w:r>
              <w:rPr>
                <w:sz w:val="4"/>
                <w:szCs w:val="4"/>
              </w:rPr>
            </w:r>
          </w:p>
        </w:tc>
      </w:tr>
      <w:tr>
        <w:trPr/>
        <w:tc>
          <w:tcPr>
            <w:tcW w:w="64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5" w:type="dxa"/>
            <w:tcBorders>
              <w:bottom w:val="single" w:sz="2" w:space="0" w:color="000000"/>
            </w:tcBorders>
            <w:tcMar>
              <w:bottom w:w="28" w:type="dxa"/>
            </w:tcMar>
          </w:tcPr>
          <w:p>
            <w:pPr>
              <w:pStyle w:val="TableContents"/>
              <w:bidi w:val="0"/>
              <w:spacing w:before="0" w:after="283"/>
              <w:jc w:val="left"/>
              <w:rPr/>
            </w:pPr>
            <w:r>
              <w:rPr/>
              <w:t>/s/ Sebastian Leszczuk</w:t>
            </w:r>
          </w:p>
        </w:tc>
      </w:tr>
      <w:tr>
        <w:trPr/>
        <w:tc>
          <w:tcPr>
            <w:tcW w:w="647"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375" w:type="dxa"/>
            <w:tcBorders/>
            <w:vAlign w:val="bottom"/>
          </w:tcPr>
          <w:p>
            <w:pPr>
              <w:pStyle w:val="TableContents"/>
              <w:bidi w:val="0"/>
              <w:spacing w:before="0" w:after="283"/>
              <w:jc w:val="left"/>
              <w:rPr/>
            </w:pPr>
            <w:r>
              <w:rPr/>
              <w:t>Sebastian Leszczuk</w:t>
            </w:r>
          </w:p>
        </w:tc>
      </w:tr>
      <w:tr>
        <w:trPr/>
        <w:tc>
          <w:tcPr>
            <w:tcW w:w="64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JPMORGAN CHASE BANK, N.A., AS</w:t>
            </w:r>
          </w:p>
        </w:tc>
      </w:tr>
      <w:tr>
        <w:trPr/>
        <w:tc>
          <w:tcPr>
            <w:tcW w:w="4082" w:type="dxa"/>
            <w:gridSpan w:val="3"/>
            <w:tcBorders/>
          </w:tcPr>
          <w:p>
            <w:pPr>
              <w:pStyle w:val="TableContents"/>
              <w:bidi w:val="0"/>
              <w:spacing w:before="0" w:after="283"/>
              <w:jc w:val="left"/>
              <w:rPr/>
            </w:pPr>
            <w:r>
              <w:rPr/>
              <w:t>ADMINISTRATIVE AGENT</w:t>
            </w:r>
          </w:p>
        </w:tc>
      </w:tr>
      <w:tr>
        <w:trPr>
          <w:trHeight w:val="240" w:hRule="atLeast"/>
        </w:trPr>
        <w:tc>
          <w:tcPr>
            <w:tcW w:w="647" w:type="dxa"/>
            <w:tcBorders/>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sz w:val="4"/>
                <w:szCs w:val="4"/>
              </w:rPr>
            </w:pPr>
            <w:r>
              <w:rPr>
                <w:sz w:val="4"/>
                <w:szCs w:val="4"/>
              </w:rPr>
            </w:r>
          </w:p>
        </w:tc>
      </w:tr>
      <w:tr>
        <w:trPr/>
        <w:tc>
          <w:tcPr>
            <w:tcW w:w="64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5" w:type="dxa"/>
            <w:tcBorders>
              <w:bottom w:val="single" w:sz="2" w:space="0" w:color="000000"/>
            </w:tcBorders>
            <w:tcMar>
              <w:bottom w:w="28" w:type="dxa"/>
            </w:tcMar>
          </w:tcPr>
          <w:p>
            <w:pPr>
              <w:pStyle w:val="TableContents"/>
              <w:bidi w:val="0"/>
              <w:spacing w:before="0" w:after="283"/>
              <w:jc w:val="left"/>
              <w:rPr/>
            </w:pPr>
            <w:r>
              <w:rPr/>
              <w:t>/s/ Sebastian Leszczuk</w:t>
            </w:r>
          </w:p>
        </w:tc>
      </w:tr>
      <w:tr>
        <w:trPr/>
        <w:tc>
          <w:tcPr>
            <w:tcW w:w="64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283"/>
              <w:jc w:val="left"/>
              <w:rPr/>
            </w:pPr>
            <w:r>
              <w:rPr/>
              <w:t>Sebastian Leszczuk</w:t>
            </w:r>
          </w:p>
        </w:tc>
      </w:tr>
      <w:tr>
        <w:trPr/>
        <w:tc>
          <w:tcPr>
            <w:tcW w:w="64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5"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47"/>
        <w:gridCol w:w="60"/>
        <w:gridCol w:w="3375"/>
      </w:tblGrid>
      <w:tr>
        <w:trPr/>
        <w:tc>
          <w:tcPr>
            <w:tcW w:w="64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Grantors: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UNIVERSAL HEALTH SERVICES, INC.</w:t>
            </w:r>
          </w:p>
        </w:tc>
      </w:tr>
      <w:tr>
        <w:trPr>
          <w:trHeight w:val="240" w:hRule="atLeast"/>
        </w:trPr>
        <w:tc>
          <w:tcPr>
            <w:tcW w:w="647" w:type="dxa"/>
            <w:tcBorders/>
            <w:vAlign w:val="center"/>
          </w:tcPr>
          <w:p>
            <w:pPr>
              <w:pStyle w:val="TableContents"/>
              <w:bidi w:val="0"/>
              <w:spacing w:before="0" w:after="283"/>
              <w:jc w:val="left"/>
              <w:rPr>
                <w:sz w:val="4"/>
                <w:szCs w:val="4"/>
              </w:rPr>
            </w:pPr>
            <w:r>
              <w:rPr>
                <w:sz w:val="4"/>
                <w:szCs w:val="4"/>
              </w:rPr>
            </w:r>
          </w:p>
        </w:tc>
        <w:tc>
          <w:tcPr>
            <w:tcW w:w="3435" w:type="dxa"/>
            <w:gridSpan w:val="2"/>
            <w:tcBorders/>
            <w:vAlign w:val="center"/>
          </w:tcPr>
          <w:p>
            <w:pPr>
              <w:pStyle w:val="TableContents"/>
              <w:bidi w:val="0"/>
              <w:spacing w:before="0" w:after="283"/>
              <w:jc w:val="left"/>
              <w:rPr>
                <w:sz w:val="4"/>
                <w:szCs w:val="4"/>
              </w:rPr>
            </w:pPr>
            <w:r>
              <w:rPr>
                <w:sz w:val="4"/>
                <w:szCs w:val="4"/>
              </w:rPr>
            </w:r>
          </w:p>
        </w:tc>
      </w:tr>
      <w:tr>
        <w:trPr/>
        <w:tc>
          <w:tcPr>
            <w:tcW w:w="64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5"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4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5" w:type="dxa"/>
            <w:tcBorders/>
            <w:vAlign w:val="bottom"/>
          </w:tcPr>
          <w:p>
            <w:pPr>
              <w:pStyle w:val="TableContents"/>
              <w:bidi w:val="0"/>
              <w:spacing w:before="0" w:after="283"/>
              <w:jc w:val="left"/>
              <w:rPr/>
            </w:pPr>
            <w:r>
              <w:rPr/>
              <w:t>Steve Filton</w:t>
            </w:r>
          </w:p>
        </w:tc>
      </w:tr>
      <w:tr>
        <w:trPr/>
        <w:tc>
          <w:tcPr>
            <w:tcW w:w="64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5" w:type="dxa"/>
            <w:tcBorders/>
            <w:vAlign w:val="bottom"/>
          </w:tcPr>
          <w:p>
            <w:pPr>
              <w:pStyle w:val="TableContents"/>
              <w:bidi w:val="0"/>
              <w:spacing w:before="0" w:after="283"/>
              <w:jc w:val="left"/>
              <w:rPr/>
            </w:pPr>
            <w:r>
              <w:rPr/>
              <w:t>Executive Vice President, Chief Financial</w:t>
            </w:r>
          </w:p>
        </w:tc>
      </w:tr>
      <w:tr>
        <w:trPr/>
        <w:tc>
          <w:tcPr>
            <w:tcW w:w="64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75" w:type="dxa"/>
            <w:tcBorders/>
            <w:vAlign w:val="bottom"/>
          </w:tcPr>
          <w:p>
            <w:pPr>
              <w:pStyle w:val="TableContents"/>
              <w:bidi w:val="0"/>
              <w:spacing w:before="0" w:after="283"/>
              <w:jc w:val="left"/>
              <w:rPr/>
            </w:pPr>
            <w:r>
              <w:rPr/>
              <w:t>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4"/>
        <w:gridCol w:w="60"/>
        <w:gridCol w:w="3658"/>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DELAWARE, INC.</w:t>
            </w:r>
          </w:p>
        </w:tc>
      </w:tr>
      <w:tr>
        <w:trPr>
          <w:trHeight w:val="240" w:hRule="atLeast"/>
        </w:trPr>
        <w:tc>
          <w:tcPr>
            <w:tcW w:w="364" w:type="dxa"/>
            <w:tcBorders/>
            <w:vAlign w:val="center"/>
          </w:tcPr>
          <w:p>
            <w:pPr>
              <w:pStyle w:val="TableContents"/>
              <w:bidi w:val="0"/>
              <w:spacing w:before="0" w:after="283"/>
              <w:jc w:val="left"/>
              <w:rPr>
                <w:sz w:val="4"/>
                <w:szCs w:val="4"/>
              </w:rPr>
            </w:pPr>
            <w:r>
              <w:rPr>
                <w:sz w:val="4"/>
                <w:szCs w:val="4"/>
              </w:rPr>
            </w:r>
          </w:p>
        </w:tc>
        <w:tc>
          <w:tcPr>
            <w:tcW w:w="3718" w:type="dxa"/>
            <w:gridSpan w:val="2"/>
            <w:tcBorders/>
            <w:vAlign w:val="center"/>
          </w:tcPr>
          <w:p>
            <w:pPr>
              <w:pStyle w:val="TableContents"/>
              <w:bidi w:val="0"/>
              <w:spacing w:before="0" w:after="283"/>
              <w:jc w:val="left"/>
              <w:rPr>
                <w:sz w:val="4"/>
                <w:szCs w:val="4"/>
              </w:rPr>
            </w:pPr>
            <w:r>
              <w:rPr>
                <w:sz w:val="4"/>
                <w:szCs w:val="4"/>
              </w:rPr>
            </w:r>
          </w:p>
        </w:tc>
      </w:tr>
      <w:tr>
        <w:trPr/>
        <w:tc>
          <w:tcPr>
            <w:tcW w:w="36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8"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3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vAlign w:val="bottom"/>
          </w:tcPr>
          <w:p>
            <w:pPr>
              <w:pStyle w:val="TableContents"/>
              <w:bidi w:val="0"/>
              <w:spacing w:before="0" w:after="283"/>
              <w:jc w:val="left"/>
              <w:rPr/>
            </w:pPr>
            <w:r>
              <w:rPr/>
              <w:t>Name: Steve Filton</w:t>
            </w:r>
          </w:p>
        </w:tc>
      </w:tr>
      <w:tr>
        <w:trPr/>
        <w:tc>
          <w:tcPr>
            <w:tcW w:w="3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vAlign w:val="bottom"/>
          </w:tcPr>
          <w:p>
            <w:pPr>
              <w:pStyle w:val="TableContents"/>
              <w:bidi w:val="0"/>
              <w:spacing w:before="0" w:after="283"/>
              <w:jc w:val="left"/>
              <w:rPr/>
            </w:pPr>
            <w:r>
              <w:rPr/>
              <w:t>Title: Executive Vice President and Chief</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8" w:type="dxa"/>
            <w:tcBorders/>
            <w:vAlign w:val="bottom"/>
          </w:tcPr>
          <w:p>
            <w:pPr>
              <w:pStyle w:val="TableContents"/>
              <w:bidi w:val="0"/>
              <w:spacing w:before="0" w:after="283"/>
              <w:jc w:val="left"/>
              <w:rPr/>
            </w:pPr>
            <w:r>
              <w:rPr/>
              <w:t>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535"/>
        <w:gridCol w:w="107"/>
        <w:gridCol w:w="383"/>
        <w:gridCol w:w="107"/>
        <w:gridCol w:w="600"/>
        <w:gridCol w:w="107"/>
        <w:gridCol w:w="4366"/>
      </w:tblGrid>
      <w:tr>
        <w:trPr/>
        <w:tc>
          <w:tcPr>
            <w:tcW w:w="453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366" w:type="dxa"/>
            <w:tcBorders/>
            <w:vAlign w:val="center"/>
          </w:tcPr>
          <w:p>
            <w:pPr>
              <w:pStyle w:val="TableContents"/>
              <w:bidi w:val="0"/>
              <w:spacing w:before="0" w:after="283"/>
              <w:jc w:val="left"/>
              <w:rPr>
                <w:sz w:val="4"/>
                <w:szCs w:val="4"/>
              </w:rPr>
            </w:pPr>
            <w:r>
              <w:rPr>
                <w:sz w:val="4"/>
                <w:szCs w:val="4"/>
              </w:rPr>
            </w:r>
          </w:p>
        </w:tc>
      </w:tr>
      <w:tr>
        <w:trPr/>
        <w:tc>
          <w:tcPr>
            <w:tcW w:w="4535" w:type="dxa"/>
            <w:tcBorders/>
          </w:tcPr>
          <w:p>
            <w:pPr>
              <w:pStyle w:val="TableContents"/>
              <w:bidi w:val="0"/>
              <w:spacing w:before="0" w:after="0"/>
              <w:jc w:val="left"/>
              <w:rPr>
                <w:rFonts w:ascii="Times New Roman" w:hAnsi="Times New Roman"/>
                <w:sz w:val="20"/>
              </w:rPr>
            </w:pPr>
            <w:r>
              <w:rPr>
                <w:rFonts w:ascii="Times New Roman" w:hAnsi="Times New Roman"/>
                <w:sz w:val="20"/>
              </w:rPr>
              <w:t>LANCASTER HOSPITAL CORPORATION</w:t>
            </w:r>
          </w:p>
          <w:p>
            <w:pPr>
              <w:pStyle w:val="TableContents"/>
              <w:bidi w:val="0"/>
              <w:spacing w:before="0" w:after="0"/>
              <w:jc w:val="left"/>
              <w:rPr>
                <w:rFonts w:ascii="Times New Roman" w:hAnsi="Times New Roman"/>
                <w:sz w:val="20"/>
              </w:rPr>
            </w:pPr>
            <w:r>
              <w:rPr>
                <w:rFonts w:ascii="Times New Roman" w:hAnsi="Times New Roman"/>
                <w:sz w:val="20"/>
              </w:rPr>
              <w:t>MERION BUILDING MANAGEMENT, INC.</w:t>
            </w:r>
          </w:p>
          <w:p>
            <w:pPr>
              <w:pStyle w:val="TableContents"/>
              <w:bidi w:val="0"/>
              <w:spacing w:before="0" w:after="0"/>
              <w:jc w:val="left"/>
              <w:rPr>
                <w:rFonts w:ascii="Times New Roman" w:hAnsi="Times New Roman"/>
                <w:sz w:val="20"/>
              </w:rPr>
            </w:pPr>
            <w:r>
              <w:rPr>
                <w:rFonts w:ascii="Times New Roman" w:hAnsi="Times New Roman"/>
                <w:sz w:val="20"/>
              </w:rPr>
              <w:t>NORTHWEST TEXAS HEALTHCARE SYSTEM, INC.</w:t>
            </w:r>
          </w:p>
          <w:p>
            <w:pPr>
              <w:pStyle w:val="TableContents"/>
              <w:bidi w:val="0"/>
              <w:spacing w:before="0" w:after="0"/>
              <w:jc w:val="left"/>
              <w:rPr>
                <w:rFonts w:ascii="Times New Roman" w:hAnsi="Times New Roman"/>
                <w:sz w:val="20"/>
              </w:rPr>
            </w:pPr>
            <w:r>
              <w:rPr>
                <w:rFonts w:ascii="Times New Roman" w:hAnsi="Times New Roman"/>
                <w:sz w:val="20"/>
              </w:rPr>
              <w:t>UHS HOLDING COMPANY, INC.</w:t>
            </w:r>
          </w:p>
          <w:p>
            <w:pPr>
              <w:pStyle w:val="TableContents"/>
              <w:bidi w:val="0"/>
              <w:spacing w:before="0" w:after="0"/>
              <w:jc w:val="left"/>
              <w:rPr>
                <w:rFonts w:ascii="Times New Roman" w:hAnsi="Times New Roman"/>
                <w:sz w:val="20"/>
              </w:rPr>
            </w:pPr>
            <w:r>
              <w:rPr>
                <w:rFonts w:ascii="Times New Roman" w:hAnsi="Times New Roman"/>
                <w:sz w:val="20"/>
              </w:rPr>
              <w:t>UHS OF CORNERSTONE, INC.</w:t>
            </w:r>
          </w:p>
          <w:p>
            <w:pPr>
              <w:pStyle w:val="TableContents"/>
              <w:bidi w:val="0"/>
              <w:spacing w:before="0" w:after="20"/>
              <w:jc w:val="left"/>
              <w:rPr>
                <w:rFonts w:ascii="Times New Roman" w:hAnsi="Times New Roman"/>
                <w:sz w:val="20"/>
              </w:rPr>
            </w:pPr>
            <w:r>
              <w:rPr>
                <w:rFonts w:ascii="Times New Roman" w:hAnsi="Times New Roman"/>
                <w:sz w:val="20"/>
              </w:rPr>
              <w:t>UHS OF CORNERSTONE HOLDINGS, INC.</w:t>
            </w:r>
          </w:p>
        </w:tc>
        <w:tc>
          <w:tcPr>
            <w:tcW w:w="107"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073"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MCALLEN MEDICAL CENTER, INC.</w:t>
            </w:r>
          </w:p>
          <w:p>
            <w:pPr>
              <w:pStyle w:val="TableContents"/>
              <w:bidi w:val="0"/>
              <w:spacing w:before="0" w:after="0"/>
              <w:jc w:val="left"/>
              <w:rPr>
                <w:rFonts w:ascii="Times New Roman" w:hAnsi="Times New Roman"/>
                <w:sz w:val="20"/>
              </w:rPr>
            </w:pPr>
            <w:r>
              <w:rPr>
                <w:rFonts w:ascii="Times New Roman" w:hAnsi="Times New Roman"/>
                <w:sz w:val="20"/>
              </w:rPr>
              <w:t>SPARKS FAMILY HOSPITAL, INC.</w:t>
            </w:r>
          </w:p>
          <w:p>
            <w:pPr>
              <w:pStyle w:val="TableContents"/>
              <w:bidi w:val="0"/>
              <w:spacing w:before="0" w:after="0"/>
              <w:jc w:val="left"/>
              <w:rPr>
                <w:rFonts w:ascii="Times New Roman" w:hAnsi="Times New Roman"/>
                <w:sz w:val="20"/>
              </w:rPr>
            </w:pPr>
            <w:r>
              <w:rPr>
                <w:rFonts w:ascii="Times New Roman" w:hAnsi="Times New Roman"/>
                <w:sz w:val="20"/>
              </w:rPr>
              <w:t>UHS OF RIVER PARISHES, INC.</w:t>
            </w:r>
          </w:p>
          <w:p>
            <w:pPr>
              <w:pStyle w:val="TableContents"/>
              <w:bidi w:val="0"/>
              <w:spacing w:before="0" w:after="0"/>
              <w:jc w:val="left"/>
              <w:rPr>
                <w:rFonts w:ascii="Times New Roman" w:hAnsi="Times New Roman"/>
                <w:sz w:val="20"/>
              </w:rPr>
            </w:pPr>
            <w:r>
              <w:rPr>
                <w:rFonts w:ascii="Times New Roman" w:hAnsi="Times New Roman"/>
                <w:sz w:val="20"/>
              </w:rPr>
              <w:t>UHS OF TEXOMA, INC.</w:t>
            </w:r>
          </w:p>
          <w:p>
            <w:pPr>
              <w:pStyle w:val="TableContents"/>
              <w:bidi w:val="0"/>
              <w:spacing w:before="0" w:after="20"/>
              <w:jc w:val="left"/>
              <w:rPr>
                <w:rFonts w:ascii="Times New Roman" w:hAnsi="Times New Roman"/>
                <w:sz w:val="20"/>
              </w:rPr>
            </w:pPr>
            <w:r>
              <w:rPr>
                <w:rFonts w:ascii="Times New Roman" w:hAnsi="Times New Roman"/>
                <w:sz w:val="20"/>
              </w:rPr>
              <w:t>UNIVERSAL HEALTH SERVICES OF RANCHO SPRINGS, INC.</w:t>
            </w:r>
          </w:p>
        </w:tc>
      </w:tr>
      <w:tr>
        <w:trPr/>
        <w:tc>
          <w:tcPr>
            <w:tcW w:w="4535" w:type="dxa"/>
            <w:tcBorders/>
          </w:tcPr>
          <w:p>
            <w:pPr>
              <w:pStyle w:val="TableContents"/>
              <w:bidi w:val="0"/>
              <w:spacing w:before="0" w:after="283"/>
              <w:jc w:val="left"/>
              <w:rPr/>
            </w:pPr>
            <w:r>
              <w:rPr/>
              <w:t>UHS OF D.C., INC.</w:t>
            </w:r>
          </w:p>
        </w:tc>
        <w:tc>
          <w:tcPr>
            <w:tcW w:w="107"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0" w:type="dxa"/>
            <w:tcBorders/>
          </w:tcPr>
          <w:p>
            <w:pPr>
              <w:pStyle w:val="TableContents"/>
              <w:bidi w:val="0"/>
              <w:spacing w:before="0" w:after="283"/>
              <w:jc w:val="left"/>
              <w:rPr/>
            </w:pPr>
            <w:r>
              <w:rPr/>
              <w:t>By:</w:t>
            </w:r>
          </w:p>
        </w:tc>
        <w:tc>
          <w:tcPr>
            <w:tcW w:w="107" w:type="dxa"/>
            <w:tcBorders>
              <w:bottom w:val="single" w:sz="2" w:space="0" w:color="000000"/>
            </w:tcBorders>
            <w:tcMar>
              <w:bottom w:w="28" w:type="dxa"/>
            </w:tcMar>
            <w:vAlign w:val="bottom"/>
          </w:tcPr>
          <w:p>
            <w:pPr>
              <w:pStyle w:val="TableContents"/>
              <w:bidi w:val="0"/>
              <w:spacing w:before="0" w:after="283"/>
              <w:jc w:val="left"/>
              <w:rPr/>
            </w:pPr>
            <w:r>
              <w:rPr/>
              <w:t> </w:t>
            </w:r>
          </w:p>
        </w:tc>
        <w:tc>
          <w:tcPr>
            <w:tcW w:w="4366"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4535" w:type="dxa"/>
            <w:tcBorders/>
          </w:tcPr>
          <w:p>
            <w:pPr>
              <w:pStyle w:val="TableContents"/>
              <w:bidi w:val="0"/>
              <w:spacing w:before="0" w:after="283"/>
              <w:jc w:val="left"/>
              <w:rPr/>
            </w:pPr>
            <w:r>
              <w:rPr/>
              <w:t>UHS-CORONA, INC.</w:t>
            </w:r>
          </w:p>
        </w:tc>
        <w:tc>
          <w:tcPr>
            <w:tcW w:w="107" w:type="dxa"/>
            <w:tcBorders/>
            <w:vAlign w:val="bottom"/>
          </w:tcPr>
          <w:p>
            <w:pPr>
              <w:pStyle w:val="TableContents"/>
              <w:bidi w:val="0"/>
              <w:spacing w:before="0" w:after="283"/>
              <w:jc w:val="left"/>
              <w:rPr/>
            </w:pPr>
            <w:r>
              <w:rPr/>
              <w:t> </w:t>
            </w:r>
          </w:p>
        </w:tc>
        <w:tc>
          <w:tcPr>
            <w:tcW w:w="38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0" w:type="dxa"/>
            <w:tcBorders/>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left"/>
              <w:rPr/>
            </w:pPr>
            <w:r>
              <w:rPr/>
              <w:t xml:space="preserve">Steve Filton </w:t>
            </w:r>
          </w:p>
        </w:tc>
      </w:tr>
      <w:tr>
        <w:trPr/>
        <w:tc>
          <w:tcPr>
            <w:tcW w:w="4535"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OF PALMDALE, INC.</w:t>
            </w:r>
          </w:p>
          <w:p>
            <w:pPr>
              <w:pStyle w:val="TableContents"/>
              <w:bidi w:val="0"/>
              <w:spacing w:before="0" w:after="20"/>
              <w:jc w:val="left"/>
              <w:rPr>
                <w:rFonts w:ascii="Times New Roman" w:hAnsi="Times New Roman"/>
                <w:sz w:val="20"/>
              </w:rPr>
            </w:pPr>
            <w:r>
              <w:rPr>
                <w:rFonts w:ascii="Times New Roman" w:hAnsi="Times New Roman"/>
                <w:sz w:val="20"/>
              </w:rPr>
              <w:t>VALLEY HOSPITAL MEDICAL CENTER, INC.</w:t>
            </w:r>
          </w:p>
        </w:tc>
        <w:tc>
          <w:tcPr>
            <w:tcW w:w="107"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600" w:type="dxa"/>
            <w:tcBorders/>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4366"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870"/>
        <w:gridCol w:w="125"/>
        <w:gridCol w:w="313"/>
        <w:gridCol w:w="60"/>
        <w:gridCol w:w="506"/>
        <w:gridCol w:w="511"/>
        <w:gridCol w:w="3820"/>
      </w:tblGrid>
      <w:tr>
        <w:trPr/>
        <w:tc>
          <w:tcPr>
            <w:tcW w:w="487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11" w:type="dxa"/>
            <w:tcBorders/>
            <w:vAlign w:val="bottom"/>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4870" w:type="dxa"/>
            <w:tcBorders/>
          </w:tcPr>
          <w:p>
            <w:pPr>
              <w:pStyle w:val="TableContents"/>
              <w:bidi w:val="0"/>
              <w:spacing w:before="0" w:after="0"/>
              <w:jc w:val="left"/>
              <w:rPr>
                <w:rFonts w:ascii="Times New Roman" w:hAnsi="Times New Roman"/>
                <w:sz w:val="20"/>
              </w:rPr>
            </w:pPr>
            <w:r>
              <w:rPr>
                <w:rFonts w:ascii="Times New Roman" w:hAnsi="Times New Roman"/>
                <w:sz w:val="20"/>
              </w:rPr>
              <w:t>ABS LINCS SC, INC.</w:t>
            </w:r>
          </w:p>
          <w:p>
            <w:pPr>
              <w:pStyle w:val="TableContents"/>
              <w:bidi w:val="0"/>
              <w:spacing w:before="0" w:after="0"/>
              <w:jc w:val="left"/>
              <w:rPr>
                <w:rFonts w:ascii="Times New Roman" w:hAnsi="Times New Roman"/>
                <w:sz w:val="20"/>
              </w:rPr>
            </w:pPr>
            <w:r>
              <w:rPr>
                <w:rFonts w:ascii="Times New Roman" w:hAnsi="Times New Roman"/>
                <w:sz w:val="20"/>
              </w:rPr>
              <w:t>ALLIANCE HEALTH CENTER, INC.</w:t>
            </w:r>
          </w:p>
          <w:p>
            <w:pPr>
              <w:pStyle w:val="TableContents"/>
              <w:bidi w:val="0"/>
              <w:spacing w:before="0" w:after="0"/>
              <w:jc w:val="left"/>
              <w:rPr>
                <w:rFonts w:ascii="Times New Roman" w:hAnsi="Times New Roman"/>
                <w:sz w:val="20"/>
              </w:rPr>
            </w:pPr>
            <w:r>
              <w:rPr>
                <w:rFonts w:ascii="Times New Roman" w:hAnsi="Times New Roman"/>
                <w:sz w:val="20"/>
              </w:rPr>
              <w:t>ALTERNATIVE BEHAVIORAL SERVICES, INC.</w:t>
            </w:r>
          </w:p>
          <w:p>
            <w:pPr>
              <w:pStyle w:val="TableContents"/>
              <w:bidi w:val="0"/>
              <w:spacing w:before="0" w:after="0"/>
              <w:jc w:val="left"/>
              <w:rPr>
                <w:rFonts w:ascii="Times New Roman" w:hAnsi="Times New Roman"/>
                <w:sz w:val="20"/>
              </w:rPr>
            </w:pPr>
            <w:r>
              <w:rPr>
                <w:rFonts w:ascii="Times New Roman" w:hAnsi="Times New Roman"/>
                <w:sz w:val="20"/>
              </w:rPr>
              <w:t>ASCEND HEALTH CORPORATION BENCHMARK BEHAVIORAL HEALTH</w:t>
            </w:r>
          </w:p>
          <w:p>
            <w:pPr>
              <w:pStyle w:val="TableContents"/>
              <w:bidi w:val="0"/>
              <w:spacing w:before="0" w:after="0"/>
              <w:jc w:val="left"/>
              <w:rPr>
                <w:rFonts w:ascii="Times New Roman" w:hAnsi="Times New Roman"/>
                <w:sz w:val="20"/>
              </w:rPr>
            </w:pPr>
            <w:r>
              <w:rPr>
                <w:rFonts w:ascii="Times New Roman" w:hAnsi="Times New Roman"/>
                <w:sz w:val="20"/>
              </w:rPr>
              <w:t>SYSTEM, INC.</w:t>
            </w:r>
          </w:p>
          <w:p>
            <w:pPr>
              <w:pStyle w:val="TableContents"/>
              <w:bidi w:val="0"/>
              <w:spacing w:before="0" w:after="0"/>
              <w:jc w:val="left"/>
              <w:rPr>
                <w:rFonts w:ascii="Times New Roman" w:hAnsi="Times New Roman"/>
                <w:sz w:val="20"/>
              </w:rPr>
            </w:pPr>
            <w:r>
              <w:rPr>
                <w:rFonts w:ascii="Times New Roman" w:hAnsi="Times New Roman"/>
                <w:sz w:val="20"/>
              </w:rPr>
              <w:t>BHC ALHAMBRA HOSPITAL, INC.</w:t>
            </w:r>
          </w:p>
          <w:p>
            <w:pPr>
              <w:pStyle w:val="TableContents"/>
              <w:bidi w:val="0"/>
              <w:spacing w:before="0" w:after="0"/>
              <w:jc w:val="left"/>
              <w:rPr>
                <w:rFonts w:ascii="Times New Roman" w:hAnsi="Times New Roman"/>
                <w:sz w:val="20"/>
              </w:rPr>
            </w:pPr>
            <w:r>
              <w:rPr>
                <w:rFonts w:ascii="Times New Roman" w:hAnsi="Times New Roman"/>
                <w:sz w:val="20"/>
              </w:rPr>
              <w:t>BHC BELMONT PINES HOSPITAL, INC.</w:t>
            </w:r>
          </w:p>
          <w:p>
            <w:pPr>
              <w:pStyle w:val="TableContents"/>
              <w:bidi w:val="0"/>
              <w:spacing w:before="0" w:after="0"/>
              <w:jc w:val="left"/>
              <w:rPr>
                <w:rFonts w:ascii="Times New Roman" w:hAnsi="Times New Roman"/>
                <w:sz w:val="20"/>
              </w:rPr>
            </w:pPr>
            <w:r>
              <w:rPr>
                <w:rFonts w:ascii="Times New Roman" w:hAnsi="Times New Roman"/>
                <w:sz w:val="20"/>
              </w:rPr>
              <w:t>BHC FAIRFAX HOSPITAL, INC.</w:t>
            </w:r>
          </w:p>
          <w:p>
            <w:pPr>
              <w:pStyle w:val="TableContents"/>
              <w:bidi w:val="0"/>
              <w:spacing w:before="0" w:after="0"/>
              <w:jc w:val="left"/>
              <w:rPr>
                <w:rFonts w:ascii="Times New Roman" w:hAnsi="Times New Roman"/>
                <w:sz w:val="20"/>
              </w:rPr>
            </w:pPr>
            <w:r>
              <w:rPr>
                <w:rFonts w:ascii="Times New Roman" w:hAnsi="Times New Roman"/>
                <w:sz w:val="20"/>
              </w:rPr>
              <w:t>BHC FOX RUN HOSPITAL, INC.</w:t>
            </w:r>
          </w:p>
          <w:p>
            <w:pPr>
              <w:pStyle w:val="TableContents"/>
              <w:bidi w:val="0"/>
              <w:spacing w:before="0" w:after="0"/>
              <w:jc w:val="left"/>
              <w:rPr>
                <w:rFonts w:ascii="Times New Roman" w:hAnsi="Times New Roman"/>
                <w:sz w:val="20"/>
              </w:rPr>
            </w:pPr>
            <w:r>
              <w:rPr>
                <w:rFonts w:ascii="Times New Roman" w:hAnsi="Times New Roman"/>
                <w:sz w:val="20"/>
              </w:rPr>
              <w:t>BHC FREMONT HOSPITAL, INC.</w:t>
            </w:r>
          </w:p>
          <w:p>
            <w:pPr>
              <w:pStyle w:val="TableContents"/>
              <w:bidi w:val="0"/>
              <w:spacing w:before="0" w:after="0"/>
              <w:jc w:val="left"/>
              <w:rPr>
                <w:rFonts w:ascii="Times New Roman" w:hAnsi="Times New Roman"/>
                <w:sz w:val="20"/>
              </w:rPr>
            </w:pPr>
            <w:r>
              <w:rPr>
                <w:rFonts w:ascii="Times New Roman" w:hAnsi="Times New Roman"/>
                <w:sz w:val="20"/>
              </w:rPr>
              <w:t>BHC HEALTH SERVICES OF NEVADA, INC.</w:t>
            </w:r>
          </w:p>
          <w:p>
            <w:pPr>
              <w:pStyle w:val="TableContents"/>
              <w:bidi w:val="0"/>
              <w:spacing w:before="0" w:after="0"/>
              <w:jc w:val="left"/>
              <w:rPr>
                <w:rFonts w:ascii="Times New Roman" w:hAnsi="Times New Roman"/>
                <w:sz w:val="20"/>
              </w:rPr>
            </w:pPr>
            <w:r>
              <w:rPr>
                <w:rFonts w:ascii="Times New Roman" w:hAnsi="Times New Roman"/>
                <w:sz w:val="20"/>
              </w:rPr>
              <w:t>BHC HERITAGE OAKS HOSPITAL, INC.</w:t>
            </w:r>
          </w:p>
          <w:p>
            <w:pPr>
              <w:pStyle w:val="TableContents"/>
              <w:bidi w:val="0"/>
              <w:spacing w:before="0" w:after="0"/>
              <w:jc w:val="left"/>
              <w:rPr>
                <w:rFonts w:ascii="Times New Roman" w:hAnsi="Times New Roman"/>
                <w:sz w:val="20"/>
              </w:rPr>
            </w:pPr>
            <w:r>
              <w:rPr>
                <w:rFonts w:ascii="Times New Roman" w:hAnsi="Times New Roman"/>
                <w:sz w:val="20"/>
              </w:rPr>
              <w:t>BHC HOLDINGS, INC.</w:t>
            </w:r>
          </w:p>
          <w:p>
            <w:pPr>
              <w:pStyle w:val="TableContents"/>
              <w:bidi w:val="0"/>
              <w:spacing w:before="0" w:after="0"/>
              <w:jc w:val="left"/>
              <w:rPr>
                <w:rFonts w:ascii="Times New Roman" w:hAnsi="Times New Roman"/>
                <w:sz w:val="20"/>
              </w:rPr>
            </w:pPr>
            <w:r>
              <w:rPr>
                <w:rFonts w:ascii="Times New Roman" w:hAnsi="Times New Roman"/>
                <w:sz w:val="20"/>
              </w:rPr>
              <w:t>BHC INTERMOUNTAIN HOSPITAL, INC.</w:t>
            </w:r>
          </w:p>
          <w:p>
            <w:pPr>
              <w:pStyle w:val="TableContents"/>
              <w:bidi w:val="0"/>
              <w:spacing w:before="0" w:after="0"/>
              <w:jc w:val="left"/>
              <w:rPr>
                <w:rFonts w:ascii="Times New Roman" w:hAnsi="Times New Roman"/>
                <w:sz w:val="20"/>
              </w:rPr>
            </w:pPr>
            <w:r>
              <w:rPr>
                <w:rFonts w:ascii="Times New Roman" w:hAnsi="Times New Roman"/>
                <w:sz w:val="20"/>
              </w:rPr>
              <w:t>BHC MONTEVISTA HOSPITAL, INC.</w:t>
            </w:r>
          </w:p>
          <w:p>
            <w:pPr>
              <w:pStyle w:val="TableContents"/>
              <w:bidi w:val="0"/>
              <w:spacing w:before="0" w:after="0"/>
              <w:jc w:val="left"/>
              <w:rPr>
                <w:rFonts w:ascii="Times New Roman" w:hAnsi="Times New Roman"/>
                <w:sz w:val="20"/>
              </w:rPr>
            </w:pPr>
            <w:r>
              <w:rPr>
                <w:rFonts w:ascii="Times New Roman" w:hAnsi="Times New Roman"/>
                <w:sz w:val="20"/>
              </w:rPr>
              <w:t>BHC SIERRA VISTA HOSPITAL, INC.</w:t>
            </w:r>
          </w:p>
          <w:p>
            <w:pPr>
              <w:pStyle w:val="TableContents"/>
              <w:bidi w:val="0"/>
              <w:spacing w:before="0" w:after="0"/>
              <w:jc w:val="left"/>
              <w:rPr>
                <w:rFonts w:ascii="Times New Roman" w:hAnsi="Times New Roman"/>
                <w:sz w:val="20"/>
              </w:rPr>
            </w:pPr>
            <w:r>
              <w:rPr>
                <w:rFonts w:ascii="Times New Roman" w:hAnsi="Times New Roman"/>
                <w:sz w:val="20"/>
              </w:rPr>
              <w:t>BHC STREAMWOOD HOSPITAL, INC.</w:t>
            </w:r>
          </w:p>
          <w:p>
            <w:pPr>
              <w:pStyle w:val="TableContents"/>
              <w:bidi w:val="0"/>
              <w:spacing w:before="0" w:after="0"/>
              <w:jc w:val="left"/>
              <w:rPr>
                <w:rFonts w:ascii="Times New Roman" w:hAnsi="Times New Roman"/>
                <w:sz w:val="20"/>
              </w:rPr>
            </w:pPr>
            <w:r>
              <w:rPr>
                <w:rFonts w:ascii="Times New Roman" w:hAnsi="Times New Roman"/>
                <w:sz w:val="20"/>
              </w:rPr>
              <w:t>BRENTWOOD ACQUISITION, INC.</w:t>
            </w:r>
          </w:p>
          <w:p>
            <w:pPr>
              <w:pStyle w:val="TableContents"/>
              <w:bidi w:val="0"/>
              <w:spacing w:before="0" w:after="0"/>
              <w:jc w:val="left"/>
              <w:rPr>
                <w:rFonts w:ascii="Times New Roman" w:hAnsi="Times New Roman"/>
                <w:sz w:val="20"/>
              </w:rPr>
            </w:pPr>
            <w:r>
              <w:rPr>
                <w:rFonts w:ascii="Times New Roman" w:hAnsi="Times New Roman"/>
                <w:sz w:val="20"/>
              </w:rPr>
              <w:t>BRENTWOOD ACQUISITION - SHREVEPORT, INC.</w:t>
            </w:r>
          </w:p>
          <w:p>
            <w:pPr>
              <w:pStyle w:val="TableContents"/>
              <w:bidi w:val="0"/>
              <w:spacing w:before="0" w:after="0"/>
              <w:jc w:val="left"/>
              <w:rPr>
                <w:rFonts w:ascii="Times New Roman" w:hAnsi="Times New Roman"/>
                <w:sz w:val="20"/>
              </w:rPr>
            </w:pPr>
            <w:r>
              <w:rPr>
                <w:rFonts w:ascii="Times New Roman" w:hAnsi="Times New Roman"/>
                <w:sz w:val="20"/>
              </w:rPr>
              <w:t>BRYNN MARR HOSPITAL, INC.</w:t>
            </w:r>
          </w:p>
          <w:p>
            <w:pPr>
              <w:pStyle w:val="TableContents"/>
              <w:bidi w:val="0"/>
              <w:spacing w:before="0" w:after="0"/>
              <w:jc w:val="left"/>
              <w:rPr>
                <w:rFonts w:ascii="Times New Roman" w:hAnsi="Times New Roman"/>
                <w:sz w:val="20"/>
              </w:rPr>
            </w:pPr>
            <w:r>
              <w:rPr>
                <w:rFonts w:ascii="Times New Roman" w:hAnsi="Times New Roman"/>
                <w:sz w:val="20"/>
              </w:rPr>
              <w:t>CALVARY CENTER, INC.</w:t>
            </w:r>
          </w:p>
          <w:p>
            <w:pPr>
              <w:pStyle w:val="TableContents"/>
              <w:bidi w:val="0"/>
              <w:spacing w:before="0" w:after="0"/>
              <w:jc w:val="left"/>
              <w:rPr>
                <w:rFonts w:ascii="Times New Roman" w:hAnsi="Times New Roman"/>
                <w:sz w:val="20"/>
              </w:rPr>
            </w:pPr>
            <w:r>
              <w:rPr>
                <w:rFonts w:ascii="Times New Roman" w:hAnsi="Times New Roman"/>
                <w:sz w:val="20"/>
              </w:rPr>
              <w:t>CANYON RIDGE HOSPITAL, INC.</w:t>
            </w:r>
          </w:p>
          <w:p>
            <w:pPr>
              <w:pStyle w:val="TableContents"/>
              <w:bidi w:val="0"/>
              <w:spacing w:before="0" w:after="0"/>
              <w:jc w:val="left"/>
              <w:rPr>
                <w:rFonts w:ascii="Times New Roman" w:hAnsi="Times New Roman"/>
                <w:sz w:val="20"/>
              </w:rPr>
            </w:pPr>
            <w:r>
              <w:rPr>
                <w:rFonts w:ascii="Times New Roman" w:hAnsi="Times New Roman"/>
                <w:sz w:val="20"/>
              </w:rPr>
              <w:t>CCS/LANSING, INC.</w:t>
            </w:r>
          </w:p>
          <w:p>
            <w:pPr>
              <w:pStyle w:val="TableContents"/>
              <w:bidi w:val="0"/>
              <w:spacing w:before="0" w:after="0"/>
              <w:jc w:val="left"/>
              <w:rPr>
                <w:rFonts w:ascii="Times New Roman" w:hAnsi="Times New Roman"/>
                <w:sz w:val="20"/>
              </w:rPr>
            </w:pPr>
            <w:r>
              <w:rPr>
                <w:rFonts w:ascii="Times New Roman" w:hAnsi="Times New Roman"/>
                <w:sz w:val="20"/>
              </w:rPr>
              <w:t>CEDAR SPRINGS HOSPITAL, INC.</w:t>
            </w:r>
          </w:p>
          <w:p>
            <w:pPr>
              <w:pStyle w:val="TableContents"/>
              <w:bidi w:val="0"/>
              <w:spacing w:before="0" w:after="0"/>
              <w:jc w:val="left"/>
              <w:rPr>
                <w:rFonts w:ascii="Times New Roman" w:hAnsi="Times New Roman"/>
                <w:sz w:val="20"/>
              </w:rPr>
            </w:pPr>
            <w:r>
              <w:rPr>
                <w:rFonts w:ascii="Times New Roman" w:hAnsi="Times New Roman"/>
                <w:sz w:val="20"/>
              </w:rPr>
              <w:t>CHILDREN’S COMPREHENSIVE SERVICES, INC.</w:t>
            </w:r>
          </w:p>
          <w:p>
            <w:pPr>
              <w:pStyle w:val="TableContents"/>
              <w:bidi w:val="0"/>
              <w:spacing w:before="0" w:after="0"/>
              <w:jc w:val="left"/>
              <w:rPr>
                <w:rFonts w:ascii="Times New Roman" w:hAnsi="Times New Roman"/>
                <w:sz w:val="20"/>
              </w:rPr>
            </w:pPr>
            <w:r>
              <w:rPr>
                <w:rFonts w:ascii="Times New Roman" w:hAnsi="Times New Roman"/>
                <w:sz w:val="20"/>
              </w:rPr>
              <w:t>DEL AMO HOSPITAL, INC.</w:t>
            </w:r>
          </w:p>
          <w:p>
            <w:pPr>
              <w:pStyle w:val="TableContents"/>
              <w:bidi w:val="0"/>
              <w:spacing w:before="0" w:after="0"/>
              <w:jc w:val="left"/>
              <w:rPr>
                <w:rFonts w:ascii="Times New Roman" w:hAnsi="Times New Roman"/>
                <w:sz w:val="20"/>
              </w:rPr>
            </w:pPr>
            <w:r>
              <w:rPr>
                <w:rFonts w:ascii="Times New Roman" w:hAnsi="Times New Roman"/>
                <w:sz w:val="20"/>
              </w:rPr>
              <w:t>FIRST HOSPITAL CORPORATION OF VIRGINIA BEACH</w:t>
            </w:r>
          </w:p>
          <w:p>
            <w:pPr>
              <w:pStyle w:val="TableContents"/>
              <w:bidi w:val="0"/>
              <w:spacing w:before="0" w:after="0"/>
              <w:jc w:val="left"/>
              <w:rPr>
                <w:rFonts w:ascii="Times New Roman" w:hAnsi="Times New Roman"/>
                <w:sz w:val="20"/>
              </w:rPr>
            </w:pPr>
            <w:r>
              <w:rPr>
                <w:rFonts w:ascii="Times New Roman" w:hAnsi="Times New Roman"/>
                <w:sz w:val="20"/>
              </w:rPr>
              <w:t>FORT LAUDERDALE HOSPITAL, INC.</w:t>
            </w:r>
          </w:p>
          <w:p>
            <w:pPr>
              <w:pStyle w:val="TableContents"/>
              <w:bidi w:val="0"/>
              <w:spacing w:before="0" w:after="0"/>
              <w:jc w:val="left"/>
              <w:rPr>
                <w:rFonts w:ascii="Times New Roman" w:hAnsi="Times New Roman"/>
                <w:sz w:val="20"/>
              </w:rPr>
            </w:pPr>
            <w:r>
              <w:rPr>
                <w:rFonts w:ascii="Times New Roman" w:hAnsi="Times New Roman"/>
                <w:sz w:val="20"/>
              </w:rPr>
              <w:t>FRN, INC.</w:t>
            </w:r>
          </w:p>
          <w:p>
            <w:pPr>
              <w:pStyle w:val="TableContents"/>
              <w:bidi w:val="0"/>
              <w:spacing w:before="0" w:after="0"/>
              <w:jc w:val="left"/>
              <w:rPr>
                <w:rFonts w:ascii="Times New Roman" w:hAnsi="Times New Roman"/>
                <w:sz w:val="20"/>
              </w:rPr>
            </w:pPr>
            <w:r>
              <w:rPr>
                <w:rFonts w:ascii="Times New Roman" w:hAnsi="Times New Roman"/>
                <w:sz w:val="20"/>
              </w:rPr>
              <w:t>FRONTLINE BEHAVIORAL HEALTH, INC.</w:t>
            </w:r>
          </w:p>
          <w:p>
            <w:pPr>
              <w:pStyle w:val="TableContents"/>
              <w:bidi w:val="0"/>
              <w:spacing w:before="0" w:after="0"/>
              <w:jc w:val="left"/>
              <w:rPr>
                <w:rFonts w:ascii="Times New Roman" w:hAnsi="Times New Roman"/>
                <w:sz w:val="20"/>
              </w:rPr>
            </w:pPr>
            <w:r>
              <w:rPr>
                <w:rFonts w:ascii="Times New Roman" w:hAnsi="Times New Roman"/>
                <w:sz w:val="20"/>
              </w:rPr>
              <w:t>GREAT PLAINS HOSPITAL, INC.</w:t>
            </w:r>
          </w:p>
          <w:p>
            <w:pPr>
              <w:pStyle w:val="TableContents"/>
              <w:bidi w:val="0"/>
              <w:spacing w:before="0" w:after="0"/>
              <w:jc w:val="left"/>
              <w:rPr>
                <w:rFonts w:ascii="Times New Roman" w:hAnsi="Times New Roman"/>
                <w:sz w:val="20"/>
              </w:rPr>
            </w:pPr>
            <w:r>
              <w:rPr>
                <w:rFonts w:ascii="Times New Roman" w:hAnsi="Times New Roman"/>
                <w:sz w:val="20"/>
              </w:rPr>
              <w:t>GULF COAST TREATMENT CENTER, INC.</w:t>
            </w:r>
          </w:p>
          <w:p>
            <w:pPr>
              <w:pStyle w:val="TableContents"/>
              <w:bidi w:val="0"/>
              <w:spacing w:before="0" w:after="0"/>
              <w:jc w:val="left"/>
              <w:rPr>
                <w:rFonts w:ascii="Times New Roman" w:hAnsi="Times New Roman"/>
                <w:sz w:val="20"/>
              </w:rPr>
            </w:pPr>
            <w:r>
              <w:rPr>
                <w:rFonts w:ascii="Times New Roman" w:hAnsi="Times New Roman"/>
                <w:sz w:val="20"/>
              </w:rPr>
              <w:t>H. C. CORPORATION</w:t>
            </w:r>
          </w:p>
          <w:p>
            <w:pPr>
              <w:pStyle w:val="TableContents"/>
              <w:bidi w:val="0"/>
              <w:spacing w:before="0" w:after="0"/>
              <w:jc w:val="left"/>
              <w:rPr>
                <w:rFonts w:ascii="Times New Roman" w:hAnsi="Times New Roman"/>
                <w:sz w:val="20"/>
              </w:rPr>
            </w:pPr>
            <w:r>
              <w:rPr>
                <w:rFonts w:ascii="Times New Roman" w:hAnsi="Times New Roman"/>
                <w:sz w:val="20"/>
              </w:rPr>
              <w:t>HARBOR POINT BEHAVIORAL HEALTH</w:t>
            </w:r>
          </w:p>
          <w:p>
            <w:pPr>
              <w:pStyle w:val="TableContents"/>
              <w:bidi w:val="0"/>
              <w:spacing w:before="0" w:after="0"/>
              <w:jc w:val="left"/>
              <w:rPr>
                <w:rFonts w:ascii="Times New Roman" w:hAnsi="Times New Roman"/>
                <w:sz w:val="20"/>
              </w:rPr>
            </w:pPr>
            <w:r>
              <w:rPr>
                <w:rFonts w:ascii="Times New Roman" w:hAnsi="Times New Roman"/>
                <w:sz w:val="20"/>
              </w:rPr>
              <w:t>CENTER, INC.</w:t>
            </w:r>
          </w:p>
          <w:p>
            <w:pPr>
              <w:pStyle w:val="TableContents"/>
              <w:bidi w:val="0"/>
              <w:spacing w:before="0" w:after="0"/>
              <w:jc w:val="left"/>
              <w:rPr>
                <w:rFonts w:ascii="Times New Roman" w:hAnsi="Times New Roman"/>
                <w:sz w:val="20"/>
              </w:rPr>
            </w:pPr>
            <w:r>
              <w:rPr>
                <w:rFonts w:ascii="Times New Roman" w:hAnsi="Times New Roman"/>
                <w:sz w:val="20"/>
              </w:rPr>
              <w:t>HAVENWYCK HOSPITAL INC.</w:t>
            </w:r>
          </w:p>
          <w:p>
            <w:pPr>
              <w:pStyle w:val="TableContents"/>
              <w:bidi w:val="0"/>
              <w:spacing w:before="0" w:after="0"/>
              <w:jc w:val="left"/>
              <w:rPr>
                <w:rFonts w:ascii="Times New Roman" w:hAnsi="Times New Roman"/>
                <w:sz w:val="20"/>
              </w:rPr>
            </w:pPr>
            <w:r>
              <w:rPr>
                <w:rFonts w:ascii="Times New Roman" w:hAnsi="Times New Roman"/>
                <w:sz w:val="20"/>
              </w:rPr>
              <w:t>HHC AUGUSTA, INC.</w:t>
            </w:r>
          </w:p>
          <w:p>
            <w:pPr>
              <w:pStyle w:val="TableContents"/>
              <w:bidi w:val="0"/>
              <w:spacing w:before="0" w:after="0"/>
              <w:jc w:val="left"/>
              <w:rPr>
                <w:rFonts w:ascii="Times New Roman" w:hAnsi="Times New Roman"/>
                <w:sz w:val="20"/>
              </w:rPr>
            </w:pPr>
            <w:r>
              <w:rPr>
                <w:rFonts w:ascii="Times New Roman" w:hAnsi="Times New Roman"/>
                <w:sz w:val="20"/>
              </w:rPr>
              <w:t>HHC DELAWARE, INC.</w:t>
            </w:r>
          </w:p>
          <w:p>
            <w:pPr>
              <w:pStyle w:val="TableContents"/>
              <w:bidi w:val="0"/>
              <w:spacing w:before="0" w:after="0"/>
              <w:jc w:val="left"/>
              <w:rPr>
                <w:rFonts w:ascii="Times New Roman" w:hAnsi="Times New Roman"/>
                <w:sz w:val="20"/>
              </w:rPr>
            </w:pPr>
            <w:r>
              <w:rPr>
                <w:rFonts w:ascii="Times New Roman" w:hAnsi="Times New Roman"/>
                <w:sz w:val="20"/>
              </w:rPr>
              <w:t>HHC INDIANA, INC.</w:t>
            </w:r>
          </w:p>
          <w:p>
            <w:pPr>
              <w:pStyle w:val="TableContents"/>
              <w:bidi w:val="0"/>
              <w:spacing w:before="0" w:after="20"/>
              <w:jc w:val="left"/>
              <w:rPr>
                <w:rFonts w:ascii="Times New Roman" w:hAnsi="Times New Roman"/>
                <w:sz w:val="20"/>
              </w:rPr>
            </w:pPr>
            <w:r>
              <w:rPr>
                <w:rFonts w:ascii="Times New Roman" w:hAnsi="Times New Roman"/>
                <w:sz w:val="20"/>
              </w:rPr>
              <w:t>HHC OHIO, INC.</w:t>
            </w:r>
          </w:p>
        </w:tc>
        <w:tc>
          <w:tcPr>
            <w:tcW w:w="125"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83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HSA HILL CREST CORPORATION</w:t>
            </w:r>
          </w:p>
          <w:p>
            <w:pPr>
              <w:pStyle w:val="TableContents"/>
              <w:bidi w:val="0"/>
              <w:spacing w:before="0" w:after="0"/>
              <w:jc w:val="left"/>
              <w:rPr>
                <w:rFonts w:ascii="Times New Roman" w:hAnsi="Times New Roman"/>
                <w:sz w:val="20"/>
              </w:rPr>
            </w:pPr>
            <w:r>
              <w:rPr>
                <w:rFonts w:ascii="Times New Roman" w:hAnsi="Times New Roman"/>
                <w:sz w:val="20"/>
              </w:rPr>
              <w:t>KIDS BEHAVIORAL HEALTH OF UTAH, INC.</w:t>
            </w:r>
          </w:p>
          <w:p>
            <w:pPr>
              <w:pStyle w:val="TableContents"/>
              <w:bidi w:val="0"/>
              <w:spacing w:before="0" w:after="0"/>
              <w:jc w:val="left"/>
              <w:rPr>
                <w:rFonts w:ascii="Times New Roman" w:hAnsi="Times New Roman"/>
                <w:sz w:val="20"/>
              </w:rPr>
            </w:pPr>
            <w:r>
              <w:rPr>
                <w:rFonts w:ascii="Times New Roman" w:hAnsi="Times New Roman"/>
                <w:sz w:val="20"/>
              </w:rPr>
              <w:t>LAUREL OAKS BEHAVIORAL HEALTH CENTER, INC.</w:t>
            </w:r>
          </w:p>
          <w:p>
            <w:pPr>
              <w:pStyle w:val="TableContents"/>
              <w:bidi w:val="0"/>
              <w:spacing w:before="0" w:after="0"/>
              <w:jc w:val="left"/>
              <w:rPr>
                <w:rFonts w:ascii="Times New Roman" w:hAnsi="Times New Roman"/>
                <w:sz w:val="20"/>
              </w:rPr>
            </w:pPr>
            <w:r>
              <w:rPr>
                <w:rFonts w:ascii="Times New Roman" w:hAnsi="Times New Roman"/>
                <w:sz w:val="20"/>
              </w:rPr>
              <w:t>MERIDELL ACHIEVEMENT CENTER, INC.</w:t>
            </w:r>
          </w:p>
          <w:p>
            <w:pPr>
              <w:pStyle w:val="TableContents"/>
              <w:bidi w:val="0"/>
              <w:spacing w:before="0" w:after="0"/>
              <w:jc w:val="left"/>
              <w:rPr>
                <w:rFonts w:ascii="Times New Roman" w:hAnsi="Times New Roman"/>
                <w:sz w:val="20"/>
              </w:rPr>
            </w:pPr>
            <w:r>
              <w:rPr>
                <w:rFonts w:ascii="Times New Roman" w:hAnsi="Times New Roman"/>
                <w:sz w:val="20"/>
              </w:rPr>
              <w:t>MICHIGAN PSYCHIATRIC SERVICES, INC.</w:t>
            </w:r>
          </w:p>
          <w:p>
            <w:pPr>
              <w:pStyle w:val="TableContents"/>
              <w:bidi w:val="0"/>
              <w:spacing w:before="0" w:after="0"/>
              <w:jc w:val="left"/>
              <w:rPr>
                <w:rFonts w:ascii="Times New Roman" w:hAnsi="Times New Roman"/>
                <w:sz w:val="20"/>
              </w:rPr>
            </w:pPr>
            <w:r>
              <w:rPr>
                <w:rFonts w:ascii="Times New Roman" w:hAnsi="Times New Roman"/>
                <w:sz w:val="20"/>
              </w:rPr>
              <w:t>NORTH SPRING BEHAVIORAL HEALTHCARE, INC.</w:t>
            </w:r>
          </w:p>
          <w:p>
            <w:pPr>
              <w:pStyle w:val="TableContents"/>
              <w:bidi w:val="0"/>
              <w:spacing w:before="0" w:after="0"/>
              <w:jc w:val="left"/>
              <w:rPr>
                <w:rFonts w:ascii="Times New Roman" w:hAnsi="Times New Roman"/>
                <w:sz w:val="20"/>
              </w:rPr>
            </w:pPr>
            <w:r>
              <w:rPr>
                <w:rFonts w:ascii="Times New Roman" w:hAnsi="Times New Roman"/>
                <w:sz w:val="20"/>
              </w:rPr>
              <w:t>OAK PLAINS ACADEMY OF TENNESSEE, INC.</w:t>
            </w:r>
          </w:p>
          <w:p>
            <w:pPr>
              <w:pStyle w:val="TableContents"/>
              <w:bidi w:val="0"/>
              <w:spacing w:before="0" w:after="0"/>
              <w:jc w:val="left"/>
              <w:rPr>
                <w:rFonts w:ascii="Times New Roman" w:hAnsi="Times New Roman"/>
                <w:sz w:val="20"/>
              </w:rPr>
            </w:pPr>
            <w:r>
              <w:rPr>
                <w:rFonts w:ascii="Times New Roman" w:hAnsi="Times New Roman"/>
                <w:sz w:val="20"/>
              </w:rPr>
              <w:t>PARK HEALTHCARE COMPANY</w:t>
            </w:r>
          </w:p>
          <w:p>
            <w:pPr>
              <w:pStyle w:val="TableContents"/>
              <w:bidi w:val="0"/>
              <w:spacing w:before="0" w:after="0"/>
              <w:jc w:val="left"/>
              <w:rPr>
                <w:rFonts w:ascii="Times New Roman" w:hAnsi="Times New Roman"/>
                <w:sz w:val="20"/>
              </w:rPr>
            </w:pPr>
            <w:r>
              <w:rPr>
                <w:rFonts w:ascii="Times New Roman" w:hAnsi="Times New Roman"/>
                <w:sz w:val="20"/>
              </w:rPr>
              <w:t>PENNSYLVANIA CLINICAL SCHOOLS, INC.</w:t>
            </w:r>
          </w:p>
          <w:p>
            <w:pPr>
              <w:pStyle w:val="TableContents"/>
              <w:bidi w:val="0"/>
              <w:spacing w:before="0" w:after="0"/>
              <w:jc w:val="left"/>
              <w:rPr>
                <w:rFonts w:ascii="Times New Roman" w:hAnsi="Times New Roman"/>
                <w:sz w:val="20"/>
              </w:rPr>
            </w:pPr>
            <w:r>
              <w:rPr>
                <w:rFonts w:ascii="Times New Roman" w:hAnsi="Times New Roman"/>
                <w:sz w:val="20"/>
              </w:rPr>
              <w:t>PREMIER BEHAVIORAL SOLUTIONS, INC.</w:t>
            </w:r>
          </w:p>
          <w:p>
            <w:pPr>
              <w:pStyle w:val="TableContents"/>
              <w:bidi w:val="0"/>
              <w:spacing w:before="0" w:after="0"/>
              <w:jc w:val="left"/>
              <w:rPr>
                <w:rFonts w:ascii="Times New Roman" w:hAnsi="Times New Roman"/>
                <w:sz w:val="20"/>
              </w:rPr>
            </w:pPr>
            <w:r>
              <w:rPr>
                <w:rFonts w:ascii="Times New Roman" w:hAnsi="Times New Roman"/>
                <w:sz w:val="20"/>
              </w:rPr>
              <w:t>PREMIER BEHAVIORAL SOLUTIONS OF FLORIDA, INC.</w:t>
            </w:r>
          </w:p>
          <w:p>
            <w:pPr>
              <w:pStyle w:val="TableContents"/>
              <w:bidi w:val="0"/>
              <w:spacing w:before="0" w:after="0"/>
              <w:jc w:val="left"/>
              <w:rPr>
                <w:rFonts w:ascii="Times New Roman" w:hAnsi="Times New Roman"/>
                <w:sz w:val="20"/>
              </w:rPr>
            </w:pPr>
            <w:r>
              <w:rPr>
                <w:rFonts w:ascii="Times New Roman" w:hAnsi="Times New Roman"/>
                <w:sz w:val="20"/>
              </w:rPr>
              <w:t>PSYCHIATRIC SOLUTIONS, INC.</w:t>
            </w:r>
          </w:p>
          <w:p>
            <w:pPr>
              <w:pStyle w:val="TableContents"/>
              <w:bidi w:val="0"/>
              <w:spacing w:before="0" w:after="0"/>
              <w:jc w:val="left"/>
              <w:rPr>
                <w:rFonts w:ascii="Times New Roman" w:hAnsi="Times New Roman"/>
                <w:sz w:val="20"/>
              </w:rPr>
            </w:pPr>
            <w:r>
              <w:rPr>
                <w:rFonts w:ascii="Times New Roman" w:hAnsi="Times New Roman"/>
                <w:sz w:val="20"/>
              </w:rPr>
              <w:t>PSYCHIATRIC SOLUTIONS OF VIRGINIA, INC.</w:t>
            </w:r>
          </w:p>
          <w:p>
            <w:pPr>
              <w:pStyle w:val="TableContents"/>
              <w:bidi w:val="0"/>
              <w:spacing w:before="0" w:after="0"/>
              <w:jc w:val="left"/>
              <w:rPr>
                <w:rFonts w:ascii="Times New Roman" w:hAnsi="Times New Roman"/>
                <w:sz w:val="20"/>
              </w:rPr>
            </w:pPr>
            <w:r>
              <w:rPr>
                <w:rFonts w:ascii="Times New Roman" w:hAnsi="Times New Roman"/>
                <w:sz w:val="20"/>
              </w:rPr>
              <w:t>RAMSAY YOUTH SERVICES OF GEORGIA, INC.</w:t>
            </w:r>
          </w:p>
          <w:p>
            <w:pPr>
              <w:pStyle w:val="TableContents"/>
              <w:bidi w:val="0"/>
              <w:spacing w:before="0" w:after="0"/>
              <w:jc w:val="left"/>
              <w:rPr>
                <w:rFonts w:ascii="Times New Roman" w:hAnsi="Times New Roman"/>
                <w:sz w:val="20"/>
              </w:rPr>
            </w:pPr>
            <w:r>
              <w:rPr>
                <w:rFonts w:ascii="Times New Roman" w:hAnsi="Times New Roman"/>
                <w:sz w:val="20"/>
              </w:rPr>
              <w:t>RIVER OAKS, INC.</w:t>
            </w:r>
          </w:p>
          <w:p>
            <w:pPr>
              <w:pStyle w:val="TableContents"/>
              <w:bidi w:val="0"/>
              <w:spacing w:before="0" w:after="0"/>
              <w:jc w:val="left"/>
              <w:rPr>
                <w:rFonts w:ascii="Times New Roman" w:hAnsi="Times New Roman"/>
                <w:sz w:val="20"/>
              </w:rPr>
            </w:pPr>
            <w:r>
              <w:rPr>
                <w:rFonts w:ascii="Times New Roman" w:hAnsi="Times New Roman"/>
                <w:sz w:val="20"/>
              </w:rPr>
              <w:t>RIVEREDGE HOSPITAL HOLDINGS, INC.</w:t>
            </w:r>
          </w:p>
          <w:p>
            <w:pPr>
              <w:pStyle w:val="TableContents"/>
              <w:bidi w:val="0"/>
              <w:spacing w:before="0" w:after="0"/>
              <w:jc w:val="left"/>
              <w:rPr>
                <w:rFonts w:ascii="Times New Roman" w:hAnsi="Times New Roman"/>
                <w:sz w:val="20"/>
              </w:rPr>
            </w:pPr>
            <w:r>
              <w:rPr>
                <w:rFonts w:ascii="Times New Roman" w:hAnsi="Times New Roman"/>
                <w:sz w:val="20"/>
              </w:rPr>
              <w:t>SOUTHEASTERN HOSPITAL</w:t>
            </w:r>
          </w:p>
          <w:p>
            <w:pPr>
              <w:pStyle w:val="TableContents"/>
              <w:bidi w:val="0"/>
              <w:spacing w:before="0" w:after="0"/>
              <w:jc w:val="left"/>
              <w:rPr>
                <w:rFonts w:ascii="Times New Roman" w:hAnsi="Times New Roman"/>
                <w:sz w:val="20"/>
              </w:rPr>
            </w:pPr>
            <w:r>
              <w:rPr>
                <w:rFonts w:ascii="Times New Roman" w:hAnsi="Times New Roman"/>
                <w:sz w:val="20"/>
              </w:rPr>
              <w:t>CORPORATION</w:t>
            </w:r>
          </w:p>
          <w:p>
            <w:pPr>
              <w:pStyle w:val="TableContents"/>
              <w:bidi w:val="0"/>
              <w:spacing w:before="0" w:after="0"/>
              <w:jc w:val="left"/>
              <w:rPr>
                <w:rFonts w:ascii="Times New Roman" w:hAnsi="Times New Roman"/>
                <w:sz w:val="20"/>
              </w:rPr>
            </w:pPr>
            <w:r>
              <w:rPr>
                <w:rFonts w:ascii="Times New Roman" w:hAnsi="Times New Roman"/>
                <w:sz w:val="20"/>
              </w:rPr>
              <w:t>SPRINGFIELD HOSPITAL, INC.</w:t>
            </w:r>
          </w:p>
          <w:p>
            <w:pPr>
              <w:pStyle w:val="TableContents"/>
              <w:bidi w:val="0"/>
              <w:spacing w:before="0" w:after="0"/>
              <w:jc w:val="left"/>
              <w:rPr>
                <w:rFonts w:ascii="Times New Roman" w:hAnsi="Times New Roman"/>
                <w:sz w:val="20"/>
              </w:rPr>
            </w:pPr>
            <w:r>
              <w:rPr>
                <w:rFonts w:ascii="Times New Roman" w:hAnsi="Times New Roman"/>
                <w:sz w:val="20"/>
              </w:rPr>
              <w:t>STONINGTON BEHAVIORAL HEALTH, INC.</w:t>
            </w:r>
          </w:p>
          <w:p>
            <w:pPr>
              <w:pStyle w:val="TableContents"/>
              <w:bidi w:val="0"/>
              <w:spacing w:before="0" w:after="0"/>
              <w:jc w:val="left"/>
              <w:rPr>
                <w:rFonts w:ascii="Times New Roman" w:hAnsi="Times New Roman"/>
                <w:sz w:val="20"/>
              </w:rPr>
            </w:pPr>
            <w:r>
              <w:rPr>
                <w:rFonts w:ascii="Times New Roman" w:hAnsi="Times New Roman"/>
                <w:sz w:val="20"/>
              </w:rPr>
              <w:t>SUMMIT OAKS HOSPITAL, INC.</w:t>
            </w:r>
          </w:p>
          <w:p>
            <w:pPr>
              <w:pStyle w:val="TableContents"/>
              <w:bidi w:val="0"/>
              <w:spacing w:before="0" w:after="0"/>
              <w:jc w:val="left"/>
              <w:rPr>
                <w:rFonts w:ascii="Times New Roman" w:hAnsi="Times New Roman"/>
                <w:sz w:val="20"/>
              </w:rPr>
            </w:pPr>
            <w:r>
              <w:rPr>
                <w:rFonts w:ascii="Times New Roman" w:hAnsi="Times New Roman"/>
                <w:sz w:val="20"/>
              </w:rPr>
              <w:t>TEMECULA VALLEY HOSPITAL, INC.</w:t>
            </w:r>
          </w:p>
          <w:p>
            <w:pPr>
              <w:pStyle w:val="TableContents"/>
              <w:bidi w:val="0"/>
              <w:spacing w:before="0" w:after="0"/>
              <w:jc w:val="left"/>
              <w:rPr>
                <w:rFonts w:ascii="Times New Roman" w:hAnsi="Times New Roman"/>
                <w:sz w:val="20"/>
              </w:rPr>
            </w:pPr>
            <w:r>
              <w:rPr>
                <w:rFonts w:ascii="Times New Roman" w:hAnsi="Times New Roman"/>
                <w:sz w:val="20"/>
              </w:rPr>
              <w:t>TEMPLE BEHAVIORAL HEALTHCARE HOSPITAL, INC.</w:t>
            </w:r>
          </w:p>
          <w:p>
            <w:pPr>
              <w:pStyle w:val="TableContents"/>
              <w:bidi w:val="0"/>
              <w:spacing w:before="0" w:after="0"/>
              <w:jc w:val="left"/>
              <w:rPr>
                <w:rFonts w:ascii="Times New Roman" w:hAnsi="Times New Roman"/>
                <w:sz w:val="20"/>
              </w:rPr>
            </w:pPr>
            <w:r>
              <w:rPr>
                <w:rFonts w:ascii="Times New Roman" w:hAnsi="Times New Roman"/>
                <w:sz w:val="20"/>
              </w:rPr>
              <w:t>TEXAS HOSPITAL HOLDINGS, INC.</w:t>
            </w:r>
          </w:p>
          <w:p>
            <w:pPr>
              <w:pStyle w:val="TableContents"/>
              <w:bidi w:val="0"/>
              <w:spacing w:before="0" w:after="0"/>
              <w:jc w:val="left"/>
              <w:rPr>
                <w:rFonts w:ascii="Times New Roman" w:hAnsi="Times New Roman"/>
                <w:sz w:val="20"/>
              </w:rPr>
            </w:pPr>
            <w:r>
              <w:rPr>
                <w:rFonts w:ascii="Times New Roman" w:hAnsi="Times New Roman"/>
                <w:sz w:val="20"/>
              </w:rPr>
              <w:t>THE ARBOUR, INC.</w:t>
            </w:r>
          </w:p>
          <w:p>
            <w:pPr>
              <w:pStyle w:val="TableContents"/>
              <w:bidi w:val="0"/>
              <w:spacing w:before="0" w:after="0"/>
              <w:jc w:val="left"/>
              <w:rPr>
                <w:rFonts w:ascii="Times New Roman" w:hAnsi="Times New Roman"/>
                <w:sz w:val="20"/>
              </w:rPr>
            </w:pPr>
            <w:r>
              <w:rPr>
                <w:rFonts w:ascii="Times New Roman" w:hAnsi="Times New Roman"/>
                <w:sz w:val="20"/>
              </w:rPr>
              <w:t>TWO RIVERS PSYCHIATRIC HOSPITAL, INC.</w:t>
            </w:r>
          </w:p>
          <w:p>
            <w:pPr>
              <w:pStyle w:val="TableContents"/>
              <w:bidi w:val="0"/>
              <w:spacing w:before="0" w:after="0"/>
              <w:jc w:val="left"/>
              <w:rPr>
                <w:rFonts w:ascii="Times New Roman" w:hAnsi="Times New Roman"/>
                <w:sz w:val="20"/>
              </w:rPr>
            </w:pPr>
            <w:r>
              <w:rPr>
                <w:rFonts w:ascii="Times New Roman" w:hAnsi="Times New Roman"/>
                <w:sz w:val="20"/>
              </w:rPr>
              <w:t>UHS CHILDREN SERVICES, INC.</w:t>
            </w:r>
          </w:p>
          <w:p>
            <w:pPr>
              <w:pStyle w:val="TableContents"/>
              <w:bidi w:val="0"/>
              <w:spacing w:before="0" w:after="0"/>
              <w:jc w:val="left"/>
              <w:rPr>
                <w:rFonts w:ascii="Times New Roman" w:hAnsi="Times New Roman"/>
                <w:sz w:val="20"/>
              </w:rPr>
            </w:pPr>
            <w:r>
              <w:rPr>
                <w:rFonts w:ascii="Times New Roman" w:hAnsi="Times New Roman"/>
                <w:sz w:val="20"/>
              </w:rPr>
              <w:t>UHS OF DENVER, INC.</w:t>
            </w:r>
          </w:p>
          <w:p>
            <w:pPr>
              <w:pStyle w:val="TableContents"/>
              <w:bidi w:val="0"/>
              <w:spacing w:before="0" w:after="0"/>
              <w:jc w:val="left"/>
              <w:rPr>
                <w:rFonts w:ascii="Times New Roman" w:hAnsi="Times New Roman"/>
                <w:sz w:val="20"/>
              </w:rPr>
            </w:pPr>
            <w:r>
              <w:rPr>
                <w:rFonts w:ascii="Times New Roman" w:hAnsi="Times New Roman"/>
                <w:sz w:val="20"/>
              </w:rPr>
              <w:t>UHS OF FAIRMOUNT, INC.</w:t>
            </w:r>
          </w:p>
          <w:p>
            <w:pPr>
              <w:pStyle w:val="TableContents"/>
              <w:bidi w:val="0"/>
              <w:spacing w:before="0" w:after="0"/>
              <w:jc w:val="left"/>
              <w:rPr>
                <w:rFonts w:ascii="Times New Roman" w:hAnsi="Times New Roman"/>
                <w:sz w:val="20"/>
              </w:rPr>
            </w:pPr>
            <w:r>
              <w:rPr>
                <w:rFonts w:ascii="Times New Roman" w:hAnsi="Times New Roman"/>
                <w:sz w:val="20"/>
              </w:rPr>
              <w:t>UHS OF FULLER, INC.</w:t>
            </w:r>
          </w:p>
          <w:p>
            <w:pPr>
              <w:pStyle w:val="TableContents"/>
              <w:bidi w:val="0"/>
              <w:spacing w:before="0" w:after="20"/>
              <w:jc w:val="left"/>
              <w:rPr>
                <w:rFonts w:ascii="Times New Roman" w:hAnsi="Times New Roman"/>
                <w:sz w:val="20"/>
              </w:rPr>
            </w:pPr>
            <w:r>
              <w:rPr>
                <w:rFonts w:ascii="Times New Roman" w:hAnsi="Times New Roman"/>
                <w:sz w:val="20"/>
              </w:rPr>
              <w:t>UHS OF GEORGIA, INC.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530"/>
        <w:gridCol w:w="106"/>
        <w:gridCol w:w="385"/>
        <w:gridCol w:w="106"/>
        <w:gridCol w:w="596"/>
        <w:gridCol w:w="106"/>
        <w:gridCol w:w="4376"/>
      </w:tblGrid>
      <w:tr>
        <w:trPr/>
        <w:tc>
          <w:tcPr>
            <w:tcW w:w="453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376" w:type="dxa"/>
            <w:tcBorders/>
            <w:vAlign w:val="center"/>
          </w:tcPr>
          <w:p>
            <w:pPr>
              <w:pStyle w:val="TableContents"/>
              <w:bidi w:val="0"/>
              <w:spacing w:before="0" w:after="283"/>
              <w:jc w:val="left"/>
              <w:rPr>
                <w:sz w:val="4"/>
                <w:szCs w:val="4"/>
              </w:rPr>
            </w:pPr>
            <w:r>
              <w:rPr>
                <w:sz w:val="4"/>
                <w:szCs w:val="4"/>
              </w:rPr>
            </w:r>
          </w:p>
        </w:tc>
      </w:tr>
      <w:tr>
        <w:trPr/>
        <w:tc>
          <w:tcPr>
            <w:tcW w:w="4530" w:type="dxa"/>
            <w:tcBorders/>
          </w:tcPr>
          <w:p>
            <w:pPr>
              <w:pStyle w:val="TableContents"/>
              <w:bidi w:val="0"/>
              <w:spacing w:before="0" w:after="0"/>
              <w:jc w:val="left"/>
              <w:rPr>
                <w:rFonts w:ascii="Times New Roman" w:hAnsi="Times New Roman"/>
                <w:sz w:val="20"/>
              </w:rPr>
            </w:pPr>
            <w:r>
              <w:rPr>
                <w:rFonts w:ascii="Times New Roman" w:hAnsi="Times New Roman"/>
                <w:sz w:val="20"/>
              </w:rPr>
              <w:t>HHC RIVER PARK, INC.</w:t>
            </w:r>
          </w:p>
          <w:p>
            <w:pPr>
              <w:pStyle w:val="TableContents"/>
              <w:bidi w:val="0"/>
              <w:spacing w:before="0" w:after="0"/>
              <w:jc w:val="left"/>
              <w:rPr>
                <w:rFonts w:ascii="Times New Roman" w:hAnsi="Times New Roman"/>
                <w:sz w:val="20"/>
              </w:rPr>
            </w:pPr>
            <w:r>
              <w:rPr>
                <w:rFonts w:ascii="Times New Roman" w:hAnsi="Times New Roman"/>
                <w:sz w:val="20"/>
              </w:rPr>
              <w:t>HHC SOUTH CAROLINA, INC.</w:t>
            </w:r>
          </w:p>
          <w:p>
            <w:pPr>
              <w:pStyle w:val="TableContents"/>
              <w:bidi w:val="0"/>
              <w:spacing w:before="0" w:after="0"/>
              <w:jc w:val="left"/>
              <w:rPr>
                <w:rFonts w:ascii="Times New Roman" w:hAnsi="Times New Roman"/>
                <w:sz w:val="20"/>
              </w:rPr>
            </w:pPr>
            <w:r>
              <w:rPr>
                <w:rFonts w:ascii="Times New Roman" w:hAnsi="Times New Roman"/>
                <w:sz w:val="20"/>
              </w:rPr>
              <w:t>HHC ST. SIMONS, INC.</w:t>
            </w:r>
          </w:p>
          <w:p>
            <w:pPr>
              <w:pStyle w:val="TableContents"/>
              <w:bidi w:val="0"/>
              <w:spacing w:before="0" w:after="0"/>
              <w:jc w:val="left"/>
              <w:rPr>
                <w:rFonts w:ascii="Times New Roman" w:hAnsi="Times New Roman"/>
                <w:sz w:val="20"/>
              </w:rPr>
            </w:pPr>
            <w:r>
              <w:rPr>
                <w:rFonts w:ascii="Times New Roman" w:hAnsi="Times New Roman"/>
                <w:sz w:val="20"/>
              </w:rPr>
              <w:t>HORIZON HEALTH AUSTIN, INC.</w:t>
            </w:r>
          </w:p>
          <w:p>
            <w:pPr>
              <w:pStyle w:val="TableContents"/>
              <w:bidi w:val="0"/>
              <w:spacing w:before="0" w:after="0"/>
              <w:jc w:val="left"/>
              <w:rPr>
                <w:rFonts w:ascii="Times New Roman" w:hAnsi="Times New Roman"/>
                <w:sz w:val="20"/>
              </w:rPr>
            </w:pPr>
            <w:r>
              <w:rPr>
                <w:rFonts w:ascii="Times New Roman" w:hAnsi="Times New Roman"/>
                <w:sz w:val="20"/>
              </w:rPr>
              <w:t>HORIZON HEALTH CORPORATION</w:t>
            </w:r>
          </w:p>
          <w:p>
            <w:pPr>
              <w:pStyle w:val="TableContents"/>
              <w:bidi w:val="0"/>
              <w:spacing w:before="0" w:after="0"/>
              <w:jc w:val="left"/>
              <w:rPr>
                <w:rFonts w:ascii="Times New Roman" w:hAnsi="Times New Roman"/>
                <w:sz w:val="20"/>
              </w:rPr>
            </w:pPr>
            <w:r>
              <w:rPr>
                <w:rFonts w:ascii="Times New Roman" w:hAnsi="Times New Roman"/>
                <w:sz w:val="20"/>
              </w:rPr>
              <w:t>UHS OF TIMPANOGOS, INC.</w:t>
            </w:r>
          </w:p>
          <w:p>
            <w:pPr>
              <w:pStyle w:val="TableContents"/>
              <w:bidi w:val="0"/>
              <w:spacing w:before="0" w:after="0"/>
              <w:jc w:val="left"/>
              <w:rPr>
                <w:rFonts w:ascii="Times New Roman" w:hAnsi="Times New Roman"/>
                <w:sz w:val="20"/>
              </w:rPr>
            </w:pPr>
            <w:r>
              <w:rPr>
                <w:rFonts w:ascii="Times New Roman" w:hAnsi="Times New Roman"/>
                <w:sz w:val="20"/>
              </w:rPr>
              <w:t>UHS OF WESTWOOD PEMBROKE, INC.</w:t>
            </w:r>
          </w:p>
          <w:p>
            <w:pPr>
              <w:pStyle w:val="TableContents"/>
              <w:bidi w:val="0"/>
              <w:spacing w:before="0" w:after="0"/>
              <w:jc w:val="left"/>
              <w:rPr>
                <w:rFonts w:ascii="Times New Roman" w:hAnsi="Times New Roman"/>
                <w:sz w:val="20"/>
              </w:rPr>
            </w:pPr>
            <w:r>
              <w:rPr>
                <w:rFonts w:ascii="Times New Roman" w:hAnsi="Times New Roman"/>
                <w:sz w:val="20"/>
              </w:rPr>
              <w:t>UHS OF WYOMING, INC.</w:t>
            </w:r>
          </w:p>
          <w:p>
            <w:pPr>
              <w:pStyle w:val="TableContents"/>
              <w:bidi w:val="0"/>
              <w:spacing w:before="0" w:after="0"/>
              <w:jc w:val="left"/>
              <w:rPr>
                <w:rFonts w:ascii="Times New Roman" w:hAnsi="Times New Roman"/>
                <w:sz w:val="20"/>
              </w:rPr>
            </w:pPr>
            <w:r>
              <w:rPr>
                <w:rFonts w:ascii="Times New Roman" w:hAnsi="Times New Roman"/>
                <w:sz w:val="20"/>
              </w:rPr>
              <w:t>UHS SAHARA, INC.</w:t>
            </w:r>
          </w:p>
          <w:p>
            <w:pPr>
              <w:pStyle w:val="TableContents"/>
              <w:bidi w:val="0"/>
              <w:spacing w:before="0" w:after="0"/>
              <w:jc w:val="left"/>
              <w:rPr>
                <w:rFonts w:ascii="Times New Roman" w:hAnsi="Times New Roman"/>
                <w:sz w:val="20"/>
              </w:rPr>
            </w:pPr>
            <w:r>
              <w:rPr>
                <w:rFonts w:ascii="Times New Roman" w:hAnsi="Times New Roman"/>
                <w:sz w:val="20"/>
              </w:rPr>
              <w:t>UNITED HEALTHCARE OF HARDIN, INC.</w:t>
            </w:r>
          </w:p>
          <w:p>
            <w:pPr>
              <w:pStyle w:val="TableContents"/>
              <w:bidi w:val="0"/>
              <w:spacing w:before="0" w:after="20"/>
              <w:jc w:val="left"/>
              <w:rPr>
                <w:rFonts w:ascii="Times New Roman" w:hAnsi="Times New Roman"/>
                <w:sz w:val="20"/>
              </w:rPr>
            </w:pPr>
            <w:r>
              <w:rPr>
                <w:rFonts w:ascii="Times New Roman" w:hAnsi="Times New Roman"/>
                <w:sz w:val="20"/>
              </w:rPr>
              <w:t>WINDMOOR HEALTHCARE INC.</w:t>
            </w:r>
          </w:p>
        </w:tc>
        <w:tc>
          <w:tcPr>
            <w:tcW w:w="106"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07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UHS OF GEORGIA HOLDINGS, INC.</w:t>
            </w:r>
          </w:p>
          <w:p>
            <w:pPr>
              <w:pStyle w:val="TableContents"/>
              <w:bidi w:val="0"/>
              <w:spacing w:before="0" w:after="0"/>
              <w:jc w:val="left"/>
              <w:rPr>
                <w:rFonts w:ascii="Times New Roman" w:hAnsi="Times New Roman"/>
                <w:sz w:val="20"/>
              </w:rPr>
            </w:pPr>
            <w:r>
              <w:rPr>
                <w:rFonts w:ascii="Times New Roman" w:hAnsi="Times New Roman"/>
                <w:sz w:val="20"/>
              </w:rPr>
              <w:t>UHS OF HAMPTON, INC.</w:t>
            </w:r>
          </w:p>
          <w:p>
            <w:pPr>
              <w:pStyle w:val="TableContents"/>
              <w:bidi w:val="0"/>
              <w:spacing w:before="0" w:after="0"/>
              <w:jc w:val="left"/>
              <w:rPr>
                <w:rFonts w:ascii="Times New Roman" w:hAnsi="Times New Roman"/>
                <w:sz w:val="20"/>
              </w:rPr>
            </w:pPr>
            <w:r>
              <w:rPr>
                <w:rFonts w:ascii="Times New Roman" w:hAnsi="Times New Roman"/>
                <w:sz w:val="20"/>
              </w:rPr>
              <w:t>UHS OF HARTGROVE, INC</w:t>
            </w:r>
          </w:p>
          <w:p>
            <w:pPr>
              <w:pStyle w:val="TableContents"/>
              <w:bidi w:val="0"/>
              <w:spacing w:before="0" w:after="0"/>
              <w:jc w:val="left"/>
              <w:rPr>
                <w:rFonts w:ascii="Times New Roman" w:hAnsi="Times New Roman"/>
                <w:sz w:val="20"/>
              </w:rPr>
            </w:pPr>
            <w:r>
              <w:rPr>
                <w:rFonts w:ascii="Times New Roman" w:hAnsi="Times New Roman"/>
                <w:sz w:val="20"/>
              </w:rPr>
              <w:t>UHS OF PARKWOOD, INC.</w:t>
            </w:r>
          </w:p>
          <w:p>
            <w:pPr>
              <w:pStyle w:val="TableContents"/>
              <w:bidi w:val="0"/>
              <w:spacing w:before="0" w:after="0"/>
              <w:jc w:val="left"/>
              <w:rPr>
                <w:rFonts w:ascii="Times New Roman" w:hAnsi="Times New Roman"/>
                <w:sz w:val="20"/>
              </w:rPr>
            </w:pPr>
            <w:r>
              <w:rPr>
                <w:rFonts w:ascii="Times New Roman" w:hAnsi="Times New Roman"/>
                <w:sz w:val="20"/>
              </w:rPr>
              <w:t>UHS OF PENNSYLVANIA, INC.</w:t>
            </w:r>
          </w:p>
          <w:p>
            <w:pPr>
              <w:pStyle w:val="TableContents"/>
              <w:bidi w:val="0"/>
              <w:spacing w:before="0" w:after="0"/>
              <w:jc w:val="left"/>
              <w:rPr>
                <w:rFonts w:ascii="Times New Roman" w:hAnsi="Times New Roman"/>
                <w:sz w:val="20"/>
              </w:rPr>
            </w:pPr>
            <w:r>
              <w:rPr>
                <w:rFonts w:ascii="Times New Roman" w:hAnsi="Times New Roman"/>
                <w:sz w:val="20"/>
              </w:rPr>
              <w:t>UHS OF PROVO CANYON, INC.</w:t>
            </w:r>
          </w:p>
          <w:p>
            <w:pPr>
              <w:pStyle w:val="TableContents"/>
              <w:bidi w:val="0"/>
              <w:spacing w:before="0" w:after="0"/>
              <w:jc w:val="left"/>
              <w:rPr>
                <w:rFonts w:ascii="Times New Roman" w:hAnsi="Times New Roman"/>
                <w:sz w:val="20"/>
              </w:rPr>
            </w:pPr>
            <w:r>
              <w:rPr>
                <w:rFonts w:ascii="Times New Roman" w:hAnsi="Times New Roman"/>
                <w:sz w:val="20"/>
              </w:rPr>
              <w:t>UHS OF PUERTO RICO, INC.</w:t>
            </w:r>
          </w:p>
          <w:p>
            <w:pPr>
              <w:pStyle w:val="TableContents"/>
              <w:bidi w:val="0"/>
              <w:spacing w:before="0" w:after="0"/>
              <w:jc w:val="left"/>
              <w:rPr>
                <w:rFonts w:ascii="Times New Roman" w:hAnsi="Times New Roman"/>
                <w:sz w:val="20"/>
              </w:rPr>
            </w:pPr>
            <w:r>
              <w:rPr>
                <w:rFonts w:ascii="Times New Roman" w:hAnsi="Times New Roman"/>
                <w:sz w:val="20"/>
              </w:rPr>
              <w:t>UHS OF SPRING MOUNTAIN, INC.</w:t>
            </w:r>
          </w:p>
          <w:p>
            <w:pPr>
              <w:pStyle w:val="TableContents"/>
              <w:bidi w:val="0"/>
              <w:spacing w:before="0" w:after="0"/>
              <w:jc w:val="left"/>
              <w:rPr>
                <w:rFonts w:ascii="Times New Roman" w:hAnsi="Times New Roman"/>
                <w:sz w:val="20"/>
              </w:rPr>
            </w:pPr>
            <w:r>
              <w:rPr>
                <w:rFonts w:ascii="Times New Roman" w:hAnsi="Times New Roman"/>
                <w:sz w:val="20"/>
              </w:rPr>
              <w:t>UHS OF TIMBERLAWN, INC.</w:t>
            </w:r>
          </w:p>
          <w:p>
            <w:pPr>
              <w:pStyle w:val="TableContents"/>
              <w:bidi w:val="0"/>
              <w:spacing w:before="0" w:after="20"/>
              <w:jc w:val="left"/>
              <w:rPr>
                <w:rFonts w:ascii="Times New Roman" w:hAnsi="Times New Roman"/>
                <w:sz w:val="20"/>
              </w:rPr>
            </w:pPr>
            <w:r>
              <w:rPr>
                <w:rFonts w:ascii="Times New Roman" w:hAnsi="Times New Roman"/>
                <w:sz w:val="20"/>
              </w:rPr>
              <w:t>FOREST VIEW PSYCHIATRIC HOSPITAL, INC.</w:t>
            </w:r>
          </w:p>
        </w:tc>
      </w:tr>
      <w:tr>
        <w:trPr/>
        <w:tc>
          <w:tcPr>
            <w:tcW w:w="4530" w:type="dxa"/>
            <w:tcBorders/>
          </w:tcPr>
          <w:p>
            <w:pPr>
              <w:pStyle w:val="TableContents"/>
              <w:bidi w:val="0"/>
              <w:spacing w:before="0" w:after="283"/>
              <w:jc w:val="left"/>
              <w:rPr/>
            </w:pPr>
            <w:r>
              <w:rPr/>
              <w:t>WINDMOOR HEALTHCARE OF PINELLAS PARK, INC.</w:t>
            </w:r>
          </w:p>
        </w:tc>
        <w:tc>
          <w:tcPr>
            <w:tcW w:w="106"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37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530" w:type="dxa"/>
            <w:tcBorders/>
          </w:tcPr>
          <w:p>
            <w:pPr>
              <w:pStyle w:val="TableContents"/>
              <w:bidi w:val="0"/>
              <w:spacing w:before="0" w:after="283"/>
              <w:jc w:val="left"/>
              <w:rPr/>
            </w:pPr>
            <w:r>
              <w:rPr/>
              <w:t>WISCONSIN AVENUE PSYCHIATRIC CENTER, INC.</w:t>
            </w:r>
          </w:p>
        </w:tc>
        <w:tc>
          <w:tcPr>
            <w:tcW w:w="106"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376" w:type="dxa"/>
            <w:tcBorders/>
          </w:tcPr>
          <w:p>
            <w:pPr>
              <w:pStyle w:val="TableContents"/>
              <w:bidi w:val="0"/>
              <w:spacing w:before="0" w:after="283"/>
              <w:jc w:val="left"/>
              <w:rPr/>
            </w:pPr>
            <w:r>
              <w:rPr/>
              <w:t xml:space="preserve">Steve Filton </w:t>
            </w:r>
          </w:p>
        </w:tc>
      </w:tr>
      <w:tr>
        <w:trPr/>
        <w:tc>
          <w:tcPr>
            <w:tcW w:w="4530" w:type="dxa"/>
            <w:tcBorders/>
          </w:tcPr>
          <w:p>
            <w:pPr>
              <w:pStyle w:val="TableContents"/>
              <w:bidi w:val="0"/>
              <w:spacing w:before="0" w:after="283"/>
              <w:jc w:val="left"/>
              <w:rPr/>
            </w:pPr>
            <w:r>
              <w:rPr/>
              <w:t>UHS OF MADERA, INC.</w:t>
            </w:r>
          </w:p>
        </w:tc>
        <w:tc>
          <w:tcPr>
            <w:tcW w:w="106"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6"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376"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6"/>
        <w:gridCol w:w="60"/>
        <w:gridCol w:w="3346"/>
      </w:tblGrid>
      <w:tr>
        <w:trPr/>
        <w:tc>
          <w:tcPr>
            <w:tcW w:w="6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AIKEN REGIONAL MEDICAL CENTERS, LLC</w:t>
            </w:r>
          </w:p>
        </w:tc>
      </w:tr>
      <w:tr>
        <w:trPr/>
        <w:tc>
          <w:tcPr>
            <w:tcW w:w="4082" w:type="dxa"/>
            <w:gridSpan w:val="3"/>
            <w:tcBorders/>
          </w:tcPr>
          <w:p>
            <w:pPr>
              <w:pStyle w:val="TableContents"/>
              <w:bidi w:val="0"/>
              <w:spacing w:before="0" w:after="283"/>
              <w:jc w:val="left"/>
              <w:rPr/>
            </w:pPr>
            <w:r>
              <w:rPr/>
              <w:t>LA AMISTAD RESIDENTIAL TREATMENT CENTER, LLC</w:t>
            </w:r>
          </w:p>
        </w:tc>
      </w:tr>
      <w:tr>
        <w:trPr/>
        <w:tc>
          <w:tcPr>
            <w:tcW w:w="4082" w:type="dxa"/>
            <w:gridSpan w:val="3"/>
            <w:tcBorders/>
          </w:tcPr>
          <w:p>
            <w:pPr>
              <w:pStyle w:val="TableContents"/>
              <w:bidi w:val="0"/>
              <w:spacing w:before="0" w:after="283"/>
              <w:jc w:val="left"/>
              <w:rPr/>
            </w:pPr>
            <w:r>
              <w:rPr/>
              <w:t>PALM POINT BEHAVIORAL HEALTH, LLC</w:t>
            </w:r>
          </w:p>
        </w:tc>
      </w:tr>
      <w:tr>
        <w:trPr/>
        <w:tc>
          <w:tcPr>
            <w:tcW w:w="4082" w:type="dxa"/>
            <w:gridSpan w:val="3"/>
            <w:tcBorders/>
          </w:tcPr>
          <w:p>
            <w:pPr>
              <w:pStyle w:val="TableContents"/>
              <w:bidi w:val="0"/>
              <w:spacing w:before="0" w:after="283"/>
              <w:jc w:val="left"/>
              <w:rPr/>
            </w:pPr>
            <w:r>
              <w:rPr/>
              <w:t>TENNESSEE CLINICAL SCHOOLS, LLC</w:t>
            </w:r>
          </w:p>
        </w:tc>
      </w:tr>
      <w:tr>
        <w:trPr/>
        <w:tc>
          <w:tcPr>
            <w:tcW w:w="4082" w:type="dxa"/>
            <w:gridSpan w:val="3"/>
            <w:tcBorders/>
          </w:tcPr>
          <w:p>
            <w:pPr>
              <w:pStyle w:val="TableContents"/>
              <w:bidi w:val="0"/>
              <w:spacing w:before="0" w:after="283"/>
              <w:jc w:val="left"/>
              <w:rPr/>
            </w:pPr>
            <w:r>
              <w:rPr/>
              <w:t>THE BRIDGEWAY, LLC</w:t>
            </w:r>
          </w:p>
        </w:tc>
      </w:tr>
      <w:tr>
        <w:trPr/>
        <w:tc>
          <w:tcPr>
            <w:tcW w:w="4082" w:type="dxa"/>
            <w:gridSpan w:val="3"/>
            <w:tcBorders/>
          </w:tcPr>
          <w:p>
            <w:pPr>
              <w:pStyle w:val="TableContents"/>
              <w:bidi w:val="0"/>
              <w:spacing w:before="0" w:after="283"/>
              <w:jc w:val="left"/>
              <w:rPr/>
            </w:pPr>
            <w:r>
              <w:rPr/>
              <w:t>TURNING POINT CARE CENTER, LLC</w:t>
            </w:r>
          </w:p>
        </w:tc>
      </w:tr>
      <w:tr>
        <w:trPr/>
        <w:tc>
          <w:tcPr>
            <w:tcW w:w="4082" w:type="dxa"/>
            <w:gridSpan w:val="3"/>
            <w:tcBorders/>
          </w:tcPr>
          <w:p>
            <w:pPr>
              <w:pStyle w:val="TableContents"/>
              <w:bidi w:val="0"/>
              <w:spacing w:before="0" w:after="283"/>
              <w:jc w:val="left"/>
              <w:rPr/>
            </w:pPr>
            <w:r>
              <w:rPr/>
              <w:t>UHS OF BENTON, LLC</w:t>
            </w:r>
          </w:p>
        </w:tc>
      </w:tr>
      <w:tr>
        <w:trPr/>
        <w:tc>
          <w:tcPr>
            <w:tcW w:w="4082" w:type="dxa"/>
            <w:gridSpan w:val="3"/>
            <w:tcBorders/>
          </w:tcPr>
          <w:p>
            <w:pPr>
              <w:pStyle w:val="TableContents"/>
              <w:bidi w:val="0"/>
              <w:spacing w:before="0" w:after="283"/>
              <w:jc w:val="left"/>
              <w:rPr/>
            </w:pPr>
            <w:r>
              <w:rPr/>
              <w:t>UHS OF BOWLING GREEN, LLC</w:t>
            </w:r>
          </w:p>
        </w:tc>
      </w:tr>
      <w:tr>
        <w:trPr/>
        <w:tc>
          <w:tcPr>
            <w:tcW w:w="4082" w:type="dxa"/>
            <w:gridSpan w:val="3"/>
            <w:tcBorders/>
          </w:tcPr>
          <w:p>
            <w:pPr>
              <w:pStyle w:val="TableContents"/>
              <w:bidi w:val="0"/>
              <w:spacing w:before="0" w:after="283"/>
              <w:jc w:val="left"/>
              <w:rPr/>
            </w:pPr>
            <w:r>
              <w:rPr/>
              <w:t>UHS OF GREENVILLE, LLC</w:t>
            </w:r>
          </w:p>
        </w:tc>
      </w:tr>
      <w:tr>
        <w:trPr/>
        <w:tc>
          <w:tcPr>
            <w:tcW w:w="4082" w:type="dxa"/>
            <w:gridSpan w:val="3"/>
            <w:tcBorders/>
          </w:tcPr>
          <w:p>
            <w:pPr>
              <w:pStyle w:val="TableContents"/>
              <w:bidi w:val="0"/>
              <w:spacing w:before="0" w:after="283"/>
              <w:jc w:val="left"/>
              <w:rPr/>
            </w:pPr>
            <w:r>
              <w:rPr/>
              <w:t>UHS OF LAKESIDE, LLC</w:t>
            </w:r>
          </w:p>
        </w:tc>
      </w:tr>
      <w:tr>
        <w:trPr/>
        <w:tc>
          <w:tcPr>
            <w:tcW w:w="4082" w:type="dxa"/>
            <w:gridSpan w:val="3"/>
            <w:tcBorders/>
          </w:tcPr>
          <w:p>
            <w:pPr>
              <w:pStyle w:val="TableContents"/>
              <w:bidi w:val="0"/>
              <w:spacing w:before="0" w:after="283"/>
              <w:jc w:val="left"/>
              <w:rPr/>
            </w:pPr>
            <w:r>
              <w:rPr/>
              <w:t>UHS OF PHOENIX, LLC</w:t>
            </w:r>
          </w:p>
        </w:tc>
      </w:tr>
      <w:tr>
        <w:trPr/>
        <w:tc>
          <w:tcPr>
            <w:tcW w:w="4082" w:type="dxa"/>
            <w:gridSpan w:val="3"/>
            <w:tcBorders/>
          </w:tcPr>
          <w:p>
            <w:pPr>
              <w:pStyle w:val="TableContents"/>
              <w:bidi w:val="0"/>
              <w:spacing w:before="0" w:after="283"/>
              <w:jc w:val="left"/>
              <w:rPr/>
            </w:pPr>
            <w:r>
              <w:rPr/>
              <w:t>UHS OF RIDGE, LLC</w:t>
            </w:r>
          </w:p>
        </w:tc>
      </w:tr>
      <w:tr>
        <w:trPr/>
        <w:tc>
          <w:tcPr>
            <w:tcW w:w="4082" w:type="dxa"/>
            <w:gridSpan w:val="3"/>
            <w:tcBorders/>
          </w:tcPr>
          <w:p>
            <w:pPr>
              <w:pStyle w:val="TableContents"/>
              <w:bidi w:val="0"/>
              <w:spacing w:before="0" w:after="283"/>
              <w:jc w:val="left"/>
              <w:rPr/>
            </w:pPr>
            <w:r>
              <w:rPr/>
              <w:t>UHS OF ROCKFORD, LLC</w:t>
            </w:r>
          </w:p>
        </w:tc>
      </w:tr>
      <w:tr>
        <w:trPr/>
        <w:tc>
          <w:tcPr>
            <w:tcW w:w="4082" w:type="dxa"/>
            <w:gridSpan w:val="3"/>
            <w:tcBorders/>
          </w:tcPr>
          <w:p>
            <w:pPr>
              <w:pStyle w:val="TableContents"/>
              <w:bidi w:val="0"/>
              <w:spacing w:before="0" w:after="283"/>
              <w:jc w:val="left"/>
              <w:rPr/>
            </w:pPr>
            <w:r>
              <w:rPr/>
              <w:t>UHS OF TUCSON, LLC</w:t>
            </w:r>
          </w:p>
        </w:tc>
      </w:tr>
      <w:tr>
        <w:trPr/>
        <w:tc>
          <w:tcPr>
            <w:tcW w:w="4082" w:type="dxa"/>
            <w:gridSpan w:val="3"/>
            <w:tcBorders/>
          </w:tcPr>
          <w:p>
            <w:pPr>
              <w:pStyle w:val="TableContents"/>
              <w:bidi w:val="0"/>
              <w:spacing w:before="0" w:after="283"/>
              <w:jc w:val="left"/>
              <w:rPr/>
            </w:pPr>
            <w:r>
              <w:rPr/>
              <w:t>UHS SUB III, LLC</w:t>
            </w:r>
          </w:p>
        </w:tc>
      </w:tr>
      <w:tr>
        <w:trPr/>
        <w:tc>
          <w:tcPr>
            <w:tcW w:w="4082" w:type="dxa"/>
            <w:gridSpan w:val="3"/>
            <w:tcBorders/>
          </w:tcPr>
          <w:p>
            <w:pPr>
              <w:pStyle w:val="TableContents"/>
              <w:bidi w:val="0"/>
              <w:spacing w:before="0" w:after="283"/>
              <w:jc w:val="left"/>
              <w:rPr/>
            </w:pPr>
            <w:r>
              <w:rPr/>
              <w:t>UHSD, L.L.C.</w:t>
            </w:r>
          </w:p>
        </w:tc>
      </w:tr>
      <w:tr>
        <w:trPr/>
        <w:tc>
          <w:tcPr>
            <w:tcW w:w="4082" w:type="dxa"/>
            <w:gridSpan w:val="3"/>
            <w:tcBorders/>
          </w:tcPr>
          <w:p>
            <w:pPr>
              <w:pStyle w:val="TableContents"/>
              <w:bidi w:val="0"/>
              <w:spacing w:before="0" w:after="283"/>
              <w:jc w:val="left"/>
              <w:rPr/>
            </w:pPr>
            <w:r>
              <w:rPr/>
              <w:t>WELLINGTON REGIONAL MEDICAL CENTER,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Universal Health Services,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6" w:type="dxa"/>
            <w:tcBorders/>
            <w:vAlign w:val="center"/>
          </w:tcPr>
          <w:p>
            <w:pPr>
              <w:pStyle w:val="TableContents"/>
              <w:bidi w:val="0"/>
              <w:spacing w:before="0" w:after="283"/>
              <w:jc w:val="left"/>
              <w:rPr>
                <w:sz w:val="4"/>
                <w:szCs w:val="4"/>
              </w:rPr>
            </w:pPr>
            <w:r>
              <w:rPr>
                <w:sz w:val="4"/>
                <w:szCs w:val="4"/>
              </w:rPr>
            </w:r>
          </w:p>
        </w:tc>
        <w:tc>
          <w:tcPr>
            <w:tcW w:w="3406" w:type="dxa"/>
            <w:gridSpan w:val="2"/>
            <w:tcBorders/>
            <w:vAlign w:val="center"/>
          </w:tcPr>
          <w:p>
            <w:pPr>
              <w:pStyle w:val="TableContents"/>
              <w:bidi w:val="0"/>
              <w:spacing w:before="0" w:after="283"/>
              <w:jc w:val="left"/>
              <w:rPr>
                <w:sz w:val="4"/>
                <w:szCs w:val="4"/>
              </w:rPr>
            </w:pPr>
            <w:r>
              <w:rPr>
                <w:sz w:val="4"/>
                <w:szCs w:val="4"/>
              </w:rPr>
            </w:r>
          </w:p>
        </w:tc>
      </w:tr>
      <w:tr>
        <w:trPr/>
        <w:tc>
          <w:tcPr>
            <w:tcW w:w="67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6"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6" w:type="dxa"/>
            <w:tcBorders/>
          </w:tcPr>
          <w:p>
            <w:pPr>
              <w:pStyle w:val="TableContents"/>
              <w:bidi w:val="0"/>
              <w:spacing w:before="0" w:after="283"/>
              <w:jc w:val="left"/>
              <w:rPr/>
            </w:pPr>
            <w:r>
              <w:rPr/>
              <w:t>Steve Filton</w:t>
            </w:r>
          </w:p>
        </w:tc>
      </w:tr>
      <w:tr>
        <w:trPr/>
        <w:tc>
          <w:tcPr>
            <w:tcW w:w="67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6" w:type="dxa"/>
            <w:tcBorders/>
          </w:tcPr>
          <w:p>
            <w:pPr>
              <w:pStyle w:val="TableContents"/>
              <w:bidi w:val="0"/>
              <w:spacing w:before="0" w:after="283"/>
              <w:jc w:val="left"/>
              <w:rPr/>
            </w:pPr>
            <w:r>
              <w:rPr/>
              <w:t>Executive Vice President, Secretary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3"/>
        <w:gridCol w:w="60"/>
        <w:gridCol w:w="3349"/>
      </w:tblGrid>
      <w:tr>
        <w:trPr/>
        <w:tc>
          <w:tcPr>
            <w:tcW w:w="6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FORT DUNCAN MEDICAL CENTER,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Fort Duncan Medical Center, Inc.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73" w:type="dxa"/>
            <w:tcBorders/>
            <w:vAlign w:val="center"/>
          </w:tcPr>
          <w:p>
            <w:pPr>
              <w:pStyle w:val="TableContents"/>
              <w:bidi w:val="0"/>
              <w:spacing w:before="0" w:after="283"/>
              <w:jc w:val="left"/>
              <w:rPr>
                <w:sz w:val="4"/>
                <w:szCs w:val="4"/>
              </w:rPr>
            </w:pPr>
            <w:r>
              <w:rPr>
                <w:sz w:val="4"/>
                <w:szCs w:val="4"/>
              </w:rPr>
            </w:r>
          </w:p>
        </w:tc>
        <w:tc>
          <w:tcPr>
            <w:tcW w:w="3409"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Steve Filton</w:t>
            </w:r>
          </w:p>
        </w:tc>
      </w:tr>
      <w:tr>
        <w:trPr/>
        <w:tc>
          <w:tcPr>
            <w:tcW w:w="67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91"/>
        <w:gridCol w:w="63"/>
        <w:gridCol w:w="3228"/>
      </w:tblGrid>
      <w:tr>
        <w:trPr/>
        <w:tc>
          <w:tcPr>
            <w:tcW w:w="791"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2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FRONTLINE HOSPITAL, LLC</w:t>
            </w:r>
          </w:p>
        </w:tc>
      </w:tr>
      <w:tr>
        <w:trPr/>
        <w:tc>
          <w:tcPr>
            <w:tcW w:w="4082" w:type="dxa"/>
            <w:gridSpan w:val="3"/>
            <w:tcBorders/>
          </w:tcPr>
          <w:p>
            <w:pPr>
              <w:pStyle w:val="TableContents"/>
              <w:bidi w:val="0"/>
              <w:spacing w:before="0" w:after="283"/>
              <w:jc w:val="left"/>
              <w:rPr/>
            </w:pPr>
            <w:r>
              <w:rPr/>
              <w:t>FRONTLINE RESIDENTIAL TREATMENT CENTER,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Frontline Behavioral Health,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791" w:type="dxa"/>
            <w:tcBorders/>
            <w:vAlign w:val="center"/>
          </w:tcPr>
          <w:p>
            <w:pPr>
              <w:pStyle w:val="TableContents"/>
              <w:bidi w:val="0"/>
              <w:spacing w:before="0" w:after="283"/>
              <w:jc w:val="left"/>
              <w:rPr>
                <w:sz w:val="4"/>
                <w:szCs w:val="4"/>
              </w:rPr>
            </w:pPr>
            <w:r>
              <w:rPr>
                <w:sz w:val="4"/>
                <w:szCs w:val="4"/>
              </w:rPr>
            </w:r>
          </w:p>
        </w:tc>
        <w:tc>
          <w:tcPr>
            <w:tcW w:w="3291" w:type="dxa"/>
            <w:gridSpan w:val="2"/>
            <w:tcBorders/>
            <w:vAlign w:val="center"/>
          </w:tcPr>
          <w:p>
            <w:pPr>
              <w:pStyle w:val="TableContents"/>
              <w:bidi w:val="0"/>
              <w:spacing w:before="0" w:after="283"/>
              <w:jc w:val="left"/>
              <w:rPr>
                <w:sz w:val="4"/>
                <w:szCs w:val="4"/>
              </w:rPr>
            </w:pPr>
            <w:r>
              <w:rPr>
                <w:sz w:val="4"/>
                <w:szCs w:val="4"/>
              </w:rPr>
            </w:r>
          </w:p>
        </w:tc>
      </w:tr>
      <w:tr>
        <w:trPr/>
        <w:tc>
          <w:tcPr>
            <w:tcW w:w="791" w:type="dxa"/>
            <w:tcBorders/>
          </w:tcPr>
          <w:p>
            <w:pPr>
              <w:pStyle w:val="TableContents"/>
              <w:bidi w:val="0"/>
              <w:spacing w:before="0" w:after="283"/>
              <w:jc w:val="left"/>
              <w:rPr/>
            </w:pPr>
            <w:r>
              <w:rPr/>
              <w:t>By:</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3228"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791" w:type="dxa"/>
            <w:tcBorders/>
            <w:vAlign w:val="bottom"/>
          </w:tcPr>
          <w:p>
            <w:pPr>
              <w:pStyle w:val="TableContents"/>
              <w:bidi w:val="0"/>
              <w:spacing w:before="0" w:after="283"/>
              <w:jc w:val="left"/>
              <w:rPr/>
            </w:pPr>
            <w:r>
              <w:rPr/>
              <w:t>Name:</w:t>
            </w:r>
          </w:p>
        </w:tc>
        <w:tc>
          <w:tcPr>
            <w:tcW w:w="63" w:type="dxa"/>
            <w:tcBorders/>
            <w:vAlign w:val="bottom"/>
          </w:tcPr>
          <w:p>
            <w:pPr>
              <w:pStyle w:val="TableContents"/>
              <w:bidi w:val="0"/>
              <w:spacing w:before="0" w:after="283"/>
              <w:jc w:val="left"/>
              <w:rPr/>
            </w:pPr>
            <w:r>
              <w:rPr/>
              <w:t> </w:t>
            </w:r>
          </w:p>
        </w:tc>
        <w:tc>
          <w:tcPr>
            <w:tcW w:w="32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Steve Filton</w:t>
            </w:r>
          </w:p>
        </w:tc>
      </w:tr>
      <w:tr>
        <w:trPr/>
        <w:tc>
          <w:tcPr>
            <w:tcW w:w="791" w:type="dxa"/>
            <w:tcBorders/>
            <w:vAlign w:val="bottom"/>
          </w:tcPr>
          <w:p>
            <w:pPr>
              <w:pStyle w:val="TableContents"/>
              <w:bidi w:val="0"/>
              <w:spacing w:before="0" w:after="283"/>
              <w:jc w:val="left"/>
              <w:rPr/>
            </w:pPr>
            <w:r>
              <w:rPr/>
              <w:t>Title:</w:t>
            </w:r>
          </w:p>
        </w:tc>
        <w:tc>
          <w:tcPr>
            <w:tcW w:w="63" w:type="dxa"/>
            <w:tcBorders/>
            <w:vAlign w:val="bottom"/>
          </w:tcPr>
          <w:p>
            <w:pPr>
              <w:pStyle w:val="TableContents"/>
              <w:bidi w:val="0"/>
              <w:spacing w:before="0" w:after="283"/>
              <w:jc w:val="left"/>
              <w:rPr/>
            </w:pPr>
            <w:r>
              <w:rPr/>
              <w:t> </w:t>
            </w:r>
          </w:p>
        </w:tc>
        <w:tc>
          <w:tcPr>
            <w:tcW w:w="322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KEYS GROUP HOLDINGS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Children Services,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Steve Filton</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KEYSTONE/CCS PARTNERS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Children’s Comprehensive Services, Inc.</w:t>
            </w:r>
          </w:p>
        </w:tc>
      </w:tr>
      <w:tr>
        <w:trPr/>
        <w:tc>
          <w:tcPr>
            <w:tcW w:w="4082" w:type="dxa"/>
            <w:gridSpan w:val="3"/>
            <w:tcBorders/>
          </w:tcPr>
          <w:p>
            <w:pPr>
              <w:pStyle w:val="TableContents"/>
              <w:bidi w:val="0"/>
              <w:spacing w:before="0" w:after="283"/>
              <w:jc w:val="left"/>
              <w:rPr/>
            </w:pPr>
            <w:r>
              <w:rPr/>
              <w:t>Its Minority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KEYS Group Holdings LLC</w:t>
            </w:r>
          </w:p>
        </w:tc>
      </w:tr>
      <w:tr>
        <w:trPr/>
        <w:tc>
          <w:tcPr>
            <w:tcW w:w="4082" w:type="dxa"/>
            <w:gridSpan w:val="3"/>
            <w:tcBorders/>
          </w:tcPr>
          <w:p>
            <w:pPr>
              <w:pStyle w:val="TableContents"/>
              <w:bidi w:val="0"/>
              <w:spacing w:before="0" w:after="283"/>
              <w:jc w:val="left"/>
              <w:rPr/>
            </w:pPr>
            <w:r>
              <w:rPr/>
              <w:t>Its Managing Member and sole member of the minority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UHS Children Services,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4"/>
        <w:gridCol w:w="60"/>
        <w:gridCol w:w="3338"/>
      </w:tblGrid>
      <w:tr>
        <w:trPr/>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KEYSTONE CONTINUUM, LLC</w:t>
            </w:r>
          </w:p>
        </w:tc>
      </w:tr>
      <w:tr>
        <w:trPr/>
        <w:tc>
          <w:tcPr>
            <w:tcW w:w="4082" w:type="dxa"/>
            <w:gridSpan w:val="3"/>
            <w:tcBorders/>
          </w:tcPr>
          <w:p>
            <w:pPr>
              <w:pStyle w:val="TableContents"/>
              <w:bidi w:val="0"/>
              <w:spacing w:before="0" w:after="283"/>
              <w:jc w:val="left"/>
              <w:rPr/>
            </w:pPr>
            <w:r>
              <w:rPr/>
              <w:t>KEYSTONE NPS LLC</w:t>
            </w:r>
          </w:p>
        </w:tc>
      </w:tr>
      <w:tr>
        <w:trPr/>
        <w:tc>
          <w:tcPr>
            <w:tcW w:w="4082" w:type="dxa"/>
            <w:gridSpan w:val="3"/>
            <w:tcBorders/>
          </w:tcPr>
          <w:p>
            <w:pPr>
              <w:pStyle w:val="TableContents"/>
              <w:bidi w:val="0"/>
              <w:spacing w:before="0" w:after="283"/>
              <w:jc w:val="left"/>
              <w:rPr/>
            </w:pPr>
            <w:r>
              <w:rPr/>
              <w:t>KEYSTONE RICHLAND CENTER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Keystone/CCS Partners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Children’s Comprehensive Services,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minority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KEYS Group Holdings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managing member and sole member</w:t>
            </w:r>
          </w:p>
          <w:p>
            <w:pPr>
              <w:pStyle w:val="TableContents"/>
              <w:bidi w:val="0"/>
              <w:spacing w:before="0" w:after="20"/>
              <w:jc w:val="left"/>
              <w:rPr>
                <w:rFonts w:ascii="Times New Roman" w:hAnsi="Times New Roman"/>
                <w:sz w:val="20"/>
              </w:rPr>
            </w:pPr>
            <w:r>
              <w:rPr>
                <w:rFonts w:ascii="Times New Roman" w:hAnsi="Times New Roman"/>
                <w:sz w:val="20"/>
              </w:rPr>
              <w:t>of the minority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UHS Children Services,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8"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84"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8" w:type="dxa"/>
            <w:tcBorders/>
            <w:vAlign w:val="bottom"/>
          </w:tcPr>
          <w:p>
            <w:pPr>
              <w:pStyle w:val="TableContents"/>
              <w:bidi w:val="0"/>
              <w:spacing w:before="0" w:after="283"/>
              <w:jc w:val="left"/>
              <w:rPr/>
            </w:pPr>
            <w:r>
              <w:rPr/>
              <w:t>Steve Filton</w:t>
            </w:r>
          </w:p>
        </w:tc>
      </w:tr>
      <w:tr>
        <w:trPr/>
        <w:tc>
          <w:tcPr>
            <w:tcW w:w="684"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8"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KEYSTONE EDUCATION AND YOUTH SERVICES,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KEYS Group Holdings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UHS Children Services,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3"/>
        <w:gridCol w:w="60"/>
        <w:gridCol w:w="3349"/>
      </w:tblGrid>
      <w:tr>
        <w:trPr/>
        <w:tc>
          <w:tcPr>
            <w:tcW w:w="6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KEYSTONE MARION, LLC</w:t>
            </w:r>
          </w:p>
        </w:tc>
      </w:tr>
      <w:tr>
        <w:trPr/>
        <w:tc>
          <w:tcPr>
            <w:tcW w:w="4082" w:type="dxa"/>
            <w:gridSpan w:val="3"/>
            <w:tcBorders/>
          </w:tcPr>
          <w:p>
            <w:pPr>
              <w:pStyle w:val="TableContents"/>
              <w:bidi w:val="0"/>
              <w:spacing w:before="0" w:after="283"/>
              <w:jc w:val="left"/>
              <w:rPr/>
            </w:pPr>
            <w:r>
              <w:rPr/>
              <w:t>KEYSTONE MEMPHIS, LLC</w:t>
            </w:r>
          </w:p>
        </w:tc>
      </w:tr>
      <w:tr>
        <w:trPr/>
        <w:tc>
          <w:tcPr>
            <w:tcW w:w="4082" w:type="dxa"/>
            <w:gridSpan w:val="3"/>
            <w:tcBorders/>
          </w:tcPr>
          <w:p>
            <w:pPr>
              <w:pStyle w:val="TableContents"/>
              <w:bidi w:val="0"/>
              <w:spacing w:before="0" w:after="283"/>
              <w:jc w:val="left"/>
              <w:rPr/>
            </w:pPr>
            <w:r>
              <w:rPr/>
              <w:t>KEYSTONE NEWPORT NEWS, LLC</w:t>
            </w:r>
          </w:p>
        </w:tc>
      </w:tr>
      <w:tr>
        <w:trPr/>
        <w:tc>
          <w:tcPr>
            <w:tcW w:w="4082" w:type="dxa"/>
            <w:gridSpan w:val="3"/>
            <w:tcBorders/>
          </w:tcPr>
          <w:p>
            <w:pPr>
              <w:pStyle w:val="TableContents"/>
              <w:bidi w:val="0"/>
              <w:spacing w:before="0" w:after="283"/>
              <w:jc w:val="left"/>
              <w:rPr/>
            </w:pPr>
            <w:r>
              <w:rPr/>
              <w:t>KEYSTONE WSNC,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Keystone Education and Youth Services, LLC 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KEYS Group Holdings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UHS Children Services,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3" w:type="dxa"/>
            <w:tcBorders/>
            <w:vAlign w:val="center"/>
          </w:tcPr>
          <w:p>
            <w:pPr>
              <w:pStyle w:val="TableContents"/>
              <w:bidi w:val="0"/>
              <w:spacing w:before="0" w:after="283"/>
              <w:jc w:val="left"/>
              <w:rPr>
                <w:sz w:val="4"/>
                <w:szCs w:val="4"/>
              </w:rPr>
            </w:pPr>
            <w:r>
              <w:rPr>
                <w:sz w:val="4"/>
                <w:szCs w:val="4"/>
              </w:rPr>
            </w:r>
          </w:p>
        </w:tc>
        <w:tc>
          <w:tcPr>
            <w:tcW w:w="3409"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3"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Steve Filton</w:t>
            </w:r>
          </w:p>
        </w:tc>
      </w:tr>
      <w:tr>
        <w:trPr/>
        <w:tc>
          <w:tcPr>
            <w:tcW w:w="673"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MANATEE MEMORIAL HOSPITAL,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Wellington Regional Medical Center,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t>By: Universal Health Services, Inc.,</w:t>
            </w:r>
          </w:p>
        </w:tc>
      </w:tr>
      <w:tr>
        <w:trPr/>
        <w:tc>
          <w:tcPr>
            <w:tcW w:w="4082" w:type="dxa"/>
            <w:gridSpan w:val="3"/>
            <w:tcBorders/>
          </w:tcPr>
          <w:p>
            <w:pPr>
              <w:pStyle w:val="TableContents"/>
              <w:bidi w:val="0"/>
              <w:spacing w:before="0" w:after="283"/>
              <w:jc w:val="left"/>
              <w:rPr/>
            </w:pPr>
            <w:r>
              <w:rPr/>
              <w:t> </w:t>
            </w:r>
            <w:r>
              <w:rPr/>
              <w:t>Its sole member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Steve Filton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Executive Vice President, Secretary and 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MCALLEN HOSPITALS,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McAllen Medical Center, Inc.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PENDLETON METHODIST HOSPITAL,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River Parishes, Inc.</w:t>
            </w:r>
          </w:p>
        </w:tc>
      </w:tr>
      <w:tr>
        <w:trPr/>
        <w:tc>
          <w:tcPr>
            <w:tcW w:w="4082" w:type="dxa"/>
            <w:gridSpan w:val="3"/>
            <w:tcBorders/>
          </w:tcPr>
          <w:p>
            <w:pPr>
              <w:pStyle w:val="TableContents"/>
              <w:bidi w:val="0"/>
              <w:spacing w:before="0" w:after="283"/>
              <w:jc w:val="left"/>
              <w:rPr/>
            </w:pPr>
            <w:r>
              <w:rPr/>
              <w:t>Its managing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GULPH MILLS ASSOCIATES, LLC</w:t>
            </w:r>
          </w:p>
        </w:tc>
      </w:tr>
      <w:tr>
        <w:trPr/>
        <w:tc>
          <w:tcPr>
            <w:tcW w:w="4082" w:type="dxa"/>
            <w:gridSpan w:val="3"/>
            <w:tcBorders/>
          </w:tcPr>
          <w:p>
            <w:pPr>
              <w:pStyle w:val="TableContents"/>
              <w:bidi w:val="0"/>
              <w:spacing w:before="0" w:after="283"/>
              <w:jc w:val="left"/>
              <w:rPr/>
            </w:pPr>
            <w:r>
              <w:rPr/>
              <w:t>TBD ACQUISITION II, LLC</w:t>
            </w:r>
          </w:p>
        </w:tc>
      </w:tr>
      <w:tr>
        <w:trPr/>
        <w:tc>
          <w:tcPr>
            <w:tcW w:w="4082" w:type="dxa"/>
            <w:gridSpan w:val="3"/>
            <w:tcBorders/>
          </w:tcPr>
          <w:p>
            <w:pPr>
              <w:pStyle w:val="TableContents"/>
              <w:bidi w:val="0"/>
              <w:spacing w:before="0" w:after="283"/>
              <w:jc w:val="left"/>
              <w:rPr/>
            </w:pPr>
            <w:r>
              <w:rPr/>
              <w:t>UHS KENTUCKY HOLDINGS, L.L.C.</w:t>
            </w:r>
          </w:p>
        </w:tc>
      </w:tr>
      <w:tr>
        <w:trPr/>
        <w:tc>
          <w:tcPr>
            <w:tcW w:w="4082" w:type="dxa"/>
            <w:gridSpan w:val="3"/>
            <w:tcBorders/>
          </w:tcPr>
          <w:p>
            <w:pPr>
              <w:pStyle w:val="TableContents"/>
              <w:bidi w:val="0"/>
              <w:spacing w:before="0" w:after="283"/>
              <w:jc w:val="left"/>
              <w:rPr/>
            </w:pPr>
            <w:r>
              <w:rPr/>
              <w:t>UHS OF LANCASTER, LLC</w:t>
            </w:r>
          </w:p>
        </w:tc>
      </w:tr>
      <w:tr>
        <w:trPr/>
        <w:tc>
          <w:tcPr>
            <w:tcW w:w="4082" w:type="dxa"/>
            <w:gridSpan w:val="3"/>
            <w:tcBorders/>
          </w:tcPr>
          <w:p>
            <w:pPr>
              <w:pStyle w:val="TableContents"/>
              <w:bidi w:val="0"/>
              <w:spacing w:before="0" w:after="283"/>
              <w:jc w:val="left"/>
              <w:rPr/>
            </w:pPr>
            <w:r>
              <w:rPr/>
              <w:t>UHS OF NEW ORLEANS, LLC</w:t>
            </w:r>
          </w:p>
        </w:tc>
      </w:tr>
      <w:tr>
        <w:trPr/>
        <w:tc>
          <w:tcPr>
            <w:tcW w:w="4082" w:type="dxa"/>
            <w:gridSpan w:val="3"/>
            <w:tcBorders/>
          </w:tcPr>
          <w:p>
            <w:pPr>
              <w:pStyle w:val="TableContents"/>
              <w:bidi w:val="0"/>
              <w:spacing w:before="0" w:after="283"/>
              <w:jc w:val="left"/>
              <w:rPr/>
            </w:pPr>
            <w:r>
              <w:rPr/>
              <w:t>UHS OF OKLAHOMA, LLC</w:t>
            </w:r>
          </w:p>
        </w:tc>
      </w:tr>
      <w:tr>
        <w:trPr/>
        <w:tc>
          <w:tcPr>
            <w:tcW w:w="4082" w:type="dxa"/>
            <w:gridSpan w:val="3"/>
            <w:tcBorders/>
          </w:tcPr>
          <w:p>
            <w:pPr>
              <w:pStyle w:val="TableContents"/>
              <w:bidi w:val="0"/>
              <w:spacing w:before="0" w:after="283"/>
              <w:jc w:val="left"/>
              <w:rPr/>
            </w:pPr>
            <w:r>
              <w:rPr/>
              <w:t>UHSL, L.L.C.</w:t>
            </w:r>
          </w:p>
        </w:tc>
      </w:tr>
      <w:tr>
        <w:trPr/>
        <w:tc>
          <w:tcPr>
            <w:tcW w:w="4082" w:type="dxa"/>
            <w:gridSpan w:val="3"/>
            <w:tcBorders/>
          </w:tcPr>
          <w:p>
            <w:pPr>
              <w:pStyle w:val="TableContents"/>
              <w:bidi w:val="0"/>
              <w:spacing w:before="0" w:after="283"/>
              <w:jc w:val="left"/>
              <w:rPr/>
            </w:pPr>
            <w:r>
              <w:rPr/>
              <w:t>AZ HOLDING 4, LLC</w:t>
            </w:r>
          </w:p>
        </w:tc>
      </w:tr>
      <w:tr>
        <w:trPr/>
        <w:tc>
          <w:tcPr>
            <w:tcW w:w="4082" w:type="dxa"/>
            <w:gridSpan w:val="3"/>
            <w:tcBorders/>
          </w:tcPr>
          <w:p>
            <w:pPr>
              <w:pStyle w:val="TableContents"/>
              <w:bidi w:val="0"/>
              <w:spacing w:before="0" w:after="283"/>
              <w:jc w:val="left"/>
              <w:rPr/>
            </w:pPr>
            <w:r>
              <w:rPr/>
              <w:t>UHS MIDWEST BEHAVIORAL HEALTH, LLC</w:t>
            </w:r>
          </w:p>
        </w:tc>
      </w:tr>
      <w:tr>
        <w:trPr/>
        <w:tc>
          <w:tcPr>
            <w:tcW w:w="4082" w:type="dxa"/>
            <w:gridSpan w:val="3"/>
            <w:tcBorders/>
          </w:tcPr>
          <w:p>
            <w:pPr>
              <w:pStyle w:val="TableContents"/>
              <w:bidi w:val="0"/>
              <w:spacing w:before="0" w:after="283"/>
              <w:jc w:val="left"/>
              <w:rPr/>
            </w:pPr>
            <w:r>
              <w:rPr/>
              <w:t>RIVERSIDE MEDICAL CLINIC PATIENT SERVICES, L.L.C.</w:t>
            </w:r>
          </w:p>
        </w:tc>
      </w:tr>
      <w:tr>
        <w:trPr/>
        <w:tc>
          <w:tcPr>
            <w:tcW w:w="4082" w:type="dxa"/>
            <w:gridSpan w:val="3"/>
            <w:tcBorders/>
          </w:tcPr>
          <w:p>
            <w:pPr>
              <w:pStyle w:val="TableContents"/>
              <w:bidi w:val="0"/>
              <w:spacing w:before="0" w:after="283"/>
              <w:jc w:val="left"/>
              <w:rPr/>
            </w:pPr>
            <w:r>
              <w:rPr/>
              <w:t>PASTEUR HEALTHCARE PROPERTIES, LLC</w:t>
            </w:r>
          </w:p>
        </w:tc>
      </w:tr>
      <w:tr>
        <w:trPr/>
        <w:tc>
          <w:tcPr>
            <w:tcW w:w="4082" w:type="dxa"/>
            <w:gridSpan w:val="3"/>
            <w:tcBorders/>
          </w:tcPr>
          <w:p>
            <w:pPr>
              <w:pStyle w:val="TableContents"/>
              <w:bidi w:val="0"/>
              <w:spacing w:before="0" w:after="283"/>
              <w:jc w:val="left"/>
              <w:rPr/>
            </w:pPr>
            <w:r>
              <w:rPr/>
              <w:t>UHS CAPITOL ACQUISITION,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Delaware,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7"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Steve Filton</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Executive Vice President and 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7"/>
        <w:gridCol w:w="61"/>
        <w:gridCol w:w="3344"/>
      </w:tblGrid>
      <w:tr>
        <w:trPr/>
        <w:tc>
          <w:tcPr>
            <w:tcW w:w="6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ANCHOR, L.P.</w:t>
            </w:r>
          </w:p>
        </w:tc>
      </w:tr>
      <w:tr>
        <w:trPr/>
        <w:tc>
          <w:tcPr>
            <w:tcW w:w="4082" w:type="dxa"/>
            <w:gridSpan w:val="3"/>
            <w:tcBorders/>
          </w:tcPr>
          <w:p>
            <w:pPr>
              <w:pStyle w:val="TableContents"/>
              <w:bidi w:val="0"/>
              <w:spacing w:before="0" w:after="283"/>
              <w:jc w:val="left"/>
              <w:rPr/>
            </w:pPr>
            <w:r>
              <w:rPr/>
              <w:t>UHS OF LAUREL HEIGHTS, L.P.</w:t>
            </w:r>
          </w:p>
        </w:tc>
      </w:tr>
      <w:tr>
        <w:trPr/>
        <w:tc>
          <w:tcPr>
            <w:tcW w:w="4082" w:type="dxa"/>
            <w:gridSpan w:val="3"/>
            <w:tcBorders/>
          </w:tcPr>
          <w:p>
            <w:pPr>
              <w:pStyle w:val="TableContents"/>
              <w:bidi w:val="0"/>
              <w:spacing w:before="0" w:after="283"/>
              <w:jc w:val="left"/>
              <w:rPr/>
            </w:pPr>
            <w:r>
              <w:rPr/>
              <w:t>UHS OF PEACHFORD,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Georgia, Inc.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77" w:type="dxa"/>
            <w:tcBorders/>
            <w:vAlign w:val="center"/>
          </w:tcPr>
          <w:p>
            <w:pPr>
              <w:pStyle w:val="TableContents"/>
              <w:bidi w:val="0"/>
              <w:spacing w:before="0" w:after="283"/>
              <w:jc w:val="left"/>
              <w:rPr>
                <w:sz w:val="4"/>
                <w:szCs w:val="4"/>
              </w:rPr>
            </w:pPr>
            <w:r>
              <w:rPr>
                <w:sz w:val="4"/>
                <w:szCs w:val="4"/>
              </w:rPr>
            </w:r>
          </w:p>
        </w:tc>
        <w:tc>
          <w:tcPr>
            <w:tcW w:w="3405"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4"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7"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Steve Filton</w:t>
            </w:r>
          </w:p>
        </w:tc>
      </w:tr>
      <w:tr>
        <w:trPr/>
        <w:tc>
          <w:tcPr>
            <w:tcW w:w="677"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4"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4"/>
        <w:gridCol w:w="60"/>
        <w:gridCol w:w="3338"/>
      </w:tblGrid>
      <w:tr>
        <w:trPr/>
        <w:tc>
          <w:tcPr>
            <w:tcW w:w="68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CENTENNIAL PEAKS,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Denver,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84" w:type="dxa"/>
            <w:tcBorders/>
            <w:vAlign w:val="center"/>
          </w:tcPr>
          <w:p>
            <w:pPr>
              <w:pStyle w:val="TableContents"/>
              <w:bidi w:val="0"/>
              <w:spacing w:before="0" w:after="283"/>
              <w:jc w:val="left"/>
              <w:rPr>
                <w:sz w:val="4"/>
                <w:szCs w:val="4"/>
              </w:rPr>
            </w:pPr>
            <w:r>
              <w:rPr>
                <w:sz w:val="4"/>
                <w:szCs w:val="4"/>
              </w:rPr>
            </w:r>
          </w:p>
        </w:tc>
        <w:tc>
          <w:tcPr>
            <w:tcW w:w="3398" w:type="dxa"/>
            <w:gridSpan w:val="2"/>
            <w:tcBorders/>
            <w:vAlign w:val="center"/>
          </w:tcPr>
          <w:p>
            <w:pPr>
              <w:pStyle w:val="TableContents"/>
              <w:bidi w:val="0"/>
              <w:spacing w:before="0" w:after="283"/>
              <w:jc w:val="left"/>
              <w:rPr>
                <w:sz w:val="4"/>
                <w:szCs w:val="4"/>
              </w:rPr>
            </w:pPr>
            <w:r>
              <w:rPr>
                <w:sz w:val="4"/>
                <w:szCs w:val="4"/>
              </w:rPr>
            </w:r>
          </w:p>
        </w:tc>
      </w:tr>
      <w:tr>
        <w:trPr/>
        <w:tc>
          <w:tcPr>
            <w:tcW w:w="68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8"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8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8" w:type="dxa"/>
            <w:tcBorders/>
            <w:vAlign w:val="bottom"/>
          </w:tcPr>
          <w:p>
            <w:pPr>
              <w:pStyle w:val="TableContents"/>
              <w:bidi w:val="0"/>
              <w:spacing w:before="0" w:after="283"/>
              <w:jc w:val="left"/>
              <w:rPr/>
            </w:pPr>
            <w:r>
              <w:rPr/>
              <w:t>Steve Filton</w:t>
            </w:r>
          </w:p>
        </w:tc>
      </w:tr>
      <w:tr>
        <w:trPr/>
        <w:tc>
          <w:tcPr>
            <w:tcW w:w="68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8"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DOVER,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Rockford,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t>By: Universal Health Services, Inc.</w:t>
            </w:r>
          </w:p>
        </w:tc>
      </w:tr>
      <w:tr>
        <w:trPr/>
        <w:tc>
          <w:tcPr>
            <w:tcW w:w="4082" w:type="dxa"/>
            <w:gridSpan w:val="3"/>
            <w:tcBorders/>
          </w:tcPr>
          <w:p>
            <w:pPr>
              <w:pStyle w:val="TableContents"/>
              <w:bidi w:val="0"/>
              <w:spacing w:before="0" w:after="283"/>
              <w:jc w:val="left"/>
              <w:rPr/>
            </w:pPr>
            <w:r>
              <w:rPr/>
              <w:t> </w:t>
            </w:r>
            <w:r>
              <w:rPr/>
              <w:t>Its sole member</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9"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Steve Filton</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vAlign w:val="bottom"/>
          </w:tcPr>
          <w:p>
            <w:pPr>
              <w:pStyle w:val="TableContents"/>
              <w:bidi w:val="0"/>
              <w:spacing w:before="0" w:after="283"/>
              <w:jc w:val="left"/>
              <w:rPr/>
            </w:pPr>
            <w:r>
              <w:rPr/>
              <w:t>Executive Vice President, Secretary and 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DOYLESTOWN,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Pennsylvania,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6"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Steve Filton</w:t>
            </w:r>
          </w:p>
        </w:tc>
      </w:tr>
      <w:tr>
        <w:trPr/>
        <w:tc>
          <w:tcPr>
            <w:tcW w:w="6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SALT LAKE CITY,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Provo Canyon,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SAVANNAH,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Georgia Holdings,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OKLAHOMA CITY LLC</w:t>
            </w:r>
          </w:p>
        </w:tc>
      </w:tr>
      <w:tr>
        <w:trPr/>
        <w:tc>
          <w:tcPr>
            <w:tcW w:w="4082" w:type="dxa"/>
            <w:gridSpan w:val="3"/>
            <w:tcBorders/>
          </w:tcPr>
          <w:p>
            <w:pPr>
              <w:pStyle w:val="TableContents"/>
              <w:bidi w:val="0"/>
              <w:spacing w:before="0" w:after="283"/>
              <w:jc w:val="left"/>
              <w:rPr/>
            </w:pPr>
            <w:r>
              <w:rPr/>
              <w:t>UHS OF SPRINGWOODS,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New Orleans,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t>By: UHS of Delaware, Inc.</w:t>
            </w:r>
          </w:p>
        </w:tc>
      </w:tr>
      <w:tr>
        <w:trPr/>
        <w:tc>
          <w:tcPr>
            <w:tcW w:w="4082" w:type="dxa"/>
            <w:gridSpan w:val="3"/>
            <w:tcBorders/>
          </w:tcPr>
          <w:p>
            <w:pPr>
              <w:pStyle w:val="TableContents"/>
              <w:bidi w:val="0"/>
              <w:spacing w:before="0" w:after="283"/>
              <w:jc w:val="left"/>
              <w:rPr/>
            </w:pPr>
            <w:r>
              <w:rPr/>
              <w:t> </w:t>
            </w:r>
            <w:r>
              <w:rPr/>
              <w:t>Its sole member</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7"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Steve Filton</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Executive Vice President and Chief Financial Officer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SUMMITRIDGE,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Peachford, L.P.</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t>By: UHS of Georgia, Inc.</w:t>
            </w:r>
          </w:p>
        </w:tc>
      </w:tr>
      <w:tr>
        <w:trPr/>
        <w:tc>
          <w:tcPr>
            <w:tcW w:w="4082" w:type="dxa"/>
            <w:gridSpan w:val="3"/>
            <w:tcBorders/>
          </w:tcPr>
          <w:p>
            <w:pPr>
              <w:pStyle w:val="TableContents"/>
              <w:bidi w:val="0"/>
              <w:spacing w:before="0" w:after="283"/>
              <w:jc w:val="left"/>
              <w:rPr/>
            </w:pPr>
            <w:r>
              <w:rPr/>
              <w:t> </w:t>
            </w:r>
            <w:r>
              <w:rPr/>
              <w:t>Its general partner</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6"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Steve Filton</w:t>
            </w:r>
          </w:p>
        </w:tc>
      </w:tr>
      <w:tr>
        <w:trPr/>
        <w:tc>
          <w:tcPr>
            <w:tcW w:w="6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PSYCHIATRIC SOLUTIONS HOSPITALS,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Psychiatric Solutions,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Steve Filton</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87"/>
        <w:gridCol w:w="62"/>
        <w:gridCol w:w="3233"/>
      </w:tblGrid>
      <w:tr>
        <w:trPr/>
        <w:tc>
          <w:tcPr>
            <w:tcW w:w="787"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DIAMOND GROVE CENTER, LLC</w:t>
            </w:r>
          </w:p>
        </w:tc>
      </w:tr>
      <w:tr>
        <w:trPr/>
        <w:tc>
          <w:tcPr>
            <w:tcW w:w="4082" w:type="dxa"/>
            <w:gridSpan w:val="3"/>
            <w:tcBorders/>
          </w:tcPr>
          <w:p>
            <w:pPr>
              <w:pStyle w:val="TableContents"/>
              <w:bidi w:val="0"/>
              <w:spacing w:before="0" w:after="283"/>
              <w:jc w:val="left"/>
              <w:rPr/>
            </w:pPr>
            <w:r>
              <w:rPr/>
              <w:t>KMI ACQUISITION, LLC</w:t>
            </w:r>
          </w:p>
        </w:tc>
      </w:tr>
      <w:tr>
        <w:trPr/>
        <w:tc>
          <w:tcPr>
            <w:tcW w:w="4082" w:type="dxa"/>
            <w:gridSpan w:val="3"/>
            <w:tcBorders/>
          </w:tcPr>
          <w:p>
            <w:pPr>
              <w:pStyle w:val="TableContents"/>
              <w:bidi w:val="0"/>
              <w:spacing w:before="0" w:after="283"/>
              <w:jc w:val="left"/>
              <w:rPr/>
            </w:pPr>
            <w:r>
              <w:rPr/>
              <w:t>LIBERTY POINT BEHAVIORAL HEALTHCARE, LLC</w:t>
            </w:r>
          </w:p>
        </w:tc>
      </w:tr>
      <w:tr>
        <w:trPr/>
        <w:tc>
          <w:tcPr>
            <w:tcW w:w="4082" w:type="dxa"/>
            <w:gridSpan w:val="3"/>
            <w:tcBorders/>
          </w:tcPr>
          <w:p>
            <w:pPr>
              <w:pStyle w:val="TableContents"/>
              <w:bidi w:val="0"/>
              <w:spacing w:before="0" w:after="283"/>
              <w:jc w:val="left"/>
              <w:rPr/>
            </w:pPr>
            <w:r>
              <w:rPr/>
              <w:t>PSJ ACQUISITION, LLC</w:t>
            </w:r>
          </w:p>
        </w:tc>
      </w:tr>
      <w:tr>
        <w:trPr/>
        <w:tc>
          <w:tcPr>
            <w:tcW w:w="4082" w:type="dxa"/>
            <w:gridSpan w:val="3"/>
            <w:tcBorders/>
          </w:tcPr>
          <w:p>
            <w:pPr>
              <w:pStyle w:val="TableContents"/>
              <w:bidi w:val="0"/>
              <w:spacing w:before="0" w:after="283"/>
              <w:jc w:val="left"/>
              <w:rPr/>
            </w:pPr>
            <w:r>
              <w:rPr/>
              <w:t>SHADOW MOUNTAIN BEHAVIORAL HEALTH SYSTEM, LLC</w:t>
            </w:r>
          </w:p>
        </w:tc>
      </w:tr>
      <w:tr>
        <w:trPr/>
        <w:tc>
          <w:tcPr>
            <w:tcW w:w="4082" w:type="dxa"/>
            <w:gridSpan w:val="3"/>
            <w:tcBorders/>
          </w:tcPr>
          <w:p>
            <w:pPr>
              <w:pStyle w:val="TableContents"/>
              <w:bidi w:val="0"/>
              <w:spacing w:before="0" w:after="283"/>
              <w:jc w:val="left"/>
              <w:rPr/>
            </w:pPr>
            <w:r>
              <w:rPr/>
              <w:t>SUNSTONE BEHAVIORAL HEALTH, LLC</w:t>
            </w:r>
          </w:p>
        </w:tc>
      </w:tr>
      <w:tr>
        <w:trPr/>
        <w:tc>
          <w:tcPr>
            <w:tcW w:w="4082" w:type="dxa"/>
            <w:gridSpan w:val="3"/>
            <w:tcBorders/>
          </w:tcPr>
          <w:p>
            <w:pPr>
              <w:pStyle w:val="TableContents"/>
              <w:bidi w:val="0"/>
              <w:spacing w:before="0" w:after="283"/>
              <w:jc w:val="left"/>
              <w:rPr/>
            </w:pPr>
            <w:r>
              <w:rPr/>
              <w:t>TBD ACQUISITION,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Psychiatric Solutions Hospitals,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t>By: Psychiatric Solutions, Inc.</w:t>
            </w:r>
          </w:p>
        </w:tc>
      </w:tr>
      <w:tr>
        <w:trPr/>
        <w:tc>
          <w:tcPr>
            <w:tcW w:w="4082" w:type="dxa"/>
            <w:gridSpan w:val="3"/>
            <w:tcBorders/>
          </w:tcPr>
          <w:p>
            <w:pPr>
              <w:pStyle w:val="TableContents"/>
              <w:bidi w:val="0"/>
              <w:spacing w:before="0" w:after="283"/>
              <w:jc w:val="left"/>
              <w:rPr/>
            </w:pPr>
            <w:r>
              <w:rPr/>
              <w:t> </w:t>
            </w:r>
            <w:r>
              <w:rPr/>
              <w:t>Its Sole Member</w:t>
            </w:r>
          </w:p>
        </w:tc>
      </w:tr>
      <w:tr>
        <w:trPr>
          <w:trHeight w:val="240" w:hRule="atLeast"/>
        </w:trPr>
        <w:tc>
          <w:tcPr>
            <w:tcW w:w="787" w:type="dxa"/>
            <w:tcBorders/>
            <w:vAlign w:val="center"/>
          </w:tcPr>
          <w:p>
            <w:pPr>
              <w:pStyle w:val="TableContents"/>
              <w:bidi w:val="0"/>
              <w:spacing w:before="0" w:after="283"/>
              <w:jc w:val="left"/>
              <w:rPr>
                <w:sz w:val="4"/>
                <w:szCs w:val="4"/>
              </w:rPr>
            </w:pPr>
            <w:r>
              <w:rPr>
                <w:sz w:val="4"/>
                <w:szCs w:val="4"/>
              </w:rPr>
            </w:r>
          </w:p>
        </w:tc>
        <w:tc>
          <w:tcPr>
            <w:tcW w:w="3295" w:type="dxa"/>
            <w:gridSpan w:val="2"/>
            <w:tcBorders/>
            <w:vAlign w:val="center"/>
          </w:tcPr>
          <w:p>
            <w:pPr>
              <w:pStyle w:val="TableContents"/>
              <w:bidi w:val="0"/>
              <w:spacing w:before="0" w:after="283"/>
              <w:jc w:val="left"/>
              <w:rPr>
                <w:sz w:val="4"/>
                <w:szCs w:val="4"/>
              </w:rPr>
            </w:pPr>
            <w:r>
              <w:rPr>
                <w:sz w:val="4"/>
                <w:szCs w:val="4"/>
              </w:rPr>
            </w:r>
          </w:p>
        </w:tc>
      </w:tr>
      <w:tr>
        <w:trPr/>
        <w:tc>
          <w:tcPr>
            <w:tcW w:w="787" w:type="dxa"/>
            <w:tcBorders/>
          </w:tcPr>
          <w:p>
            <w:pPr>
              <w:pStyle w:val="TableContents"/>
              <w:bidi w:val="0"/>
              <w:spacing w:before="0" w:after="283"/>
              <w:jc w:val="left"/>
              <w:rPr/>
            </w:pPr>
            <w:r>
              <w:rPr/>
              <w:t>By:</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c>
          <w:tcPr>
            <w:tcW w:w="323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787" w:type="dxa"/>
            <w:tcBorders/>
          </w:tcPr>
          <w:p>
            <w:pPr>
              <w:pStyle w:val="TableContents"/>
              <w:bidi w:val="0"/>
              <w:spacing w:before="0" w:after="283"/>
              <w:jc w:val="left"/>
              <w:rPr/>
            </w:pPr>
            <w:r>
              <w:rPr/>
              <w:t>Name:</w:t>
            </w:r>
          </w:p>
        </w:tc>
        <w:tc>
          <w:tcPr>
            <w:tcW w:w="62" w:type="dxa"/>
            <w:tcBorders/>
            <w:vAlign w:val="bottom"/>
          </w:tcPr>
          <w:p>
            <w:pPr>
              <w:pStyle w:val="TableContents"/>
              <w:bidi w:val="0"/>
              <w:spacing w:before="0" w:after="283"/>
              <w:jc w:val="left"/>
              <w:rPr/>
            </w:pPr>
            <w:r>
              <w:rPr/>
              <w:t> </w:t>
            </w:r>
          </w:p>
        </w:tc>
        <w:tc>
          <w:tcPr>
            <w:tcW w:w="3233" w:type="dxa"/>
            <w:tcBorders/>
            <w:vAlign w:val="bottom"/>
          </w:tcPr>
          <w:p>
            <w:pPr>
              <w:pStyle w:val="TableContents"/>
              <w:bidi w:val="0"/>
              <w:spacing w:before="0" w:after="283"/>
              <w:jc w:val="left"/>
              <w:rPr/>
            </w:pPr>
            <w:r>
              <w:rPr/>
              <w:t>Steve Filton</w:t>
            </w:r>
          </w:p>
        </w:tc>
      </w:tr>
      <w:tr>
        <w:trPr/>
        <w:tc>
          <w:tcPr>
            <w:tcW w:w="787" w:type="dxa"/>
            <w:tcBorders/>
          </w:tcPr>
          <w:p>
            <w:pPr>
              <w:pStyle w:val="TableContents"/>
              <w:bidi w:val="0"/>
              <w:spacing w:before="0" w:after="283"/>
              <w:jc w:val="left"/>
              <w:rPr/>
            </w:pPr>
            <w:r>
              <w:rPr/>
              <w:t>Title:</w:t>
            </w:r>
          </w:p>
        </w:tc>
        <w:tc>
          <w:tcPr>
            <w:tcW w:w="62" w:type="dxa"/>
            <w:tcBorders/>
            <w:vAlign w:val="bottom"/>
          </w:tcPr>
          <w:p>
            <w:pPr>
              <w:pStyle w:val="TableContents"/>
              <w:bidi w:val="0"/>
              <w:spacing w:before="0" w:after="283"/>
              <w:jc w:val="left"/>
              <w:rPr/>
            </w:pPr>
            <w:r>
              <w:rPr/>
              <w:t> </w:t>
            </w:r>
          </w:p>
        </w:tc>
        <w:tc>
          <w:tcPr>
            <w:tcW w:w="3233"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30"/>
        <w:gridCol w:w="60"/>
        <w:gridCol w:w="3292"/>
      </w:tblGrid>
      <w:tr>
        <w:trPr/>
        <w:tc>
          <w:tcPr>
            <w:tcW w:w="73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ATLANTIC SHORES HOSPITAL, LLC</w:t>
            </w:r>
          </w:p>
        </w:tc>
      </w:tr>
      <w:tr>
        <w:trPr/>
        <w:tc>
          <w:tcPr>
            <w:tcW w:w="4082" w:type="dxa"/>
            <w:gridSpan w:val="3"/>
            <w:tcBorders/>
          </w:tcPr>
          <w:p>
            <w:pPr>
              <w:pStyle w:val="TableContents"/>
              <w:bidi w:val="0"/>
              <w:spacing w:before="0" w:after="283"/>
              <w:jc w:val="left"/>
              <w:rPr/>
            </w:pPr>
            <w:r>
              <w:rPr/>
              <w:t>EMERALD COAST BEHAVIORAL HOSPITAL, LLC</w:t>
            </w:r>
          </w:p>
        </w:tc>
      </w:tr>
      <w:tr>
        <w:trPr/>
        <w:tc>
          <w:tcPr>
            <w:tcW w:w="4082" w:type="dxa"/>
            <w:gridSpan w:val="3"/>
            <w:tcBorders/>
          </w:tcPr>
          <w:p>
            <w:pPr>
              <w:pStyle w:val="TableContents"/>
              <w:bidi w:val="0"/>
              <w:spacing w:before="0" w:after="283"/>
              <w:jc w:val="left"/>
              <w:rPr/>
            </w:pPr>
            <w:r>
              <w:rPr/>
              <w:t>OCALA BEHAVIORAL HEALTH, LLC</w:t>
            </w:r>
          </w:p>
        </w:tc>
      </w:tr>
      <w:tr>
        <w:trPr/>
        <w:tc>
          <w:tcPr>
            <w:tcW w:w="4082" w:type="dxa"/>
            <w:gridSpan w:val="3"/>
            <w:tcBorders/>
          </w:tcPr>
          <w:p>
            <w:pPr>
              <w:pStyle w:val="TableContents"/>
              <w:bidi w:val="0"/>
              <w:spacing w:before="0" w:after="283"/>
              <w:jc w:val="left"/>
              <w:rPr/>
            </w:pPr>
            <w:r>
              <w:rPr/>
              <w:t>PALMETTO BEHAVIORAL HEALTH HOLDINGS, LLC</w:t>
            </w:r>
          </w:p>
        </w:tc>
      </w:tr>
      <w:tr>
        <w:trPr/>
        <w:tc>
          <w:tcPr>
            <w:tcW w:w="4082" w:type="dxa"/>
            <w:gridSpan w:val="3"/>
            <w:tcBorders/>
          </w:tcPr>
          <w:p>
            <w:pPr>
              <w:pStyle w:val="TableContents"/>
              <w:bidi w:val="0"/>
              <w:spacing w:before="0" w:after="283"/>
              <w:jc w:val="left"/>
              <w:rPr/>
            </w:pPr>
            <w:r>
              <w:rPr/>
              <w:t>RAMSAY MANAGED CARE, LLC</w:t>
            </w:r>
          </w:p>
        </w:tc>
      </w:tr>
      <w:tr>
        <w:trPr/>
        <w:tc>
          <w:tcPr>
            <w:tcW w:w="4082" w:type="dxa"/>
            <w:gridSpan w:val="3"/>
            <w:tcBorders/>
          </w:tcPr>
          <w:p>
            <w:pPr>
              <w:pStyle w:val="TableContents"/>
              <w:bidi w:val="0"/>
              <w:spacing w:before="0" w:after="283"/>
              <w:jc w:val="left"/>
              <w:rPr/>
            </w:pPr>
            <w:r>
              <w:rPr/>
              <w:t>SAMSON PROPERTIES, LLC</w:t>
            </w:r>
          </w:p>
        </w:tc>
      </w:tr>
      <w:tr>
        <w:trPr/>
        <w:tc>
          <w:tcPr>
            <w:tcW w:w="4082" w:type="dxa"/>
            <w:gridSpan w:val="3"/>
            <w:tcBorders/>
          </w:tcPr>
          <w:p>
            <w:pPr>
              <w:pStyle w:val="TableContents"/>
              <w:bidi w:val="0"/>
              <w:spacing w:before="0" w:after="283"/>
              <w:jc w:val="left"/>
              <w:rPr/>
            </w:pPr>
            <w:r>
              <w:rPr/>
              <w:t>TBJ BEHAVIORAL CENTER, LLC</w:t>
            </w:r>
          </w:p>
        </w:tc>
      </w:tr>
      <w:tr>
        <w:trPr/>
        <w:tc>
          <w:tcPr>
            <w:tcW w:w="4082" w:type="dxa"/>
            <w:gridSpan w:val="3"/>
            <w:tcBorders/>
          </w:tcPr>
          <w:p>
            <w:pPr>
              <w:pStyle w:val="TableContents"/>
              <w:bidi w:val="0"/>
              <w:spacing w:before="0" w:after="283"/>
              <w:jc w:val="left"/>
              <w:rPr/>
            </w:pPr>
            <w:r>
              <w:rPr/>
              <w:t>THREE RIVERS HEALTHCARE GROUP, LLC</w:t>
            </w:r>
          </w:p>
        </w:tc>
      </w:tr>
      <w:tr>
        <w:trPr/>
        <w:tc>
          <w:tcPr>
            <w:tcW w:w="4082" w:type="dxa"/>
            <w:gridSpan w:val="3"/>
            <w:tcBorders/>
          </w:tcPr>
          <w:p>
            <w:pPr>
              <w:pStyle w:val="TableContents"/>
              <w:bidi w:val="0"/>
              <w:spacing w:before="0" w:after="283"/>
              <w:jc w:val="left"/>
              <w:rPr/>
            </w:pPr>
            <w:r>
              <w:rPr/>
              <w:t>WEKIVA SPRINGS CENTER, LLC</w:t>
            </w:r>
          </w:p>
        </w:tc>
      </w:tr>
      <w:tr>
        <w:trPr/>
        <w:tc>
          <w:tcPr>
            <w:tcW w:w="4082" w:type="dxa"/>
            <w:gridSpan w:val="3"/>
            <w:tcBorders/>
          </w:tcPr>
          <w:p>
            <w:pPr>
              <w:pStyle w:val="TableContents"/>
              <w:bidi w:val="0"/>
              <w:spacing w:before="0" w:after="283"/>
              <w:jc w:val="left"/>
              <w:rPr/>
            </w:pPr>
            <w:r>
              <w:rPr/>
              <w:t>ZEUS ENDEAVORS,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Premier Behavioral Solutions,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730" w:type="dxa"/>
            <w:tcBorders/>
            <w:vAlign w:val="center"/>
          </w:tcPr>
          <w:p>
            <w:pPr>
              <w:pStyle w:val="TableContents"/>
              <w:bidi w:val="0"/>
              <w:spacing w:before="0" w:after="283"/>
              <w:jc w:val="left"/>
              <w:rPr>
                <w:sz w:val="4"/>
                <w:szCs w:val="4"/>
              </w:rPr>
            </w:pPr>
            <w:r>
              <w:rPr>
                <w:sz w:val="4"/>
                <w:szCs w:val="4"/>
              </w:rPr>
            </w:r>
          </w:p>
        </w:tc>
        <w:tc>
          <w:tcPr>
            <w:tcW w:w="3352" w:type="dxa"/>
            <w:gridSpan w:val="2"/>
            <w:tcBorders/>
            <w:vAlign w:val="center"/>
          </w:tcPr>
          <w:p>
            <w:pPr>
              <w:pStyle w:val="TableContents"/>
              <w:bidi w:val="0"/>
              <w:spacing w:before="0" w:after="283"/>
              <w:jc w:val="left"/>
              <w:rPr>
                <w:sz w:val="4"/>
                <w:szCs w:val="4"/>
              </w:rPr>
            </w:pPr>
            <w:r>
              <w:rPr>
                <w:sz w:val="4"/>
                <w:szCs w:val="4"/>
              </w:rPr>
            </w:r>
          </w:p>
        </w:tc>
      </w:tr>
      <w:tr>
        <w:trPr/>
        <w:tc>
          <w:tcPr>
            <w:tcW w:w="73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92"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73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292" w:type="dxa"/>
            <w:tcBorders/>
            <w:vAlign w:val="bottom"/>
          </w:tcPr>
          <w:p>
            <w:pPr>
              <w:pStyle w:val="TableContents"/>
              <w:bidi w:val="0"/>
              <w:spacing w:before="0" w:after="283"/>
              <w:jc w:val="left"/>
              <w:rPr/>
            </w:pPr>
            <w:r>
              <w:rPr/>
              <w:t>Steve Filton</w:t>
            </w:r>
          </w:p>
        </w:tc>
      </w:tr>
      <w:tr>
        <w:trPr/>
        <w:tc>
          <w:tcPr>
            <w:tcW w:w="73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92"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PALMETTO BEHAVIORAL HEALTH SYSTEM,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Palmetto Behavioral Health Holdings,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t>By: Premier Behavioral Solutions, Inc.</w:t>
            </w:r>
          </w:p>
        </w:tc>
      </w:tr>
      <w:tr>
        <w:trPr/>
        <w:tc>
          <w:tcPr>
            <w:tcW w:w="4082" w:type="dxa"/>
            <w:gridSpan w:val="3"/>
            <w:tcBorders/>
          </w:tcPr>
          <w:p>
            <w:pPr>
              <w:pStyle w:val="TableContents"/>
              <w:bidi w:val="0"/>
              <w:spacing w:before="0" w:after="283"/>
              <w:jc w:val="left"/>
              <w:rPr/>
            </w:pPr>
            <w:r>
              <w:rPr/>
              <w:t> </w:t>
            </w:r>
            <w:r>
              <w:rPr/>
              <w:t>Its Sole Member</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Steve Filton</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3"/>
        <w:gridCol w:w="60"/>
        <w:gridCol w:w="3329"/>
      </w:tblGrid>
      <w:tr>
        <w:trPr/>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PALMETTO LOWCOUNTRY BEHAVIORAL HEALTH,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Palmetto Behavioral Health System,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t>By: Palmetto Behavioral Health Holdings, LLC</w:t>
            </w:r>
          </w:p>
        </w:tc>
      </w:tr>
      <w:tr>
        <w:trPr/>
        <w:tc>
          <w:tcPr>
            <w:tcW w:w="4082" w:type="dxa"/>
            <w:gridSpan w:val="3"/>
            <w:tcBorders/>
          </w:tcPr>
          <w:p>
            <w:pPr>
              <w:pStyle w:val="TableContents"/>
              <w:bidi w:val="0"/>
              <w:spacing w:before="0" w:after="283"/>
              <w:jc w:val="left"/>
              <w:rPr/>
            </w:pPr>
            <w:r>
              <w:rPr/>
              <w:t> </w:t>
            </w: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t>By: Premier Behavioral Solutions, Inc.</w:t>
            </w:r>
          </w:p>
        </w:tc>
      </w:tr>
      <w:tr>
        <w:trPr/>
        <w:tc>
          <w:tcPr>
            <w:tcW w:w="4082" w:type="dxa"/>
            <w:gridSpan w:val="3"/>
            <w:tcBorders/>
          </w:tcPr>
          <w:p>
            <w:pPr>
              <w:pStyle w:val="TableContents"/>
              <w:bidi w:val="0"/>
              <w:spacing w:before="0" w:after="283"/>
              <w:jc w:val="left"/>
              <w:rPr/>
            </w:pPr>
            <w:r>
              <w:rPr/>
              <w:t>  </w:t>
            </w:r>
            <w:r>
              <w:rPr/>
              <w:t>Its Sole Member</w:t>
            </w:r>
          </w:p>
        </w:tc>
      </w:tr>
      <w:tr>
        <w:trPr>
          <w:trHeight w:val="240" w:hRule="atLeast"/>
        </w:trPr>
        <w:tc>
          <w:tcPr>
            <w:tcW w:w="693" w:type="dxa"/>
            <w:tcBorders/>
            <w:vAlign w:val="center"/>
          </w:tcPr>
          <w:p>
            <w:pPr>
              <w:pStyle w:val="TableContents"/>
              <w:bidi w:val="0"/>
              <w:spacing w:before="0" w:after="283"/>
              <w:jc w:val="left"/>
              <w:rPr>
                <w:sz w:val="4"/>
                <w:szCs w:val="4"/>
              </w:rPr>
            </w:pPr>
            <w:r>
              <w:rPr>
                <w:sz w:val="4"/>
                <w:szCs w:val="4"/>
              </w:rPr>
            </w:r>
          </w:p>
        </w:tc>
        <w:tc>
          <w:tcPr>
            <w:tcW w:w="3389" w:type="dxa"/>
            <w:gridSpan w:val="2"/>
            <w:tcBorders/>
            <w:vAlign w:val="center"/>
          </w:tcPr>
          <w:p>
            <w:pPr>
              <w:pStyle w:val="TableContents"/>
              <w:bidi w:val="0"/>
              <w:spacing w:before="0" w:after="283"/>
              <w:jc w:val="left"/>
              <w:rPr>
                <w:sz w:val="4"/>
                <w:szCs w:val="4"/>
              </w:rPr>
            </w:pPr>
            <w:r>
              <w:rPr>
                <w:sz w:val="4"/>
                <w:szCs w:val="4"/>
              </w:rPr>
            </w:r>
          </w:p>
        </w:tc>
      </w:tr>
      <w:tr>
        <w:trPr/>
        <w:tc>
          <w:tcPr>
            <w:tcW w:w="693"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9"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pPr>
            <w:r>
              <w:rPr/>
              <w:t>Steve Filton</w:t>
            </w:r>
          </w:p>
        </w:tc>
      </w:tr>
      <w:tr>
        <w:trPr/>
        <w:tc>
          <w:tcPr>
            <w:tcW w:w="6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9"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8"/>
        <w:gridCol w:w="60"/>
        <w:gridCol w:w="3334"/>
      </w:tblGrid>
      <w:tr>
        <w:trPr/>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SP BEHAVIORAL, LLC</w:t>
            </w:r>
          </w:p>
        </w:tc>
      </w:tr>
      <w:tr>
        <w:trPr/>
        <w:tc>
          <w:tcPr>
            <w:tcW w:w="4082" w:type="dxa"/>
            <w:gridSpan w:val="3"/>
            <w:tcBorders/>
          </w:tcPr>
          <w:p>
            <w:pPr>
              <w:pStyle w:val="TableContents"/>
              <w:bidi w:val="0"/>
              <w:spacing w:before="0" w:after="283"/>
              <w:jc w:val="left"/>
              <w:rPr/>
            </w:pPr>
            <w:r>
              <w:rPr/>
              <w:t>UNIVERSITY BEHAVIORAL,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Ramsay Managed Care,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t>By: Premier Behavioral Solutions, Inc.</w:t>
            </w:r>
          </w:p>
        </w:tc>
      </w:tr>
      <w:tr>
        <w:trPr/>
        <w:tc>
          <w:tcPr>
            <w:tcW w:w="4082" w:type="dxa"/>
            <w:gridSpan w:val="3"/>
            <w:tcBorders/>
          </w:tcPr>
          <w:p>
            <w:pPr>
              <w:pStyle w:val="TableContents"/>
              <w:bidi w:val="0"/>
              <w:spacing w:before="0" w:after="283"/>
              <w:jc w:val="left"/>
              <w:rPr/>
            </w:pPr>
            <w:r>
              <w:rPr/>
              <w:t> </w:t>
            </w:r>
            <w:r>
              <w:rPr/>
              <w:t>Its Sole Member</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4"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8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4" w:type="dxa"/>
            <w:tcBorders/>
            <w:vAlign w:val="bottom"/>
          </w:tcPr>
          <w:p>
            <w:pPr>
              <w:pStyle w:val="TableContents"/>
              <w:bidi w:val="0"/>
              <w:spacing w:before="0" w:after="283"/>
              <w:jc w:val="left"/>
              <w:rPr/>
            </w:pPr>
            <w:r>
              <w:rPr/>
              <w:t>Steve Filton</w:t>
            </w:r>
          </w:p>
        </w:tc>
      </w:tr>
      <w:tr>
        <w:trPr/>
        <w:tc>
          <w:tcPr>
            <w:tcW w:w="68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4"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THREE RIVERS BEHAVIORAL HEALTH,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Three Rivers Healthcare Group,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Premier Behavioral Solutions,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3"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Steve Filton</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NATIONAL DEAF ACADEMY,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Zeus Endeavors,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r>
              <w:rPr/>
              <w:t>By: Premier Behavioral Solutions, Inc.</w:t>
            </w:r>
          </w:p>
        </w:tc>
      </w:tr>
      <w:tr>
        <w:trPr/>
        <w:tc>
          <w:tcPr>
            <w:tcW w:w="4082" w:type="dxa"/>
            <w:gridSpan w:val="3"/>
            <w:tcBorders/>
          </w:tcPr>
          <w:p>
            <w:pPr>
              <w:pStyle w:val="TableContents"/>
              <w:bidi w:val="0"/>
              <w:spacing w:before="0" w:after="283"/>
              <w:jc w:val="left"/>
              <w:rPr/>
            </w:pPr>
            <w:r>
              <w:rPr/>
              <w:t> </w:t>
            </w: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32"/>
        <w:gridCol w:w="61"/>
        <w:gridCol w:w="3389"/>
      </w:tblGrid>
      <w:tr>
        <w:trPr/>
        <w:tc>
          <w:tcPr>
            <w:tcW w:w="63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8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WILLOW SPRINGS,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By: BHC Health Services of Nevada, Inc.</w:t>
            </w:r>
          </w:p>
          <w:p>
            <w:pPr>
              <w:pStyle w:val="TableContents"/>
              <w:bidi w:val="0"/>
              <w:spacing w:before="0" w:after="20"/>
              <w:jc w:val="left"/>
              <w:rPr>
                <w:rFonts w:ascii="Times New Roman" w:hAnsi="Times New Roman"/>
                <w:sz w:val="20"/>
              </w:rPr>
            </w:pPr>
            <w:r>
              <w:rPr>
                <w:rFonts w:ascii="Times New Roman" w:hAnsi="Times New Roman"/>
                <w:sz w:val="20"/>
              </w:rPr>
              <w:t>Its Sole Member</w:t>
            </w:r>
          </w:p>
        </w:tc>
      </w:tr>
      <w:tr>
        <w:trPr>
          <w:trHeight w:val="240" w:hRule="atLeast"/>
        </w:trPr>
        <w:tc>
          <w:tcPr>
            <w:tcW w:w="632" w:type="dxa"/>
            <w:tcBorders/>
            <w:vAlign w:val="center"/>
          </w:tcPr>
          <w:p>
            <w:pPr>
              <w:pStyle w:val="TableContents"/>
              <w:bidi w:val="0"/>
              <w:spacing w:before="0" w:after="283"/>
              <w:jc w:val="left"/>
              <w:rPr>
                <w:sz w:val="4"/>
                <w:szCs w:val="4"/>
              </w:rPr>
            </w:pPr>
            <w:r>
              <w:rPr>
                <w:sz w:val="4"/>
                <w:szCs w:val="4"/>
              </w:rPr>
            </w:r>
          </w:p>
        </w:tc>
        <w:tc>
          <w:tcPr>
            <w:tcW w:w="3450" w:type="dxa"/>
            <w:gridSpan w:val="2"/>
            <w:tcBorders/>
            <w:vAlign w:val="center"/>
          </w:tcPr>
          <w:p>
            <w:pPr>
              <w:pStyle w:val="TableContents"/>
              <w:bidi w:val="0"/>
              <w:spacing w:before="0" w:after="283"/>
              <w:jc w:val="left"/>
              <w:rPr>
                <w:sz w:val="4"/>
                <w:szCs w:val="4"/>
              </w:rPr>
            </w:pPr>
            <w:r>
              <w:rPr>
                <w:sz w:val="4"/>
                <w:szCs w:val="4"/>
              </w:rPr>
            </w:r>
          </w:p>
        </w:tc>
      </w:tr>
      <w:tr>
        <w:trPr/>
        <w:tc>
          <w:tcPr>
            <w:tcW w:w="63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89"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3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Steve Hilton</w:t>
            </w:r>
          </w:p>
          <w:p>
            <w:pPr>
              <w:pStyle w:val="TableContents"/>
              <w:bidi w:val="0"/>
              <w:spacing w:before="0" w:after="20"/>
              <w:jc w:val="left"/>
              <w:rPr>
                <w:rFonts w:ascii="Times New Roman" w:hAnsi="Times New Roman"/>
                <w:sz w:val="20"/>
              </w:rPr>
            </w:pPr>
            <w:r>
              <w:rPr>
                <w:rFonts w:ascii="Times New Roman" w:hAnsi="Times New Roman"/>
                <w:sz w:val="20"/>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32"/>
        <w:gridCol w:w="61"/>
        <w:gridCol w:w="3389"/>
      </w:tblGrid>
      <w:tr>
        <w:trPr/>
        <w:tc>
          <w:tcPr>
            <w:tcW w:w="63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8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BEHAVIORAL HEALTHCARE LLC</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By: BHC Holdings, Inc.</w:t>
            </w:r>
          </w:p>
          <w:p>
            <w:pPr>
              <w:pStyle w:val="TableContents"/>
              <w:bidi w:val="0"/>
              <w:spacing w:before="0" w:after="20"/>
              <w:jc w:val="left"/>
              <w:rPr>
                <w:rFonts w:ascii="Times New Roman" w:hAnsi="Times New Roman"/>
                <w:sz w:val="20"/>
              </w:rPr>
            </w:pPr>
            <w:r>
              <w:rPr>
                <w:rFonts w:ascii="Times New Roman" w:hAnsi="Times New Roman"/>
                <w:sz w:val="20"/>
              </w:rPr>
              <w:t>Its Sole Member</w:t>
            </w:r>
          </w:p>
        </w:tc>
      </w:tr>
      <w:tr>
        <w:trPr>
          <w:trHeight w:val="240" w:hRule="atLeast"/>
        </w:trPr>
        <w:tc>
          <w:tcPr>
            <w:tcW w:w="632" w:type="dxa"/>
            <w:tcBorders/>
            <w:vAlign w:val="center"/>
          </w:tcPr>
          <w:p>
            <w:pPr>
              <w:pStyle w:val="TableContents"/>
              <w:bidi w:val="0"/>
              <w:spacing w:before="0" w:after="283"/>
              <w:jc w:val="left"/>
              <w:rPr>
                <w:sz w:val="4"/>
                <w:szCs w:val="4"/>
              </w:rPr>
            </w:pPr>
            <w:r>
              <w:rPr>
                <w:sz w:val="4"/>
                <w:szCs w:val="4"/>
              </w:rPr>
            </w:r>
          </w:p>
        </w:tc>
        <w:tc>
          <w:tcPr>
            <w:tcW w:w="3450" w:type="dxa"/>
            <w:gridSpan w:val="2"/>
            <w:tcBorders/>
            <w:vAlign w:val="center"/>
          </w:tcPr>
          <w:p>
            <w:pPr>
              <w:pStyle w:val="TableContents"/>
              <w:bidi w:val="0"/>
              <w:spacing w:before="0" w:after="283"/>
              <w:jc w:val="left"/>
              <w:rPr>
                <w:sz w:val="4"/>
                <w:szCs w:val="4"/>
              </w:rPr>
            </w:pPr>
            <w:r>
              <w:rPr>
                <w:sz w:val="4"/>
                <w:szCs w:val="4"/>
              </w:rPr>
            </w:r>
          </w:p>
        </w:tc>
      </w:tr>
      <w:tr>
        <w:trPr/>
        <w:tc>
          <w:tcPr>
            <w:tcW w:w="632" w:type="dxa"/>
            <w:tcBorders/>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89"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3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p>
            <w:pPr>
              <w:pStyle w:val="TableContents"/>
              <w:bidi w:val="0"/>
              <w:spacing w:before="0" w:after="20"/>
              <w:jc w:val="left"/>
              <w:rPr>
                <w:rFonts w:ascii="Times New Roman" w:hAnsi="Times New Roman"/>
                <w:sz w:val="20"/>
              </w:rPr>
            </w:pPr>
            <w:r>
              <w:rPr>
                <w:rFonts w:ascii="Times New Roman" w:hAnsi="Times New Roman"/>
                <w:sz w:val="20"/>
              </w:rPr>
              <w:t>Title:</w:t>
            </w:r>
          </w:p>
        </w:tc>
        <w:tc>
          <w:tcPr>
            <w:tcW w:w="61" w:type="dxa"/>
            <w:tcBorders/>
            <w:vAlign w:val="bottom"/>
          </w:tcPr>
          <w:p>
            <w:pPr>
              <w:pStyle w:val="TableContents"/>
              <w:bidi w:val="0"/>
              <w:spacing w:before="0" w:after="283"/>
              <w:jc w:val="left"/>
              <w:rPr/>
            </w:pPr>
            <w:r>
              <w:rPr/>
              <w:t> </w:t>
            </w:r>
          </w:p>
        </w:tc>
        <w:tc>
          <w:tcPr>
            <w:tcW w:w="338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Steve Filton</w:t>
            </w:r>
          </w:p>
          <w:p>
            <w:pPr>
              <w:pStyle w:val="TableContents"/>
              <w:bidi w:val="0"/>
              <w:spacing w:before="0" w:after="20"/>
              <w:jc w:val="left"/>
              <w:rPr>
                <w:rFonts w:ascii="Times New Roman" w:hAnsi="Times New Roman"/>
                <w:sz w:val="20"/>
              </w:rPr>
            </w:pPr>
            <w:r>
              <w:rPr>
                <w:rFonts w:ascii="Times New Roman" w:hAnsi="Times New Roman"/>
                <w:sz w:val="20"/>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BHC PINNACLE POINTE HOSPITAL, LLC</w:t>
            </w:r>
          </w:p>
        </w:tc>
      </w:tr>
      <w:tr>
        <w:trPr/>
        <w:tc>
          <w:tcPr>
            <w:tcW w:w="4082" w:type="dxa"/>
            <w:gridSpan w:val="3"/>
            <w:tcBorders/>
          </w:tcPr>
          <w:p>
            <w:pPr>
              <w:pStyle w:val="TableContents"/>
              <w:bidi w:val="0"/>
              <w:spacing w:before="0" w:after="283"/>
              <w:jc w:val="left"/>
              <w:rPr/>
            </w:pPr>
            <w:r>
              <w:rPr/>
              <w:t>BHC PROPERTIES, LLC</w:t>
            </w:r>
          </w:p>
        </w:tc>
      </w:tr>
      <w:tr>
        <w:trPr/>
        <w:tc>
          <w:tcPr>
            <w:tcW w:w="4082" w:type="dxa"/>
            <w:gridSpan w:val="3"/>
            <w:tcBorders/>
          </w:tcPr>
          <w:p>
            <w:pPr>
              <w:pStyle w:val="TableContents"/>
              <w:bidi w:val="0"/>
              <w:spacing w:before="0" w:after="283"/>
              <w:jc w:val="left"/>
              <w:rPr/>
            </w:pPr>
            <w:r>
              <w:rPr/>
              <w:t>COLUMBUS HOSPITAL PARTNERS, LLC</w:t>
            </w:r>
          </w:p>
        </w:tc>
      </w:tr>
      <w:tr>
        <w:trPr/>
        <w:tc>
          <w:tcPr>
            <w:tcW w:w="4082" w:type="dxa"/>
            <w:gridSpan w:val="3"/>
            <w:tcBorders/>
          </w:tcPr>
          <w:p>
            <w:pPr>
              <w:pStyle w:val="TableContents"/>
              <w:bidi w:val="0"/>
              <w:spacing w:before="0" w:after="283"/>
              <w:jc w:val="left"/>
              <w:rPr/>
            </w:pPr>
            <w:r>
              <w:rPr/>
              <w:t>HOLLY HILL HOSPITAL,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LEBANON HOSPITAL PARTNERS, LLC</w:t>
            </w:r>
          </w:p>
          <w:p>
            <w:pPr>
              <w:pStyle w:val="TableContents"/>
              <w:bidi w:val="0"/>
              <w:spacing w:before="0" w:after="0"/>
              <w:jc w:val="left"/>
              <w:rPr>
                <w:rFonts w:ascii="Times New Roman" w:hAnsi="Times New Roman"/>
                <w:sz w:val="20"/>
              </w:rPr>
            </w:pPr>
            <w:r>
              <w:rPr>
                <w:rFonts w:ascii="Times New Roman" w:hAnsi="Times New Roman"/>
                <w:sz w:val="20"/>
              </w:rPr>
              <w:t>NORTHERN INDIANA PARTNERS, LLC</w:t>
            </w:r>
          </w:p>
          <w:p>
            <w:pPr>
              <w:pStyle w:val="TableContents"/>
              <w:bidi w:val="0"/>
              <w:spacing w:before="0" w:after="20"/>
              <w:jc w:val="left"/>
              <w:rPr>
                <w:rFonts w:ascii="Times New Roman" w:hAnsi="Times New Roman"/>
                <w:sz w:val="20"/>
              </w:rPr>
            </w:pPr>
            <w:r>
              <w:rPr>
                <w:rFonts w:ascii="Times New Roman" w:hAnsi="Times New Roman"/>
                <w:sz w:val="20"/>
              </w:rPr>
              <w:t>ROLLING HILLS HOSPITAL, LLC</w:t>
            </w:r>
          </w:p>
        </w:tc>
      </w:tr>
      <w:tr>
        <w:trPr/>
        <w:tc>
          <w:tcPr>
            <w:tcW w:w="4082" w:type="dxa"/>
            <w:gridSpan w:val="3"/>
            <w:tcBorders/>
          </w:tcPr>
          <w:p>
            <w:pPr>
              <w:pStyle w:val="TableContents"/>
              <w:bidi w:val="0"/>
              <w:spacing w:before="0" w:after="283"/>
              <w:jc w:val="left"/>
              <w:rPr/>
            </w:pPr>
            <w:r>
              <w:rPr/>
              <w:t>VALLE VISTA HOSPITAL PARTNERS,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Behavioral Healthcare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98"/>
        <w:gridCol w:w="63"/>
        <w:gridCol w:w="3221"/>
      </w:tblGrid>
      <w:tr>
        <w:trPr/>
        <w:tc>
          <w:tcPr>
            <w:tcW w:w="798"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BHC MESILLA VALLEY HOSPITAL, LLC</w:t>
            </w:r>
          </w:p>
        </w:tc>
      </w:tr>
      <w:tr>
        <w:trPr/>
        <w:tc>
          <w:tcPr>
            <w:tcW w:w="4082" w:type="dxa"/>
            <w:gridSpan w:val="3"/>
            <w:tcBorders/>
          </w:tcPr>
          <w:p>
            <w:pPr>
              <w:pStyle w:val="TableContents"/>
              <w:bidi w:val="0"/>
              <w:spacing w:before="0" w:after="283"/>
              <w:jc w:val="left"/>
              <w:rPr/>
            </w:pPr>
            <w:r>
              <w:rPr/>
              <w:t>BHC NORTHWEST PSYCHIATRIC HOSPITAL, LLC</w:t>
            </w:r>
          </w:p>
        </w:tc>
      </w:tr>
      <w:tr>
        <w:trPr/>
        <w:tc>
          <w:tcPr>
            <w:tcW w:w="4082" w:type="dxa"/>
            <w:gridSpan w:val="3"/>
            <w:tcBorders/>
          </w:tcPr>
          <w:p>
            <w:pPr>
              <w:pStyle w:val="TableContents"/>
              <w:bidi w:val="0"/>
              <w:spacing w:before="0" w:after="283"/>
              <w:jc w:val="left"/>
              <w:rPr/>
            </w:pPr>
            <w:r>
              <w:rPr/>
              <w:t>CUMBERLAND HOSPITAL PARTNERS,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BHC Properties,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Behavioral Healthcare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798" w:type="dxa"/>
            <w:tcBorders/>
            <w:vAlign w:val="center"/>
          </w:tcPr>
          <w:p>
            <w:pPr>
              <w:pStyle w:val="TableContents"/>
              <w:bidi w:val="0"/>
              <w:spacing w:before="0" w:after="283"/>
              <w:jc w:val="left"/>
              <w:rPr>
                <w:sz w:val="4"/>
                <w:szCs w:val="4"/>
              </w:rPr>
            </w:pPr>
            <w:r>
              <w:rPr>
                <w:sz w:val="4"/>
                <w:szCs w:val="4"/>
              </w:rPr>
            </w:r>
          </w:p>
        </w:tc>
        <w:tc>
          <w:tcPr>
            <w:tcW w:w="3284" w:type="dxa"/>
            <w:gridSpan w:val="2"/>
            <w:tcBorders/>
            <w:vAlign w:val="center"/>
          </w:tcPr>
          <w:p>
            <w:pPr>
              <w:pStyle w:val="TableContents"/>
              <w:bidi w:val="0"/>
              <w:spacing w:before="0" w:after="283"/>
              <w:jc w:val="left"/>
              <w:rPr>
                <w:sz w:val="4"/>
                <w:szCs w:val="4"/>
              </w:rPr>
            </w:pPr>
            <w:r>
              <w:rPr>
                <w:sz w:val="4"/>
                <w:szCs w:val="4"/>
              </w:rPr>
            </w:r>
          </w:p>
        </w:tc>
      </w:tr>
      <w:tr>
        <w:trPr/>
        <w:tc>
          <w:tcPr>
            <w:tcW w:w="798" w:type="dxa"/>
            <w:tcBorders/>
          </w:tcPr>
          <w:p>
            <w:pPr>
              <w:pStyle w:val="TableContents"/>
              <w:bidi w:val="0"/>
              <w:spacing w:before="0" w:after="283"/>
              <w:jc w:val="left"/>
              <w:rPr/>
            </w:pPr>
            <w:r>
              <w:rPr/>
              <w:t>By:</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c>
          <w:tcPr>
            <w:tcW w:w="322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798" w:type="dxa"/>
            <w:tcBorders/>
            <w:vAlign w:val="bottom"/>
          </w:tcPr>
          <w:p>
            <w:pPr>
              <w:pStyle w:val="TableContents"/>
              <w:bidi w:val="0"/>
              <w:spacing w:before="0" w:after="283"/>
              <w:jc w:val="left"/>
              <w:rPr/>
            </w:pPr>
            <w:r>
              <w:rPr/>
              <w:t>Name:</w:t>
            </w:r>
          </w:p>
        </w:tc>
        <w:tc>
          <w:tcPr>
            <w:tcW w:w="63" w:type="dxa"/>
            <w:tcBorders/>
            <w:vAlign w:val="bottom"/>
          </w:tcPr>
          <w:p>
            <w:pPr>
              <w:pStyle w:val="TableContents"/>
              <w:bidi w:val="0"/>
              <w:spacing w:before="0" w:after="283"/>
              <w:jc w:val="left"/>
              <w:rPr/>
            </w:pPr>
            <w:r>
              <w:rPr/>
              <w:t> </w:t>
            </w:r>
          </w:p>
        </w:tc>
        <w:tc>
          <w:tcPr>
            <w:tcW w:w="3221" w:type="dxa"/>
            <w:tcBorders/>
            <w:vAlign w:val="bottom"/>
          </w:tcPr>
          <w:p>
            <w:pPr>
              <w:pStyle w:val="TableContents"/>
              <w:bidi w:val="0"/>
              <w:spacing w:before="0" w:after="283"/>
              <w:jc w:val="left"/>
              <w:rPr/>
            </w:pPr>
            <w:r>
              <w:rPr/>
              <w:t>Steve Filton</w:t>
            </w:r>
          </w:p>
        </w:tc>
      </w:tr>
      <w:tr>
        <w:trPr/>
        <w:tc>
          <w:tcPr>
            <w:tcW w:w="798" w:type="dxa"/>
            <w:tcBorders/>
            <w:vAlign w:val="bottom"/>
          </w:tcPr>
          <w:p>
            <w:pPr>
              <w:pStyle w:val="TableContents"/>
              <w:bidi w:val="0"/>
              <w:spacing w:before="0" w:after="283"/>
              <w:jc w:val="left"/>
              <w:rPr/>
            </w:pPr>
            <w:r>
              <w:rPr/>
              <w:t>Title:</w:t>
            </w:r>
          </w:p>
        </w:tc>
        <w:tc>
          <w:tcPr>
            <w:tcW w:w="63" w:type="dxa"/>
            <w:tcBorders/>
            <w:vAlign w:val="bottom"/>
          </w:tcPr>
          <w:p>
            <w:pPr>
              <w:pStyle w:val="TableContents"/>
              <w:bidi w:val="0"/>
              <w:spacing w:before="0" w:after="283"/>
              <w:jc w:val="left"/>
              <w:rPr/>
            </w:pPr>
            <w:r>
              <w:rPr/>
              <w:t> </w:t>
            </w:r>
          </w:p>
        </w:tc>
        <w:tc>
          <w:tcPr>
            <w:tcW w:w="322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6"/>
        <w:gridCol w:w="60"/>
        <w:gridCol w:w="3366"/>
      </w:tblGrid>
      <w:tr>
        <w:trPr/>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CUMBERLAND HOSPITAL,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Cumberland Hospital Partners, LLC</w:t>
            </w:r>
          </w:p>
        </w:tc>
      </w:tr>
      <w:tr>
        <w:trPr/>
        <w:tc>
          <w:tcPr>
            <w:tcW w:w="4082" w:type="dxa"/>
            <w:gridSpan w:val="3"/>
            <w:tcBorders/>
          </w:tcPr>
          <w:p>
            <w:pPr>
              <w:pStyle w:val="TableContents"/>
              <w:bidi w:val="0"/>
              <w:spacing w:before="0" w:after="283"/>
              <w:jc w:val="left"/>
              <w:rPr/>
            </w:pPr>
            <w:r>
              <w:rPr/>
              <w:t>Its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BHC Properties, LLC</w:t>
            </w:r>
          </w:p>
        </w:tc>
      </w:tr>
      <w:tr>
        <w:trPr/>
        <w:tc>
          <w:tcPr>
            <w:tcW w:w="4082" w:type="dxa"/>
            <w:gridSpan w:val="3"/>
            <w:tcBorders/>
          </w:tcPr>
          <w:p>
            <w:pPr>
              <w:pStyle w:val="TableContents"/>
              <w:bidi w:val="0"/>
              <w:spacing w:before="0" w:after="283"/>
              <w:jc w:val="left"/>
              <w:rPr/>
            </w:pPr>
            <w:r>
              <w:rPr/>
              <w:t>Its Minority Member and Sole Member of the</w:t>
            </w:r>
          </w:p>
        </w:tc>
      </w:tr>
      <w:tr>
        <w:trPr/>
        <w:tc>
          <w:tcPr>
            <w:tcW w:w="4082" w:type="dxa"/>
            <w:gridSpan w:val="3"/>
            <w:tcBorders/>
          </w:tcPr>
          <w:p>
            <w:pPr>
              <w:pStyle w:val="TableContents"/>
              <w:bidi w:val="0"/>
              <w:spacing w:before="0" w:after="283"/>
              <w:jc w:val="left"/>
              <w:rPr/>
            </w:pPr>
            <w:r>
              <w:rPr/>
              <w:t>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Behavioral Healthcare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56" w:type="dxa"/>
            <w:tcBorders/>
            <w:vAlign w:val="center"/>
          </w:tcPr>
          <w:p>
            <w:pPr>
              <w:pStyle w:val="TableContents"/>
              <w:bidi w:val="0"/>
              <w:spacing w:before="0" w:after="283"/>
              <w:jc w:val="left"/>
              <w:rPr>
                <w:sz w:val="4"/>
                <w:szCs w:val="4"/>
              </w:rPr>
            </w:pPr>
            <w:r>
              <w:rPr>
                <w:sz w:val="4"/>
                <w:szCs w:val="4"/>
              </w:rPr>
            </w:r>
          </w:p>
        </w:tc>
        <w:tc>
          <w:tcPr>
            <w:tcW w:w="3426" w:type="dxa"/>
            <w:gridSpan w:val="2"/>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5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Steve Filton</w:t>
            </w:r>
          </w:p>
        </w:tc>
      </w:tr>
      <w:tr>
        <w:trPr/>
        <w:tc>
          <w:tcPr>
            <w:tcW w:w="65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VALLE VISTA,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BHC of Indiana, General Partnership</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Columbus Hospital Partners,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Lebanon Hospital Partners,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Northern Indiana Partners, LLC</w:t>
            </w:r>
          </w:p>
          <w:p>
            <w:pPr>
              <w:pStyle w:val="TableContents"/>
              <w:bidi w:val="0"/>
              <w:spacing w:before="0" w:after="20"/>
              <w:jc w:val="left"/>
              <w:rPr>
                <w:rFonts w:ascii="Times New Roman" w:hAnsi="Times New Roman"/>
                <w:sz w:val="20"/>
              </w:rPr>
            </w:pPr>
            <w:r>
              <w:rPr>
                <w:rFonts w:ascii="Times New Roman" w:hAnsi="Times New Roman"/>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Valle Vista Hospital Partners,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Behavioral Healthcare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Sole Member of each of the above General Partners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56"/>
        <w:gridCol w:w="60"/>
        <w:gridCol w:w="3366"/>
      </w:tblGrid>
      <w:tr>
        <w:trPr/>
        <w:tc>
          <w:tcPr>
            <w:tcW w:w="6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WELLSTONE REGIONAL HOSPITAL</w:t>
            </w:r>
          </w:p>
        </w:tc>
      </w:tr>
      <w:tr>
        <w:trPr/>
        <w:tc>
          <w:tcPr>
            <w:tcW w:w="4082" w:type="dxa"/>
            <w:gridSpan w:val="3"/>
            <w:tcBorders/>
          </w:tcPr>
          <w:p>
            <w:pPr>
              <w:pStyle w:val="TableContents"/>
              <w:bidi w:val="0"/>
              <w:spacing w:before="0" w:after="283"/>
              <w:jc w:val="left"/>
              <w:rPr/>
            </w:pPr>
            <w:r>
              <w:rPr/>
              <w:t>ACQUISITION,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Wellstone Holdings, Inc.</w:t>
            </w:r>
          </w:p>
        </w:tc>
      </w:tr>
      <w:tr>
        <w:trPr/>
        <w:tc>
          <w:tcPr>
            <w:tcW w:w="4082" w:type="dxa"/>
            <w:gridSpan w:val="3"/>
            <w:tcBorders/>
          </w:tcPr>
          <w:p>
            <w:pPr>
              <w:pStyle w:val="TableContents"/>
              <w:bidi w:val="0"/>
              <w:spacing w:before="0" w:after="283"/>
              <w:jc w:val="left"/>
              <w:rPr/>
            </w:pPr>
            <w:r>
              <w:rPr/>
              <w:t>Its Minority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Behavioral Healthcare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Managing Member and Sole Member of the</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Minority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56" w:type="dxa"/>
            <w:tcBorders/>
            <w:vAlign w:val="center"/>
          </w:tcPr>
          <w:p>
            <w:pPr>
              <w:pStyle w:val="TableContents"/>
              <w:bidi w:val="0"/>
              <w:spacing w:before="0" w:after="283"/>
              <w:jc w:val="left"/>
              <w:rPr>
                <w:sz w:val="4"/>
                <w:szCs w:val="4"/>
              </w:rPr>
            </w:pPr>
            <w:r>
              <w:rPr>
                <w:sz w:val="4"/>
                <w:szCs w:val="4"/>
              </w:rPr>
            </w:r>
          </w:p>
        </w:tc>
        <w:tc>
          <w:tcPr>
            <w:tcW w:w="3426" w:type="dxa"/>
            <w:gridSpan w:val="2"/>
            <w:tcBorders/>
            <w:vAlign w:val="center"/>
          </w:tcPr>
          <w:p>
            <w:pPr>
              <w:pStyle w:val="TableContents"/>
              <w:bidi w:val="0"/>
              <w:spacing w:before="0" w:after="283"/>
              <w:jc w:val="left"/>
              <w:rPr>
                <w:sz w:val="4"/>
                <w:szCs w:val="4"/>
              </w:rPr>
            </w:pPr>
            <w:r>
              <w:rPr>
                <w:sz w:val="4"/>
                <w:szCs w:val="4"/>
              </w:rPr>
            </w:r>
          </w:p>
        </w:tc>
      </w:tr>
      <w:tr>
        <w:trPr/>
        <w:tc>
          <w:tcPr>
            <w:tcW w:w="65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66"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5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Steve Filton</w:t>
            </w:r>
          </w:p>
        </w:tc>
      </w:tr>
      <w:tr>
        <w:trPr/>
        <w:tc>
          <w:tcPr>
            <w:tcW w:w="65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6"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7"/>
        <w:gridCol w:w="60"/>
        <w:gridCol w:w="3325"/>
      </w:tblGrid>
      <w:tr>
        <w:trPr/>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BEHAVIORAL HEALTHCARE,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BHC Holdings,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7" w:type="dxa"/>
            <w:tcBorders/>
            <w:vAlign w:val="center"/>
          </w:tcPr>
          <w:p>
            <w:pPr>
              <w:pStyle w:val="TableContents"/>
              <w:bidi w:val="0"/>
              <w:spacing w:before="0" w:after="283"/>
              <w:jc w:val="left"/>
              <w:rPr>
                <w:sz w:val="4"/>
                <w:szCs w:val="4"/>
              </w:rPr>
            </w:pPr>
            <w:r>
              <w:rPr>
                <w:sz w:val="4"/>
                <w:szCs w:val="4"/>
              </w:rPr>
            </w:r>
          </w:p>
        </w:tc>
        <w:tc>
          <w:tcPr>
            <w:tcW w:w="3385" w:type="dxa"/>
            <w:gridSpan w:val="2"/>
            <w:tcBorders/>
            <w:vAlign w:val="center"/>
          </w:tcPr>
          <w:p>
            <w:pPr>
              <w:pStyle w:val="TableContents"/>
              <w:bidi w:val="0"/>
              <w:spacing w:before="0" w:after="283"/>
              <w:jc w:val="left"/>
              <w:rPr>
                <w:sz w:val="4"/>
                <w:szCs w:val="4"/>
              </w:rPr>
            </w:pPr>
            <w:r>
              <w:rPr>
                <w:sz w:val="4"/>
                <w:szCs w:val="4"/>
              </w:rPr>
            </w:r>
          </w:p>
        </w:tc>
      </w:tr>
      <w:tr>
        <w:trPr/>
        <w:tc>
          <w:tcPr>
            <w:tcW w:w="697"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5"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7"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Steve Filton</w:t>
            </w:r>
          </w:p>
        </w:tc>
      </w:tr>
      <w:tr>
        <w:trPr/>
        <w:tc>
          <w:tcPr>
            <w:tcW w:w="697"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5"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908"/>
        <w:gridCol w:w="66"/>
        <w:gridCol w:w="3108"/>
      </w:tblGrid>
      <w:tr>
        <w:trPr/>
        <w:tc>
          <w:tcPr>
            <w:tcW w:w="908" w:type="dxa"/>
            <w:tcBorders/>
            <w:vAlign w:val="center"/>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HORIZON HEALTH HOSPITAL SERVICES, LLC</w:t>
            </w:r>
          </w:p>
        </w:tc>
      </w:tr>
      <w:tr>
        <w:trPr/>
        <w:tc>
          <w:tcPr>
            <w:tcW w:w="4082" w:type="dxa"/>
            <w:gridSpan w:val="3"/>
            <w:tcBorders/>
          </w:tcPr>
          <w:p>
            <w:pPr>
              <w:pStyle w:val="TableContents"/>
              <w:bidi w:val="0"/>
              <w:spacing w:before="0" w:after="283"/>
              <w:jc w:val="left"/>
              <w:rPr/>
            </w:pPr>
            <w:r>
              <w:rPr/>
              <w:t>HORIZON MENTAL HEALTH MANAGEMENT,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Horizon Health Corporation</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908" w:type="dxa"/>
            <w:tcBorders/>
            <w:vAlign w:val="center"/>
          </w:tcPr>
          <w:p>
            <w:pPr>
              <w:pStyle w:val="TableContents"/>
              <w:bidi w:val="0"/>
              <w:spacing w:before="0" w:after="283"/>
              <w:jc w:val="left"/>
              <w:rPr>
                <w:sz w:val="4"/>
                <w:szCs w:val="4"/>
              </w:rPr>
            </w:pPr>
            <w:r>
              <w:rPr>
                <w:sz w:val="4"/>
                <w:szCs w:val="4"/>
              </w:rPr>
            </w:r>
          </w:p>
        </w:tc>
        <w:tc>
          <w:tcPr>
            <w:tcW w:w="3174" w:type="dxa"/>
            <w:gridSpan w:val="2"/>
            <w:tcBorders/>
            <w:vAlign w:val="center"/>
          </w:tcPr>
          <w:p>
            <w:pPr>
              <w:pStyle w:val="TableContents"/>
              <w:bidi w:val="0"/>
              <w:spacing w:before="0" w:after="283"/>
              <w:jc w:val="left"/>
              <w:rPr>
                <w:sz w:val="4"/>
                <w:szCs w:val="4"/>
              </w:rPr>
            </w:pPr>
            <w:r>
              <w:rPr>
                <w:sz w:val="4"/>
                <w:szCs w:val="4"/>
              </w:rPr>
            </w:r>
          </w:p>
        </w:tc>
      </w:tr>
      <w:tr>
        <w:trPr/>
        <w:tc>
          <w:tcPr>
            <w:tcW w:w="908" w:type="dxa"/>
            <w:tcBorders/>
          </w:tcPr>
          <w:p>
            <w:pPr>
              <w:pStyle w:val="TableContents"/>
              <w:bidi w:val="0"/>
              <w:spacing w:before="0" w:after="283"/>
              <w:jc w:val="left"/>
              <w:rPr/>
            </w:pPr>
            <w:r>
              <w:rPr/>
              <w:t>By:</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c>
          <w:tcPr>
            <w:tcW w:w="3108"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908" w:type="dxa"/>
            <w:tcBorders/>
            <w:vAlign w:val="bottom"/>
          </w:tcPr>
          <w:p>
            <w:pPr>
              <w:pStyle w:val="TableContents"/>
              <w:bidi w:val="0"/>
              <w:spacing w:before="0" w:after="283"/>
              <w:jc w:val="left"/>
              <w:rPr/>
            </w:pPr>
            <w:r>
              <w:rPr/>
              <w:t>Name:</w:t>
            </w:r>
          </w:p>
        </w:tc>
        <w:tc>
          <w:tcPr>
            <w:tcW w:w="66" w:type="dxa"/>
            <w:tcBorders/>
            <w:vAlign w:val="bottom"/>
          </w:tcPr>
          <w:p>
            <w:pPr>
              <w:pStyle w:val="TableContents"/>
              <w:bidi w:val="0"/>
              <w:spacing w:before="0" w:after="283"/>
              <w:jc w:val="left"/>
              <w:rPr/>
            </w:pPr>
            <w:r>
              <w:rPr/>
              <w:t> </w:t>
            </w:r>
          </w:p>
        </w:tc>
        <w:tc>
          <w:tcPr>
            <w:tcW w:w="3108" w:type="dxa"/>
            <w:tcBorders/>
            <w:vAlign w:val="bottom"/>
          </w:tcPr>
          <w:p>
            <w:pPr>
              <w:pStyle w:val="TableContents"/>
              <w:bidi w:val="0"/>
              <w:spacing w:before="0" w:after="283"/>
              <w:jc w:val="left"/>
              <w:rPr/>
            </w:pPr>
            <w:r>
              <w:rPr/>
              <w:t>Steve Filton</w:t>
            </w:r>
          </w:p>
        </w:tc>
      </w:tr>
      <w:tr>
        <w:trPr/>
        <w:tc>
          <w:tcPr>
            <w:tcW w:w="908" w:type="dxa"/>
            <w:tcBorders/>
            <w:vAlign w:val="bottom"/>
          </w:tcPr>
          <w:p>
            <w:pPr>
              <w:pStyle w:val="TableContents"/>
              <w:bidi w:val="0"/>
              <w:spacing w:before="0" w:after="283"/>
              <w:jc w:val="left"/>
              <w:rPr/>
            </w:pPr>
            <w:r>
              <w:rPr/>
              <w:t>Title:</w:t>
            </w:r>
          </w:p>
        </w:tc>
        <w:tc>
          <w:tcPr>
            <w:tcW w:w="66" w:type="dxa"/>
            <w:tcBorders/>
            <w:vAlign w:val="bottom"/>
          </w:tcPr>
          <w:p>
            <w:pPr>
              <w:pStyle w:val="TableContents"/>
              <w:bidi w:val="0"/>
              <w:spacing w:before="0" w:after="283"/>
              <w:jc w:val="left"/>
              <w:rPr/>
            </w:pPr>
            <w:r>
              <w:rPr/>
              <w:t> </w:t>
            </w:r>
          </w:p>
        </w:tc>
        <w:tc>
          <w:tcPr>
            <w:tcW w:w="3108"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HHC PENNSYLVANIA, LLC</w:t>
            </w:r>
          </w:p>
        </w:tc>
      </w:tr>
      <w:tr>
        <w:trPr/>
        <w:tc>
          <w:tcPr>
            <w:tcW w:w="4082" w:type="dxa"/>
            <w:gridSpan w:val="3"/>
            <w:tcBorders/>
          </w:tcPr>
          <w:p>
            <w:pPr>
              <w:pStyle w:val="TableContents"/>
              <w:bidi w:val="0"/>
              <w:spacing w:before="0" w:after="283"/>
              <w:jc w:val="left"/>
              <w:rPr/>
            </w:pPr>
            <w:r>
              <w:rPr/>
              <w:t>HHC POPLAR SPRINGS, LLC</w:t>
            </w:r>
          </w:p>
        </w:tc>
      </w:tr>
      <w:tr>
        <w:trPr/>
        <w:tc>
          <w:tcPr>
            <w:tcW w:w="4082" w:type="dxa"/>
            <w:gridSpan w:val="3"/>
            <w:tcBorders/>
          </w:tcPr>
          <w:p>
            <w:pPr>
              <w:pStyle w:val="TableContents"/>
              <w:bidi w:val="0"/>
              <w:spacing w:before="0" w:after="283"/>
              <w:jc w:val="left"/>
              <w:rPr/>
            </w:pPr>
            <w:r>
              <w:rPr/>
              <w:t>KINGWOOD PINES HOSPITAL, LLC</w:t>
            </w:r>
          </w:p>
        </w:tc>
      </w:tr>
      <w:tr>
        <w:trPr/>
        <w:tc>
          <w:tcPr>
            <w:tcW w:w="4082" w:type="dxa"/>
            <w:gridSpan w:val="3"/>
            <w:tcBorders/>
          </w:tcPr>
          <w:p>
            <w:pPr>
              <w:pStyle w:val="TableContents"/>
              <w:bidi w:val="0"/>
              <w:spacing w:before="0" w:after="283"/>
              <w:jc w:val="left"/>
              <w:rPr/>
            </w:pPr>
            <w:r>
              <w:rPr/>
              <w:t>SCHICK SHADEL OF FLORIDA, LLC</w:t>
            </w:r>
          </w:p>
        </w:tc>
      </w:tr>
      <w:tr>
        <w:trPr/>
        <w:tc>
          <w:tcPr>
            <w:tcW w:w="4082" w:type="dxa"/>
            <w:gridSpan w:val="3"/>
            <w:tcBorders/>
          </w:tcPr>
          <w:p>
            <w:pPr>
              <w:pStyle w:val="TableContents"/>
              <w:bidi w:val="0"/>
              <w:spacing w:before="0" w:after="283"/>
              <w:jc w:val="left"/>
              <w:rPr/>
            </w:pPr>
            <w:r>
              <w:rPr/>
              <w:t>TOLEDO HOLDING CO.,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Horizon Health Hospital Services,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Horizon Health Corporation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85" w:type="dxa"/>
            <w:tcBorders/>
            <w:vAlign w:val="center"/>
          </w:tcPr>
          <w:p>
            <w:pPr>
              <w:pStyle w:val="TableContents"/>
              <w:bidi w:val="0"/>
              <w:spacing w:before="0" w:after="283"/>
              <w:jc w:val="left"/>
              <w:rPr>
                <w:sz w:val="4"/>
                <w:szCs w:val="4"/>
              </w:rPr>
            </w:pPr>
            <w:r>
              <w:rPr>
                <w:sz w:val="4"/>
                <w:szCs w:val="4"/>
              </w:rPr>
            </w:r>
          </w:p>
        </w:tc>
        <w:tc>
          <w:tcPr>
            <w:tcW w:w="3397"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7"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8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Steve Filton</w:t>
            </w:r>
          </w:p>
        </w:tc>
      </w:tr>
      <w:tr>
        <w:trPr/>
        <w:tc>
          <w:tcPr>
            <w:tcW w:w="68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700"/>
        <w:gridCol w:w="60"/>
        <w:gridCol w:w="3322"/>
      </w:tblGrid>
      <w:tr>
        <w:trPr/>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HICKORY TRAIL HOSPITAL, L.P.</w:t>
            </w:r>
          </w:p>
        </w:tc>
      </w:tr>
      <w:tr>
        <w:trPr/>
        <w:tc>
          <w:tcPr>
            <w:tcW w:w="4082" w:type="dxa"/>
            <w:gridSpan w:val="3"/>
            <w:tcBorders/>
          </w:tcPr>
          <w:p>
            <w:pPr>
              <w:pStyle w:val="TableContents"/>
              <w:bidi w:val="0"/>
              <w:spacing w:before="0" w:after="283"/>
              <w:jc w:val="left"/>
              <w:rPr/>
            </w:pPr>
            <w:r>
              <w:rPr/>
              <w:t>MILLWOOD HOSPITAL, L.P.</w:t>
            </w:r>
          </w:p>
        </w:tc>
      </w:tr>
      <w:tr>
        <w:trPr/>
        <w:tc>
          <w:tcPr>
            <w:tcW w:w="4082" w:type="dxa"/>
            <w:gridSpan w:val="3"/>
            <w:tcBorders/>
          </w:tcPr>
          <w:p>
            <w:pPr>
              <w:pStyle w:val="TableContents"/>
              <w:bidi w:val="0"/>
              <w:spacing w:before="0" w:after="283"/>
              <w:jc w:val="left"/>
              <w:rPr/>
            </w:pPr>
            <w:r>
              <w:rPr/>
              <w:t>NEURO INSTITUTE OF AUSTIN, L.P.</w:t>
            </w:r>
          </w:p>
        </w:tc>
      </w:tr>
      <w:tr>
        <w:trPr/>
        <w:tc>
          <w:tcPr>
            <w:tcW w:w="4082" w:type="dxa"/>
            <w:gridSpan w:val="3"/>
            <w:tcBorders/>
          </w:tcPr>
          <w:p>
            <w:pPr>
              <w:pStyle w:val="TableContents"/>
              <w:bidi w:val="0"/>
              <w:spacing w:before="0" w:after="283"/>
              <w:jc w:val="left"/>
              <w:rPr/>
            </w:pPr>
            <w:r>
              <w:rPr/>
              <w:t>TEXAS CYPRESS CREEK HOSPITAL, L.P.</w:t>
            </w:r>
          </w:p>
        </w:tc>
      </w:tr>
      <w:tr>
        <w:trPr/>
        <w:tc>
          <w:tcPr>
            <w:tcW w:w="4082" w:type="dxa"/>
            <w:gridSpan w:val="3"/>
            <w:tcBorders/>
          </w:tcPr>
          <w:p>
            <w:pPr>
              <w:pStyle w:val="TableContents"/>
              <w:bidi w:val="0"/>
              <w:spacing w:before="0" w:after="283"/>
              <w:jc w:val="left"/>
              <w:rPr/>
            </w:pPr>
            <w:r>
              <w:rPr/>
              <w:t>TEXAS LAUREL RIDGE HOSPITAL, L.P.</w:t>
            </w:r>
          </w:p>
        </w:tc>
      </w:tr>
      <w:tr>
        <w:trPr/>
        <w:tc>
          <w:tcPr>
            <w:tcW w:w="4082" w:type="dxa"/>
            <w:gridSpan w:val="3"/>
            <w:tcBorders/>
          </w:tcPr>
          <w:p>
            <w:pPr>
              <w:pStyle w:val="TableContents"/>
              <w:bidi w:val="0"/>
              <w:spacing w:before="0" w:after="283"/>
              <w:jc w:val="left"/>
              <w:rPr/>
            </w:pPr>
            <w:r>
              <w:rPr/>
              <w:t>TEXAS OAKS PSYCHIATRIC HOSPITAL, L.P.</w:t>
            </w:r>
          </w:p>
        </w:tc>
      </w:tr>
      <w:tr>
        <w:trPr/>
        <w:tc>
          <w:tcPr>
            <w:tcW w:w="4082" w:type="dxa"/>
            <w:gridSpan w:val="3"/>
            <w:tcBorders/>
          </w:tcPr>
          <w:p>
            <w:pPr>
              <w:pStyle w:val="TableContents"/>
              <w:bidi w:val="0"/>
              <w:spacing w:before="0" w:after="283"/>
              <w:jc w:val="left"/>
              <w:rPr/>
            </w:pPr>
            <w:r>
              <w:rPr/>
              <w:t>TEXAS SAN MARCOS TREATMENT CENTER, L.P.</w:t>
            </w:r>
          </w:p>
        </w:tc>
      </w:tr>
      <w:tr>
        <w:trPr/>
        <w:tc>
          <w:tcPr>
            <w:tcW w:w="4082" w:type="dxa"/>
            <w:gridSpan w:val="3"/>
            <w:tcBorders/>
          </w:tcPr>
          <w:p>
            <w:pPr>
              <w:pStyle w:val="TableContents"/>
              <w:bidi w:val="0"/>
              <w:spacing w:before="0" w:after="283"/>
              <w:jc w:val="left"/>
              <w:rPr/>
            </w:pPr>
            <w:r>
              <w:rPr/>
              <w:t>TEXAS WEST OAKS HOSPITAL,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Texas Hospital Holdings,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Psychiatric Solutions Hospitals,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Psychiatric Solutions,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700" w:type="dxa"/>
            <w:tcBorders/>
            <w:vAlign w:val="center"/>
          </w:tcPr>
          <w:p>
            <w:pPr>
              <w:pStyle w:val="TableContents"/>
              <w:bidi w:val="0"/>
              <w:spacing w:before="0" w:after="283"/>
              <w:jc w:val="left"/>
              <w:rPr>
                <w:sz w:val="4"/>
                <w:szCs w:val="4"/>
              </w:rPr>
            </w:pPr>
            <w:r>
              <w:rPr>
                <w:sz w:val="4"/>
                <w:szCs w:val="4"/>
              </w:rPr>
            </w:r>
          </w:p>
        </w:tc>
        <w:tc>
          <w:tcPr>
            <w:tcW w:w="3382" w:type="dxa"/>
            <w:gridSpan w:val="2"/>
            <w:tcBorders/>
            <w:vAlign w:val="center"/>
          </w:tcPr>
          <w:p>
            <w:pPr>
              <w:pStyle w:val="TableContents"/>
              <w:bidi w:val="0"/>
              <w:spacing w:before="0" w:after="283"/>
              <w:jc w:val="left"/>
              <w:rPr>
                <w:sz w:val="4"/>
                <w:szCs w:val="4"/>
              </w:rPr>
            </w:pPr>
            <w:r>
              <w:rPr>
                <w:sz w:val="4"/>
                <w:szCs w:val="4"/>
              </w:rPr>
            </w:r>
          </w:p>
        </w:tc>
      </w:tr>
      <w:tr>
        <w:trPr/>
        <w:tc>
          <w:tcPr>
            <w:tcW w:w="7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2"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700"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2" w:type="dxa"/>
            <w:tcBorders/>
            <w:vAlign w:val="bottom"/>
          </w:tcPr>
          <w:p>
            <w:pPr>
              <w:pStyle w:val="TableContents"/>
              <w:bidi w:val="0"/>
              <w:spacing w:before="0" w:after="283"/>
              <w:jc w:val="left"/>
              <w:rPr/>
            </w:pPr>
            <w:r>
              <w:rPr/>
              <w:t>Steve Filton</w:t>
            </w:r>
          </w:p>
        </w:tc>
      </w:tr>
      <w:tr>
        <w:trPr/>
        <w:tc>
          <w:tcPr>
            <w:tcW w:w="700"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2"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SHC-KPH,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HHC Kingwood Investment,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Horizon Health Hospital Services,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Sole member of the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Horizon Health Corporation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Hilton</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8"/>
        <w:gridCol w:w="60"/>
        <w:gridCol w:w="3324"/>
      </w:tblGrid>
      <w:tr>
        <w:trPr/>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H.C. PARTNERSHIP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H.C. Corporation</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Steve Filton</w:t>
            </w:r>
          </w:p>
        </w:tc>
      </w:tr>
      <w:tr>
        <w:trPr/>
        <w:tc>
          <w:tcPr>
            <w:tcW w:w="69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HSA Hill Crest Corporation</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Steve Filton</w:t>
            </w:r>
          </w:p>
        </w:tc>
      </w:tr>
      <w:tr>
        <w:trPr/>
        <w:tc>
          <w:tcPr>
            <w:tcW w:w="69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8"/>
        <w:gridCol w:w="60"/>
        <w:gridCol w:w="3324"/>
      </w:tblGrid>
      <w:tr>
        <w:trPr/>
        <w:tc>
          <w:tcPr>
            <w:tcW w:w="6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BHC OF INDIANA, GENERAL PARTNERSHIP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Columbus Hospital Partners,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Lebanon Hospital Partners,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Northern Indiana Partners,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Valle Vista Hospital Partners,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Healthcare, LLC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The Sole Member of each of the above General Partners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98" w:type="dxa"/>
            <w:tcBorders/>
            <w:vAlign w:val="center"/>
          </w:tcPr>
          <w:p>
            <w:pPr>
              <w:pStyle w:val="TableContents"/>
              <w:bidi w:val="0"/>
              <w:spacing w:before="0" w:after="283"/>
              <w:jc w:val="left"/>
              <w:rPr>
                <w:sz w:val="4"/>
                <w:szCs w:val="4"/>
              </w:rPr>
            </w:pPr>
            <w:r>
              <w:rPr>
                <w:sz w:val="4"/>
                <w:szCs w:val="4"/>
              </w:rPr>
            </w:r>
          </w:p>
        </w:tc>
        <w:tc>
          <w:tcPr>
            <w:tcW w:w="3384" w:type="dxa"/>
            <w:gridSpan w:val="2"/>
            <w:tcBorders/>
            <w:vAlign w:val="center"/>
          </w:tcPr>
          <w:p>
            <w:pPr>
              <w:pStyle w:val="TableContents"/>
              <w:bidi w:val="0"/>
              <w:spacing w:before="0" w:after="283"/>
              <w:jc w:val="left"/>
              <w:rPr>
                <w:sz w:val="4"/>
                <w:szCs w:val="4"/>
              </w:rPr>
            </w:pPr>
            <w:r>
              <w:rPr>
                <w:sz w:val="4"/>
                <w:szCs w:val="4"/>
              </w:rPr>
            </w:r>
          </w:p>
        </w:tc>
      </w:tr>
      <w:tr>
        <w:trPr/>
        <w:tc>
          <w:tcPr>
            <w:tcW w:w="69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4"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8"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Steve Filton</w:t>
            </w:r>
          </w:p>
        </w:tc>
      </w:tr>
      <w:tr>
        <w:trPr/>
        <w:tc>
          <w:tcPr>
            <w:tcW w:w="698"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4"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2"/>
        <w:gridCol w:w="60"/>
        <w:gridCol w:w="3330"/>
      </w:tblGrid>
      <w:tr>
        <w:trPr/>
        <w:tc>
          <w:tcPr>
            <w:tcW w:w="6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INDEPENDENCE PHYSICIAN MANAGEMENT,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Fairmount,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2" w:type="dxa"/>
            <w:tcBorders/>
            <w:vAlign w:val="center"/>
          </w:tcPr>
          <w:p>
            <w:pPr>
              <w:pStyle w:val="TableContents"/>
              <w:bidi w:val="0"/>
              <w:spacing w:before="0" w:after="283"/>
              <w:jc w:val="left"/>
              <w:rPr>
                <w:sz w:val="4"/>
                <w:szCs w:val="4"/>
              </w:rPr>
            </w:pPr>
            <w:r>
              <w:rPr>
                <w:sz w:val="4"/>
                <w:szCs w:val="4"/>
              </w:rPr>
            </w:r>
          </w:p>
        </w:tc>
        <w:tc>
          <w:tcPr>
            <w:tcW w:w="3390" w:type="dxa"/>
            <w:gridSpan w:val="2"/>
            <w:tcBorders/>
            <w:vAlign w:val="center"/>
          </w:tcPr>
          <w:p>
            <w:pPr>
              <w:pStyle w:val="TableContents"/>
              <w:bidi w:val="0"/>
              <w:spacing w:before="0" w:after="283"/>
              <w:jc w:val="left"/>
              <w:rPr>
                <w:sz w:val="4"/>
                <w:szCs w:val="4"/>
              </w:rPr>
            </w:pPr>
            <w:r>
              <w:rPr>
                <w:sz w:val="4"/>
                <w:szCs w:val="4"/>
              </w:rPr>
            </w:r>
          </w:p>
        </w:tc>
      </w:tr>
      <w:tr>
        <w:trPr/>
        <w:tc>
          <w:tcPr>
            <w:tcW w:w="69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0"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2"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Steve Filton</w:t>
            </w:r>
          </w:p>
        </w:tc>
      </w:tr>
      <w:tr>
        <w:trPr/>
        <w:tc>
          <w:tcPr>
            <w:tcW w:w="692"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0"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BEHAVIORAL HEALTH MANAGEMENT, LLC</w:t>
            </w:r>
          </w:p>
        </w:tc>
      </w:tr>
      <w:tr>
        <w:trPr/>
        <w:tc>
          <w:tcPr>
            <w:tcW w:w="4082" w:type="dxa"/>
            <w:gridSpan w:val="3"/>
            <w:tcBorders/>
          </w:tcPr>
          <w:p>
            <w:pPr>
              <w:pStyle w:val="TableContents"/>
              <w:bidi w:val="0"/>
              <w:spacing w:before="0" w:after="283"/>
              <w:jc w:val="left"/>
              <w:rPr/>
            </w:pPr>
            <w:r>
              <w:rPr/>
              <w:t>BEHAVIORAL HEALTH REALTY, LLC</w:t>
            </w:r>
          </w:p>
        </w:tc>
      </w:tr>
      <w:tr>
        <w:trPr/>
        <w:tc>
          <w:tcPr>
            <w:tcW w:w="4082" w:type="dxa"/>
            <w:gridSpan w:val="3"/>
            <w:tcBorders/>
          </w:tcPr>
          <w:p>
            <w:pPr>
              <w:pStyle w:val="TableContents"/>
              <w:bidi w:val="0"/>
              <w:spacing w:before="0" w:after="283"/>
              <w:jc w:val="left"/>
              <w:rPr/>
            </w:pPr>
            <w:r>
              <w:rPr/>
              <w:t>CAT REALTY, LLC</w:t>
            </w:r>
          </w:p>
        </w:tc>
      </w:tr>
      <w:tr>
        <w:trPr/>
        <w:tc>
          <w:tcPr>
            <w:tcW w:w="4082" w:type="dxa"/>
            <w:gridSpan w:val="3"/>
            <w:tcBorders/>
          </w:tcPr>
          <w:p>
            <w:pPr>
              <w:pStyle w:val="TableContents"/>
              <w:bidi w:val="0"/>
              <w:spacing w:before="0" w:after="283"/>
              <w:jc w:val="left"/>
              <w:rPr/>
            </w:pPr>
            <w:r>
              <w:rPr/>
              <w:t>CAT SEATTLE, LLC</w:t>
            </w:r>
          </w:p>
        </w:tc>
      </w:tr>
      <w:tr>
        <w:trPr/>
        <w:tc>
          <w:tcPr>
            <w:tcW w:w="4082" w:type="dxa"/>
            <w:gridSpan w:val="3"/>
            <w:tcBorders/>
          </w:tcPr>
          <w:p>
            <w:pPr>
              <w:pStyle w:val="TableContents"/>
              <w:bidi w:val="0"/>
              <w:spacing w:before="0" w:after="283"/>
              <w:jc w:val="left"/>
              <w:rPr/>
            </w:pPr>
            <w:r>
              <w:rPr/>
              <w:t>MAYHILL BEHAVIORAL HEALTH, LLC</w:t>
            </w:r>
          </w:p>
        </w:tc>
      </w:tr>
      <w:tr>
        <w:trPr/>
        <w:tc>
          <w:tcPr>
            <w:tcW w:w="4082" w:type="dxa"/>
            <w:gridSpan w:val="3"/>
            <w:tcBorders/>
          </w:tcPr>
          <w:p>
            <w:pPr>
              <w:pStyle w:val="TableContents"/>
              <w:bidi w:val="0"/>
              <w:spacing w:before="0" w:after="283"/>
              <w:jc w:val="left"/>
              <w:rPr/>
            </w:pPr>
            <w:r>
              <w:rPr/>
              <w:t>PSYCHIATRIC REALTY, LLC</w:t>
            </w:r>
          </w:p>
        </w:tc>
      </w:tr>
      <w:tr>
        <w:trPr/>
        <w:tc>
          <w:tcPr>
            <w:tcW w:w="4082" w:type="dxa"/>
            <w:gridSpan w:val="3"/>
            <w:tcBorders/>
          </w:tcPr>
          <w:p>
            <w:pPr>
              <w:pStyle w:val="TableContents"/>
              <w:bidi w:val="0"/>
              <w:spacing w:before="0" w:after="283"/>
              <w:jc w:val="left"/>
              <w:rPr/>
            </w:pPr>
            <w:r>
              <w:rPr/>
              <w:t>RR RECOVERY, LLC</w:t>
            </w:r>
          </w:p>
        </w:tc>
      </w:tr>
      <w:tr>
        <w:trPr/>
        <w:tc>
          <w:tcPr>
            <w:tcW w:w="4082" w:type="dxa"/>
            <w:gridSpan w:val="3"/>
            <w:tcBorders/>
          </w:tcPr>
          <w:p>
            <w:pPr>
              <w:pStyle w:val="TableContents"/>
              <w:bidi w:val="0"/>
              <w:spacing w:before="0" w:after="283"/>
              <w:jc w:val="left"/>
              <w:rPr/>
            </w:pPr>
            <w:r>
              <w:rPr/>
              <w:t>SALT LAKE BEHAVIORAL HEALTH, LLC</w:t>
            </w:r>
          </w:p>
        </w:tc>
      </w:tr>
      <w:tr>
        <w:trPr/>
        <w:tc>
          <w:tcPr>
            <w:tcW w:w="4082" w:type="dxa"/>
            <w:gridSpan w:val="3"/>
            <w:tcBorders/>
          </w:tcPr>
          <w:p>
            <w:pPr>
              <w:pStyle w:val="TableContents"/>
              <w:bidi w:val="0"/>
              <w:spacing w:before="0" w:after="283"/>
              <w:jc w:val="left"/>
              <w:rPr/>
            </w:pPr>
            <w:r>
              <w:rPr/>
              <w:t>SALT LAKE PSYCHIATRIC REALTY, LLC</w:t>
            </w:r>
          </w:p>
        </w:tc>
      </w:tr>
      <w:tr>
        <w:trPr/>
        <w:tc>
          <w:tcPr>
            <w:tcW w:w="4082" w:type="dxa"/>
            <w:gridSpan w:val="3"/>
            <w:tcBorders/>
          </w:tcPr>
          <w:p>
            <w:pPr>
              <w:pStyle w:val="TableContents"/>
              <w:bidi w:val="0"/>
              <w:spacing w:before="0" w:after="283"/>
              <w:jc w:val="left"/>
              <w:rPr/>
            </w:pPr>
            <w:r>
              <w:rPr/>
              <w:t>UBH OF OREGON, LLC</w:t>
            </w:r>
          </w:p>
        </w:tc>
      </w:tr>
      <w:tr>
        <w:trPr/>
        <w:tc>
          <w:tcPr>
            <w:tcW w:w="4082" w:type="dxa"/>
            <w:gridSpan w:val="3"/>
            <w:tcBorders/>
          </w:tcPr>
          <w:p>
            <w:pPr>
              <w:pStyle w:val="TableContents"/>
              <w:bidi w:val="0"/>
              <w:spacing w:before="0" w:after="283"/>
              <w:jc w:val="left"/>
              <w:rPr/>
            </w:pPr>
            <w:r>
              <w:rPr/>
              <w:t>UBH OF PHOENIX, LLC</w:t>
            </w:r>
          </w:p>
        </w:tc>
      </w:tr>
      <w:tr>
        <w:trPr/>
        <w:tc>
          <w:tcPr>
            <w:tcW w:w="4082" w:type="dxa"/>
            <w:gridSpan w:val="3"/>
            <w:tcBorders/>
          </w:tcPr>
          <w:p>
            <w:pPr>
              <w:pStyle w:val="TableContents"/>
              <w:bidi w:val="0"/>
              <w:spacing w:before="0" w:after="283"/>
              <w:jc w:val="left"/>
              <w:rPr/>
            </w:pPr>
            <w:r>
              <w:rPr/>
              <w:t>UBH OF PHOENIX REALTY, LLC</w:t>
            </w:r>
          </w:p>
        </w:tc>
      </w:tr>
      <w:tr>
        <w:trPr/>
        <w:tc>
          <w:tcPr>
            <w:tcW w:w="4082" w:type="dxa"/>
            <w:gridSpan w:val="3"/>
            <w:tcBorders/>
          </w:tcPr>
          <w:p>
            <w:pPr>
              <w:pStyle w:val="TableContents"/>
              <w:bidi w:val="0"/>
              <w:spacing w:before="0" w:after="283"/>
              <w:jc w:val="left"/>
              <w:rPr/>
            </w:pPr>
            <w:r>
              <w:rPr/>
              <w:t>UNIVERSITY BEHAVIORAL HEALTH OF EL PASO,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Ascend Health Corporation</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27"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95"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Steve Filton</w:t>
            </w:r>
          </w:p>
        </w:tc>
      </w:tr>
      <w:tr>
        <w:trPr/>
        <w:tc>
          <w:tcPr>
            <w:tcW w:w="695"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GARFIELD PARK HOSPITAL,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Hartgrove,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ABS LINCS KY, LLC</w:t>
            </w:r>
          </w:p>
        </w:tc>
      </w:tr>
      <w:tr>
        <w:trPr/>
        <w:tc>
          <w:tcPr>
            <w:tcW w:w="4082" w:type="dxa"/>
            <w:gridSpan w:val="3"/>
            <w:tcBorders/>
          </w:tcPr>
          <w:p>
            <w:pPr>
              <w:pStyle w:val="TableContents"/>
              <w:bidi w:val="0"/>
              <w:spacing w:before="0" w:after="283"/>
              <w:jc w:val="left"/>
              <w:rPr/>
            </w:pPr>
            <w:r>
              <w:rPr/>
              <w:t>HUGHES CENTER,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Alternative Behavioral Services,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VALLEY HEALTH SYSTEM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Valley Hospital Medical Center,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UHP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Island 77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Ascend Health Corporation</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tcPr>
          <w:p>
            <w:pPr>
              <w:pStyle w:val="TableContents"/>
              <w:bidi w:val="0"/>
              <w:spacing w:before="0" w:after="283"/>
              <w:jc w:val="left"/>
              <w:rPr/>
            </w:pPr>
            <w:r>
              <w:rPr/>
              <w:t>/s/ Steve Filton</w:t>
            </w:r>
          </w:p>
        </w:tc>
      </w:tr>
      <w:tr>
        <w:trPr/>
        <w:tc>
          <w:tcPr>
            <w:tcW w:w="671"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Steve Filton</w:t>
            </w:r>
          </w:p>
        </w:tc>
      </w:tr>
      <w:tr>
        <w:trPr/>
        <w:tc>
          <w:tcPr>
            <w:tcW w:w="671"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1"/>
        <w:gridCol w:w="60"/>
        <w:gridCol w:w="3361"/>
      </w:tblGrid>
      <w:tr>
        <w:trPr/>
        <w:tc>
          <w:tcPr>
            <w:tcW w:w="6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BEACH 77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2026 W. University Properties,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By: Ascend Health Corporation</w:t>
            </w:r>
          </w:p>
        </w:tc>
      </w:tr>
      <w:tr>
        <w:trPr/>
        <w:tc>
          <w:tcPr>
            <w:tcW w:w="66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Its sole member</w:t>
            </w:r>
          </w:p>
        </w:tc>
      </w:tr>
      <w:tr>
        <w:trPr>
          <w:trHeight w:val="240" w:hRule="atLeast"/>
        </w:trPr>
        <w:tc>
          <w:tcPr>
            <w:tcW w:w="661" w:type="dxa"/>
            <w:tcBorders/>
            <w:vAlign w:val="center"/>
          </w:tcPr>
          <w:p>
            <w:pPr>
              <w:pStyle w:val="TableContents"/>
              <w:bidi w:val="0"/>
              <w:spacing w:before="0" w:after="283"/>
              <w:jc w:val="left"/>
              <w:rPr>
                <w:sz w:val="4"/>
                <w:szCs w:val="4"/>
              </w:rPr>
            </w:pPr>
            <w:r>
              <w:rPr>
                <w:sz w:val="4"/>
                <w:szCs w:val="4"/>
              </w:rPr>
            </w:r>
          </w:p>
        </w:tc>
        <w:tc>
          <w:tcPr>
            <w:tcW w:w="3421" w:type="dxa"/>
            <w:gridSpan w:val="2"/>
            <w:tcBorders/>
            <w:vAlign w:val="center"/>
          </w:tcPr>
          <w:p>
            <w:pPr>
              <w:pStyle w:val="TableContents"/>
              <w:bidi w:val="0"/>
              <w:spacing w:before="0" w:after="283"/>
              <w:jc w:val="left"/>
              <w:rPr>
                <w:sz w:val="4"/>
                <w:szCs w:val="4"/>
              </w:rPr>
            </w:pPr>
            <w:r>
              <w:rPr>
                <w:sz w:val="4"/>
                <w:szCs w:val="4"/>
              </w:rPr>
            </w:r>
          </w:p>
        </w:tc>
      </w:tr>
      <w:tr>
        <w:trPr/>
        <w:tc>
          <w:tcPr>
            <w:tcW w:w="66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6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Steve Filton</w:t>
            </w:r>
          </w:p>
        </w:tc>
      </w:tr>
      <w:tr>
        <w:trPr/>
        <w:tc>
          <w:tcPr>
            <w:tcW w:w="66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89"/>
        <w:gridCol w:w="60"/>
        <w:gridCol w:w="3333"/>
      </w:tblGrid>
      <w:tr>
        <w:trPr/>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CORAL SHORES BEHAVIORAL HEALTH,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Children’s Comprehensive Services,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89" w:type="dxa"/>
            <w:tcBorders/>
            <w:vAlign w:val="center"/>
          </w:tcPr>
          <w:p>
            <w:pPr>
              <w:pStyle w:val="TableContents"/>
              <w:bidi w:val="0"/>
              <w:spacing w:before="0" w:after="283"/>
              <w:jc w:val="left"/>
              <w:rPr>
                <w:sz w:val="4"/>
                <w:szCs w:val="4"/>
              </w:rPr>
            </w:pPr>
            <w:r>
              <w:rPr>
                <w:sz w:val="4"/>
                <w:szCs w:val="4"/>
              </w:rPr>
            </w:r>
          </w:p>
        </w:tc>
        <w:tc>
          <w:tcPr>
            <w:tcW w:w="3393" w:type="dxa"/>
            <w:gridSpan w:val="2"/>
            <w:tcBorders/>
            <w:vAlign w:val="center"/>
          </w:tcPr>
          <w:p>
            <w:pPr>
              <w:pStyle w:val="TableContents"/>
              <w:bidi w:val="0"/>
              <w:spacing w:before="0" w:after="283"/>
              <w:jc w:val="left"/>
              <w:rPr>
                <w:sz w:val="4"/>
                <w:szCs w:val="4"/>
              </w:rPr>
            </w:pPr>
            <w:r>
              <w:rPr>
                <w:sz w:val="4"/>
                <w:szCs w:val="4"/>
              </w:rPr>
            </w:r>
          </w:p>
        </w:tc>
      </w:tr>
      <w:tr>
        <w:trPr/>
        <w:tc>
          <w:tcPr>
            <w:tcW w:w="68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8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Steve Filton</w:t>
            </w:r>
          </w:p>
        </w:tc>
      </w:tr>
      <w:tr>
        <w:trPr/>
        <w:tc>
          <w:tcPr>
            <w:tcW w:w="68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3"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DVH HOSPITAL ALLIANCE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Holding Company,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DHP 2131 K ST,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District Hospital Partners, L.P.</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By: UHS of D.C., Inc.</w:t>
            </w:r>
          </w:p>
        </w:tc>
      </w:tr>
      <w:tr>
        <w:trPr/>
        <w:tc>
          <w:tcPr>
            <w:tcW w:w="6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Its general partner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FUNDING,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Delaware, Inc.</w:t>
            </w:r>
          </w:p>
        </w:tc>
      </w:tr>
      <w:tr>
        <w:trPr/>
        <w:tc>
          <w:tcPr>
            <w:tcW w:w="4082" w:type="dxa"/>
            <w:gridSpan w:val="3"/>
            <w:tcBorders/>
          </w:tcPr>
          <w:p>
            <w:pPr>
              <w:pStyle w:val="TableContents"/>
              <w:bidi w:val="0"/>
              <w:spacing w:before="0" w:after="283"/>
              <w:jc w:val="left"/>
              <w:rPr/>
            </w:pPr>
            <w:r>
              <w:rPr/>
              <w:t>Its majority member</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Name: Steve Filton</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Title: Executive Vice President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Universal Health Services, Inc.</w:t>
            </w:r>
          </w:p>
        </w:tc>
      </w:tr>
      <w:tr>
        <w:trPr/>
        <w:tc>
          <w:tcPr>
            <w:tcW w:w="4082" w:type="dxa"/>
            <w:gridSpan w:val="3"/>
            <w:tcBorders/>
          </w:tcPr>
          <w:p>
            <w:pPr>
              <w:pStyle w:val="TableContents"/>
              <w:bidi w:val="0"/>
              <w:spacing w:before="0" w:after="283"/>
              <w:jc w:val="left"/>
              <w:rPr/>
            </w:pPr>
            <w:r>
              <w:rPr/>
              <w:t>Its minority member</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Name: Steve Filton</w:t>
            </w:r>
          </w:p>
        </w:tc>
      </w:tr>
      <w:tr>
        <w:trPr/>
        <w:tc>
          <w:tcPr>
            <w:tcW w:w="378"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bidi w:val="0"/>
              <w:spacing w:before="0" w:after="283"/>
              <w:jc w:val="left"/>
              <w:rPr/>
            </w:pPr>
            <w:r>
              <w:rPr/>
              <w:t>Title: Executive Vice President, Chief Financial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66"/>
        <w:gridCol w:w="60"/>
        <w:gridCol w:w="3356"/>
      </w:tblGrid>
      <w:tr>
        <w:trPr/>
        <w:tc>
          <w:tcPr>
            <w:tcW w:w="66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MILWAUKEE BEHAVIORAL HEALTH,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Delaware, Inc.</w:t>
            </w:r>
          </w:p>
        </w:tc>
      </w:tr>
      <w:tr>
        <w:trPr/>
        <w:tc>
          <w:tcPr>
            <w:tcW w:w="4082" w:type="dxa"/>
            <w:gridSpan w:val="3"/>
            <w:tcBorders/>
          </w:tcPr>
          <w:p>
            <w:pPr>
              <w:pStyle w:val="TableContents"/>
              <w:bidi w:val="0"/>
              <w:spacing w:before="0" w:after="283"/>
              <w:jc w:val="left"/>
              <w:rPr/>
            </w:pPr>
            <w:r>
              <w:rPr/>
              <w:t>Its minority member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Steve Filton</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Executive Vice President and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Funding, LLC</w:t>
            </w:r>
          </w:p>
        </w:tc>
      </w:tr>
      <w:tr>
        <w:trPr/>
        <w:tc>
          <w:tcPr>
            <w:tcW w:w="4082" w:type="dxa"/>
            <w:gridSpan w:val="3"/>
            <w:tcBorders/>
          </w:tcPr>
          <w:p>
            <w:pPr>
              <w:pStyle w:val="TableContents"/>
              <w:bidi w:val="0"/>
              <w:spacing w:before="0" w:after="283"/>
              <w:jc w:val="left"/>
              <w:rPr/>
            </w:pPr>
            <w:r>
              <w:rPr/>
              <w:t>Its majority member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By: UHS of Delaware, Inc.</w:t>
            </w:r>
          </w:p>
        </w:tc>
      </w:tr>
      <w:tr>
        <w:trPr/>
        <w:tc>
          <w:tcPr>
            <w:tcW w:w="66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Its majority member</w:t>
            </w:r>
          </w:p>
        </w:tc>
      </w:tr>
      <w:tr>
        <w:trPr>
          <w:trHeight w:val="240" w:hRule="atLeast"/>
        </w:trPr>
        <w:tc>
          <w:tcPr>
            <w:tcW w:w="666" w:type="dxa"/>
            <w:tcBorders/>
            <w:vAlign w:val="center"/>
          </w:tcPr>
          <w:p>
            <w:pPr>
              <w:pStyle w:val="TableContents"/>
              <w:bidi w:val="0"/>
              <w:spacing w:before="0" w:after="283"/>
              <w:jc w:val="left"/>
              <w:rPr>
                <w:sz w:val="4"/>
                <w:szCs w:val="4"/>
              </w:rPr>
            </w:pPr>
            <w:r>
              <w:rPr>
                <w:sz w:val="4"/>
                <w:szCs w:val="4"/>
              </w:rPr>
            </w:r>
          </w:p>
        </w:tc>
        <w:tc>
          <w:tcPr>
            <w:tcW w:w="3416" w:type="dxa"/>
            <w:gridSpan w:val="2"/>
            <w:tcBorders/>
            <w:vAlign w:val="center"/>
          </w:tcPr>
          <w:p>
            <w:pPr>
              <w:pStyle w:val="TableContents"/>
              <w:bidi w:val="0"/>
              <w:spacing w:before="0" w:after="283"/>
              <w:jc w:val="left"/>
              <w:rPr>
                <w:sz w:val="4"/>
                <w:szCs w:val="4"/>
              </w:rPr>
            </w:pPr>
            <w:r>
              <w:rPr>
                <w:sz w:val="4"/>
                <w:szCs w:val="4"/>
              </w:rPr>
            </w:r>
          </w:p>
        </w:tc>
      </w:tr>
      <w:tr>
        <w:trPr/>
        <w:tc>
          <w:tcPr>
            <w:tcW w:w="66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6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Steve Filton</w:t>
            </w:r>
          </w:p>
        </w:tc>
      </w:tr>
      <w:tr>
        <w:trPr/>
        <w:tc>
          <w:tcPr>
            <w:tcW w:w="66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6" w:type="dxa"/>
            <w:tcBorders/>
          </w:tcPr>
          <w:p>
            <w:pPr>
              <w:pStyle w:val="TableContents"/>
              <w:bidi w:val="0"/>
              <w:spacing w:before="0" w:after="283"/>
              <w:jc w:val="left"/>
              <w:rPr/>
            </w:pPr>
            <w:r>
              <w:rPr/>
              <w:t>Executive Vice President and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FANNIN MANAGEMENT SERVICES,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Texoma,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6" w:type="dxa"/>
            <w:tcBorders/>
            <w:vAlign w:val="center"/>
          </w:tcPr>
          <w:p>
            <w:pPr>
              <w:pStyle w:val="TableContents"/>
              <w:bidi w:val="0"/>
              <w:spacing w:before="0" w:after="283"/>
              <w:jc w:val="left"/>
              <w:rPr>
                <w:sz w:val="4"/>
                <w:szCs w:val="4"/>
              </w:rPr>
            </w:pPr>
            <w:r>
              <w:rPr>
                <w:sz w:val="4"/>
                <w:szCs w:val="4"/>
              </w:rPr>
            </w:r>
          </w:p>
        </w:tc>
        <w:tc>
          <w:tcPr>
            <w:tcW w:w="3386" w:type="dxa"/>
            <w:gridSpan w:val="2"/>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Steve Filton</w:t>
            </w:r>
          </w:p>
        </w:tc>
      </w:tr>
      <w:tr>
        <w:trPr/>
        <w:tc>
          <w:tcPr>
            <w:tcW w:w="6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95"/>
        <w:gridCol w:w="60"/>
        <w:gridCol w:w="3327"/>
      </w:tblGrid>
      <w:tr>
        <w:trPr/>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RIDGE OUTPATIENT COUNSELING,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Ridge, LLC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95" w:type="dxa"/>
            <w:tcBorders/>
            <w:vAlign w:val="center"/>
          </w:tcPr>
          <w:p>
            <w:pPr>
              <w:pStyle w:val="TableContents"/>
              <w:bidi w:val="0"/>
              <w:spacing w:before="0" w:after="283"/>
              <w:jc w:val="left"/>
              <w:rPr>
                <w:sz w:val="4"/>
                <w:szCs w:val="4"/>
              </w:rPr>
            </w:pPr>
            <w:r>
              <w:rPr>
                <w:sz w:val="4"/>
                <w:szCs w:val="4"/>
              </w:rPr>
            </w:r>
          </w:p>
        </w:tc>
        <w:tc>
          <w:tcPr>
            <w:tcW w:w="3387" w:type="dxa"/>
            <w:gridSpan w:val="2"/>
            <w:tcBorders/>
            <w:vAlign w:val="center"/>
          </w:tcPr>
          <w:p>
            <w:pPr>
              <w:pStyle w:val="TableContents"/>
              <w:bidi w:val="0"/>
              <w:spacing w:before="0" w:after="283"/>
              <w:jc w:val="left"/>
              <w:rPr>
                <w:sz w:val="4"/>
                <w:szCs w:val="4"/>
              </w:rPr>
            </w:pPr>
            <w:r>
              <w:rPr>
                <w:sz w:val="4"/>
                <w:szCs w:val="4"/>
              </w:rPr>
            </w:r>
          </w:p>
        </w:tc>
      </w:tr>
      <w:tr>
        <w:trPr/>
        <w:tc>
          <w:tcPr>
            <w:tcW w:w="6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9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Steve Filton</w:t>
            </w:r>
          </w:p>
        </w:tc>
      </w:tr>
      <w:tr>
        <w:trPr/>
        <w:tc>
          <w:tcPr>
            <w:tcW w:w="69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7"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9"/>
        <w:gridCol w:w="370"/>
        <w:gridCol w:w="370"/>
        <w:gridCol w:w="370"/>
        <w:gridCol w:w="2603"/>
      </w:tblGrid>
      <w:tr>
        <w:trPr/>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bottom"/>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BLOOMINGTON MEADOWS, GENERAL PARTNERSHIP</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By: BHC of Indiana, General Partnership,</w:t>
            </w:r>
          </w:p>
          <w:p>
            <w:pPr>
              <w:pStyle w:val="TableContents"/>
              <w:bidi w:val="0"/>
              <w:spacing w:before="0" w:after="20"/>
              <w:jc w:val="left"/>
              <w:rPr>
                <w:rFonts w:ascii="Times New Roman" w:hAnsi="Times New Roman"/>
                <w:sz w:val="20"/>
              </w:rPr>
            </w:pPr>
            <w:r>
              <w:rPr>
                <w:rFonts w:ascii="Times New Roman" w:hAnsi="Times New Roman"/>
                <w:sz w:val="20"/>
              </w:rPr>
              <w:t>its General Partner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By: Columbus Hospital Partners, LLC,</w:t>
            </w:r>
          </w:p>
          <w:p>
            <w:pPr>
              <w:pStyle w:val="TableContents"/>
              <w:bidi w:val="0"/>
              <w:spacing w:before="0" w:after="20"/>
              <w:jc w:val="left"/>
              <w:rPr>
                <w:rFonts w:ascii="Times New Roman" w:hAnsi="Times New Roman"/>
                <w:sz w:val="20"/>
              </w:rPr>
            </w:pPr>
            <w:r>
              <w:rPr>
                <w:rFonts w:ascii="Times New Roman" w:hAnsi="Times New Roman"/>
                <w:sz w:val="20"/>
              </w:rPr>
              <w:t>its General Partner</w:t>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By: Lebanon Hospital Partners, LLC,</w:t>
            </w:r>
          </w:p>
          <w:p>
            <w:pPr>
              <w:pStyle w:val="TableContents"/>
              <w:bidi w:val="0"/>
              <w:spacing w:before="0" w:after="20"/>
              <w:jc w:val="left"/>
              <w:rPr>
                <w:rFonts w:ascii="Times New Roman" w:hAnsi="Times New Roman"/>
                <w:sz w:val="20"/>
              </w:rPr>
            </w:pPr>
            <w:r>
              <w:rPr>
                <w:rFonts w:ascii="Times New Roman" w:hAnsi="Times New Roman"/>
                <w:sz w:val="20"/>
              </w:rPr>
              <w:t>its General Partner</w:t>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By: Northern Indiana Partners, LLC,</w:t>
            </w:r>
          </w:p>
          <w:p>
            <w:pPr>
              <w:pStyle w:val="TableContents"/>
              <w:bidi w:val="0"/>
              <w:spacing w:before="0" w:after="20"/>
              <w:jc w:val="left"/>
              <w:rPr>
                <w:rFonts w:ascii="Times New Roman" w:hAnsi="Times New Roman"/>
                <w:sz w:val="20"/>
              </w:rPr>
            </w:pPr>
            <w:r>
              <w:rPr>
                <w:rFonts w:ascii="Times New Roman" w:hAnsi="Times New Roman"/>
                <w:sz w:val="20"/>
              </w:rPr>
              <w:t>its General Partner</w:t>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By: Valle Vista Hospital Partners, LLC,</w:t>
            </w:r>
          </w:p>
          <w:p>
            <w:pPr>
              <w:pStyle w:val="TableContents"/>
              <w:bidi w:val="0"/>
              <w:spacing w:before="0" w:after="20"/>
              <w:jc w:val="left"/>
              <w:rPr>
                <w:rFonts w:ascii="Times New Roman" w:hAnsi="Times New Roman"/>
                <w:sz w:val="20"/>
              </w:rPr>
            </w:pPr>
            <w:r>
              <w:rPr>
                <w:rFonts w:ascii="Times New Roman" w:hAnsi="Times New Roman"/>
                <w:sz w:val="20"/>
              </w:rPr>
              <w:t>its General Partner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By: BHC Healthcare, LLC, the Sole Member of each of the above General Partners</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p>
            <w:pPr>
              <w:pStyle w:val="TableContents"/>
              <w:bidi w:val="0"/>
              <w:spacing w:before="0" w:after="20"/>
              <w:jc w:val="left"/>
              <w:rPr>
                <w:rFonts w:ascii="Times New Roman" w:hAnsi="Times New Roman"/>
                <w:sz w:val="20"/>
              </w:rPr>
            </w:pPr>
            <w:r>
              <w:rPr>
                <w:rFonts w:ascii="Times New Roman" w:hAnsi="Times New Roman"/>
                <w:sz w:val="20"/>
              </w:rPr>
              <w:t>its Sole Member</w:t>
            </w:r>
          </w:p>
        </w:tc>
      </w:tr>
    </w:tbl>
    <w:tbl>
      <w:tblPr>
        <w:tblW w:w="1500" w:type="pct"/>
        <w:jc w:val="right"/>
        <w:tblInd w:w="0" w:type="dxa"/>
        <w:tblLayout w:type="fixed"/>
        <w:tblCellMar>
          <w:top w:w="0" w:type="dxa"/>
          <w:left w:w="0" w:type="dxa"/>
          <w:bottom w:w="0" w:type="dxa"/>
          <w:right w:w="0" w:type="dxa"/>
        </w:tblCellMar>
      </w:tblPr>
      <w:tblGrid>
        <w:gridCol w:w="638"/>
        <w:gridCol w:w="60"/>
        <w:gridCol w:w="2363"/>
      </w:tblGrid>
      <w:tr>
        <w:trPr/>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638" w:type="dxa"/>
            <w:tcBorders/>
            <w:vAlign w:val="center"/>
          </w:tcPr>
          <w:p>
            <w:pPr>
              <w:pStyle w:val="TableContents"/>
              <w:bidi w:val="0"/>
              <w:spacing w:before="0" w:after="283"/>
              <w:jc w:val="left"/>
              <w:rPr>
                <w:sz w:val="4"/>
                <w:szCs w:val="4"/>
              </w:rPr>
            </w:pPr>
            <w:r>
              <w:rPr>
                <w:sz w:val="4"/>
                <w:szCs w:val="4"/>
              </w:rPr>
            </w:r>
          </w:p>
        </w:tc>
        <w:tc>
          <w:tcPr>
            <w:tcW w:w="2423" w:type="dxa"/>
            <w:gridSpan w:val="2"/>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3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3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363" w:type="dxa"/>
            <w:tcBorders/>
          </w:tcPr>
          <w:p>
            <w:pPr>
              <w:pStyle w:val="TableContents"/>
              <w:bidi w:val="0"/>
              <w:spacing w:before="0" w:after="283"/>
              <w:jc w:val="left"/>
              <w:rPr/>
            </w:pPr>
            <w:r>
              <w:rPr/>
              <w:t>Steve Filton</w:t>
            </w:r>
          </w:p>
        </w:tc>
      </w:tr>
      <w:tr>
        <w:trPr/>
        <w:tc>
          <w:tcPr>
            <w:tcW w:w="63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363" w:type="dxa"/>
            <w:tcBorders/>
          </w:tcPr>
          <w:p>
            <w:pPr>
              <w:pStyle w:val="TableContents"/>
              <w:bidi w:val="0"/>
              <w:spacing w:before="0" w:after="283"/>
              <w:jc w:val="left"/>
              <w:rPr/>
            </w:pPr>
            <w:r>
              <w:rPr/>
              <w:t>Vice President</w:t>
            </w:r>
          </w:p>
        </w:tc>
      </w:tr>
    </w:tbl>
    <w:tbl>
      <w:tblPr>
        <w:tblW w:w="2000" w:type="pct"/>
        <w:jc w:val="right"/>
        <w:tblInd w:w="0" w:type="dxa"/>
        <w:tblLayout w:type="fixed"/>
        <w:tblCellMar>
          <w:top w:w="0" w:type="dxa"/>
          <w:left w:w="0" w:type="dxa"/>
          <w:bottom w:w="0" w:type="dxa"/>
          <w:right w:w="0" w:type="dxa"/>
        </w:tblCellMar>
      </w:tblPr>
      <w:tblGrid>
        <w:gridCol w:w="320"/>
        <w:gridCol w:w="306"/>
        <w:gridCol w:w="3456"/>
      </w:tblGrid>
      <w:tr>
        <w:trPr/>
        <w:tc>
          <w:tcPr>
            <w:tcW w:w="320"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3456"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Indiana Psychiatric Institutes, LLC,</w:t>
            </w:r>
          </w:p>
          <w:p>
            <w:pPr>
              <w:pStyle w:val="TableContents"/>
              <w:bidi w:val="0"/>
              <w:spacing w:before="0" w:after="20"/>
              <w:jc w:val="left"/>
              <w:rPr>
                <w:rFonts w:ascii="Times New Roman" w:hAnsi="Times New Roman"/>
                <w:sz w:val="20"/>
              </w:rPr>
            </w:pPr>
            <w:r>
              <w:rPr>
                <w:rFonts w:ascii="Times New Roman" w:hAnsi="Times New Roman"/>
                <w:sz w:val="20"/>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Healthcare, LLC,</w:t>
            </w:r>
          </w:p>
          <w:p>
            <w:pPr>
              <w:pStyle w:val="TableContents"/>
              <w:bidi w:val="0"/>
              <w:spacing w:before="0" w:after="20"/>
              <w:jc w:val="left"/>
              <w:rPr>
                <w:rFonts w:ascii="Times New Roman" w:hAnsi="Times New Roman"/>
                <w:sz w:val="20"/>
              </w:rPr>
            </w:pPr>
            <w:r>
              <w:rPr>
                <w:rFonts w:ascii="Times New Roman" w:hAnsi="Times New Roman"/>
                <w:sz w:val="20"/>
              </w:rPr>
              <w:t>its Sole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By: BHC Holdings, Inc.</w:t>
            </w:r>
          </w:p>
          <w:p>
            <w:pPr>
              <w:pStyle w:val="TableContents"/>
              <w:bidi w:val="0"/>
              <w:spacing w:before="0" w:after="20"/>
              <w:jc w:val="left"/>
              <w:rPr>
                <w:rFonts w:ascii="Times New Roman" w:hAnsi="Times New Roman"/>
                <w:sz w:val="20"/>
              </w:rPr>
            </w:pPr>
            <w:r>
              <w:rPr>
                <w:rFonts w:ascii="Times New Roman" w:hAnsi="Times New Roman"/>
                <w:sz w:val="20"/>
              </w:rPr>
              <w:t>its Sole Member</w:t>
            </w:r>
          </w:p>
        </w:tc>
      </w:tr>
    </w:tbl>
    <w:tbl>
      <w:tblPr>
        <w:tblW w:w="1500" w:type="pct"/>
        <w:jc w:val="right"/>
        <w:tblInd w:w="0" w:type="dxa"/>
        <w:tblLayout w:type="fixed"/>
        <w:tblCellMar>
          <w:top w:w="0" w:type="dxa"/>
          <w:left w:w="0" w:type="dxa"/>
          <w:bottom w:w="0" w:type="dxa"/>
          <w:right w:w="0" w:type="dxa"/>
        </w:tblCellMar>
      </w:tblPr>
      <w:tblGrid>
        <w:gridCol w:w="638"/>
        <w:gridCol w:w="60"/>
        <w:gridCol w:w="2363"/>
      </w:tblGrid>
      <w:tr>
        <w:trPr/>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638" w:type="dxa"/>
            <w:tcBorders/>
            <w:vAlign w:val="center"/>
          </w:tcPr>
          <w:p>
            <w:pPr>
              <w:pStyle w:val="TableContents"/>
              <w:bidi w:val="0"/>
              <w:spacing w:before="0" w:after="283"/>
              <w:jc w:val="left"/>
              <w:rPr>
                <w:sz w:val="4"/>
                <w:szCs w:val="4"/>
              </w:rPr>
            </w:pPr>
            <w:r>
              <w:rPr>
                <w:sz w:val="4"/>
                <w:szCs w:val="4"/>
              </w:rPr>
            </w:r>
          </w:p>
        </w:tc>
        <w:tc>
          <w:tcPr>
            <w:tcW w:w="2423" w:type="dxa"/>
            <w:gridSpan w:val="2"/>
            <w:tcBorders/>
            <w:vAlign w:val="center"/>
          </w:tcPr>
          <w:p>
            <w:pPr>
              <w:pStyle w:val="TableContents"/>
              <w:bidi w:val="0"/>
              <w:spacing w:before="0" w:after="283"/>
              <w:jc w:val="left"/>
              <w:rPr>
                <w:sz w:val="4"/>
                <w:szCs w:val="4"/>
              </w:rPr>
            </w:pPr>
            <w:r>
              <w:rPr>
                <w:sz w:val="4"/>
                <w:szCs w:val="4"/>
              </w:rPr>
            </w:r>
          </w:p>
        </w:tc>
      </w:tr>
      <w:tr>
        <w:trPr/>
        <w:tc>
          <w:tcPr>
            <w:tcW w:w="63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36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3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363" w:type="dxa"/>
            <w:tcBorders/>
          </w:tcPr>
          <w:p>
            <w:pPr>
              <w:pStyle w:val="TableContents"/>
              <w:bidi w:val="0"/>
              <w:spacing w:before="0" w:after="283"/>
              <w:jc w:val="left"/>
              <w:rPr/>
            </w:pPr>
            <w:r>
              <w:rPr/>
              <w:t>Steve Filton</w:t>
            </w:r>
          </w:p>
        </w:tc>
      </w:tr>
      <w:tr>
        <w:trPr/>
        <w:tc>
          <w:tcPr>
            <w:tcW w:w="63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363"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DISTRICT HOSPITAL PARTNERS,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of D.C., Inc.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OF KANSAS CITY,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Great Plains Hospital, Inc.</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EAST END SUB, LLC</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UHS East End Corporation</w:t>
            </w:r>
          </w:p>
        </w:tc>
      </w:tr>
      <w:tr>
        <w:trPr/>
        <w:tc>
          <w:tcPr>
            <w:tcW w:w="4082" w:type="dxa"/>
            <w:gridSpan w:val="3"/>
            <w:tcBorders/>
          </w:tcPr>
          <w:p>
            <w:pPr>
              <w:pStyle w:val="TableContents"/>
              <w:bidi w:val="0"/>
              <w:spacing w:before="0" w:after="283"/>
              <w:jc w:val="left"/>
              <w:rPr/>
            </w:pPr>
            <w:r>
              <w:rPr/>
              <w:t>Its Sole Member</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Steve Filton</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671"/>
        <w:gridCol w:w="122"/>
        <w:gridCol w:w="3289"/>
      </w:tblGrid>
      <w:tr>
        <w:trPr/>
        <w:tc>
          <w:tcPr>
            <w:tcW w:w="67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8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UHS EAST END CORPORATION</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122" w:type="dxa"/>
            <w:tcBorders/>
            <w:vAlign w:val="bottom"/>
          </w:tcPr>
          <w:p>
            <w:pPr>
              <w:pStyle w:val="TableContents"/>
              <w:bidi w:val="0"/>
              <w:spacing w:before="0" w:after="283"/>
              <w:jc w:val="left"/>
              <w:rPr/>
            </w:pPr>
            <w:r>
              <w:rPr/>
              <w:t> </w:t>
            </w:r>
          </w:p>
        </w:tc>
        <w:tc>
          <w:tcPr>
            <w:tcW w:w="328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Steve Filton</w:t>
            </w:r>
          </w:p>
        </w:tc>
      </w:tr>
      <w:tr>
        <w:trPr/>
        <w:tc>
          <w:tcPr>
            <w:tcW w:w="4082" w:type="dxa"/>
            <w:gridSpan w:val="3"/>
            <w:tcBorders/>
          </w:tcPr>
          <w:p>
            <w:pPr>
              <w:pStyle w:val="TableContents"/>
              <w:bidi w:val="0"/>
              <w:spacing w:before="0" w:after="283"/>
              <w:jc w:val="left"/>
              <w:rPr/>
            </w:pPr>
            <w:r>
              <w:rPr/>
              <w:t>Name: Steve Filton</w:t>
            </w:r>
          </w:p>
        </w:tc>
      </w:tr>
      <w:tr>
        <w:trPr/>
        <w:tc>
          <w:tcPr>
            <w:tcW w:w="4082" w:type="dxa"/>
            <w:gridSpan w:val="3"/>
            <w:tcBorders/>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for Additional Authorized Representative Joinder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6" w:name="d329184dex51.htm"/>
      <w:bookmarkStart w:id="7" w:name="ksd329184dex51"/>
      <w:bookmarkEnd w:id="6"/>
      <w:bookmarkEnd w:id="7"/>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677"/>
        <w:gridCol w:w="120"/>
        <w:gridCol w:w="5408"/>
      </w:tblGrid>
      <w:tr>
        <w:trPr/>
        <w:tc>
          <w:tcPr>
            <w:tcW w:w="467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408" w:type="dxa"/>
            <w:tcBorders/>
            <w:vAlign w:val="center"/>
          </w:tcPr>
          <w:p>
            <w:pPr>
              <w:pStyle w:val="TableContents"/>
              <w:bidi w:val="0"/>
              <w:spacing w:before="0" w:after="283"/>
              <w:jc w:val="left"/>
              <w:rPr>
                <w:sz w:val="4"/>
                <w:szCs w:val="4"/>
              </w:rPr>
            </w:pPr>
            <w:r>
              <w:rPr>
                <w:sz w:val="4"/>
                <w:szCs w:val="4"/>
              </w:rPr>
            </w:r>
          </w:p>
        </w:tc>
      </w:tr>
      <w:tr>
        <w:trPr/>
        <w:tc>
          <w:tcPr>
            <w:tcW w:w="467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408" w:type="dxa"/>
            <w:tcBorders/>
          </w:tcPr>
          <w:p>
            <w:pPr>
              <w:pStyle w:val="TableContents"/>
              <w:bidi w:val="0"/>
              <w:spacing w:before="0" w:after="283"/>
              <w:jc w:val="left"/>
              <w:rPr/>
            </w:pPr>
            <w:r>
              <w:rPr/>
              <w:drawing>
                <wp:inline distT="0" distB="0" distL="0" distR="0">
                  <wp:extent cx="2800350" cy="314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800350" cy="314325"/>
                          </a:xfrm>
                          <a:prstGeom prst="rect">
                            <a:avLst/>
                          </a:prstGeom>
                        </pic:spPr>
                      </pic:pic>
                    </a:graphicData>
                  </a:graphic>
                </wp:inline>
              </w:drawing>
            </w:r>
            <w:r>
              <w:rPr/>
              <w:t xml:space="preserve"> </w:t>
            </w:r>
          </w:p>
        </w:tc>
      </w:tr>
      <w:tr>
        <w:trPr>
          <w:trHeight w:val="240" w:hRule="atLeast"/>
        </w:trPr>
        <w:tc>
          <w:tcPr>
            <w:tcW w:w="4677" w:type="dxa"/>
            <w:tcBorders/>
            <w:vAlign w:val="center"/>
          </w:tcPr>
          <w:p>
            <w:pPr>
              <w:pStyle w:val="TableContents"/>
              <w:bidi w:val="0"/>
              <w:spacing w:before="0" w:after="283"/>
              <w:jc w:val="left"/>
              <w:rPr>
                <w:sz w:val="4"/>
                <w:szCs w:val="4"/>
              </w:rPr>
            </w:pPr>
            <w:r>
              <w:rPr>
                <w:sz w:val="4"/>
                <w:szCs w:val="4"/>
              </w:rPr>
            </w:r>
          </w:p>
        </w:tc>
        <w:tc>
          <w:tcPr>
            <w:tcW w:w="5528" w:type="dxa"/>
            <w:gridSpan w:val="2"/>
            <w:tcBorders/>
            <w:vAlign w:val="center"/>
          </w:tcPr>
          <w:p>
            <w:pPr>
              <w:pStyle w:val="TableContents"/>
              <w:bidi w:val="0"/>
              <w:spacing w:before="0" w:after="283"/>
              <w:jc w:val="left"/>
              <w:rPr>
                <w:sz w:val="4"/>
                <w:szCs w:val="4"/>
              </w:rPr>
            </w:pPr>
            <w:r>
              <w:rPr>
                <w:sz w:val="4"/>
                <w:szCs w:val="4"/>
              </w:rPr>
            </w:r>
          </w:p>
        </w:tc>
      </w:tr>
      <w:tr>
        <w:trPr/>
        <w:tc>
          <w:tcPr>
            <w:tcW w:w="46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August 20, 2026</w:t>
            </w:r>
          </w:p>
          <w:p>
            <w:pPr>
              <w:pStyle w:val="TableContents"/>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5408" w:type="dxa"/>
            <w:tcBorders/>
          </w:tcPr>
          <w:p>
            <w:pPr>
              <w:pStyle w:val="TableContents"/>
              <w:bidi w:val="0"/>
              <w:spacing w:before="0" w:after="0"/>
              <w:jc w:val="left"/>
              <w:rPr>
                <w:rFonts w:ascii="Times New Roman" w:hAnsi="Times New Roman"/>
                <w:sz w:val="20"/>
              </w:rPr>
            </w:pPr>
            <w:r>
              <w:rPr>
                <w:rFonts w:ascii="Times New Roman" w:hAnsi="Times New Roman"/>
                <w:sz w:val="20"/>
              </w:rPr>
              <w:t>Norton Rose Fulbright US LLP</w:t>
            </w:r>
          </w:p>
          <w:p>
            <w:pPr>
              <w:pStyle w:val="TableContents"/>
              <w:bidi w:val="0"/>
              <w:spacing w:before="0" w:after="0"/>
              <w:jc w:val="left"/>
              <w:rPr>
                <w:rFonts w:ascii="Times New Roman" w:hAnsi="Times New Roman"/>
                <w:sz w:val="20"/>
              </w:rPr>
            </w:pPr>
            <w:r>
              <w:rPr>
                <w:rFonts w:ascii="Times New Roman" w:hAnsi="Times New Roman"/>
                <w:sz w:val="20"/>
              </w:rPr>
              <w:t>1301 Avenue of the Americas</w:t>
            </w:r>
          </w:p>
          <w:p>
            <w:pPr>
              <w:pStyle w:val="TableContents"/>
              <w:bidi w:val="0"/>
              <w:spacing w:before="0" w:after="0"/>
              <w:jc w:val="left"/>
              <w:rPr>
                <w:rFonts w:ascii="Times New Roman" w:hAnsi="Times New Roman"/>
                <w:sz w:val="20"/>
              </w:rPr>
            </w:pPr>
            <w:r>
              <w:rPr>
                <w:rFonts w:ascii="Times New Roman" w:hAnsi="Times New Roman"/>
                <w:sz w:val="20"/>
              </w:rPr>
              <w:t>New York, New York 10019-6022</w:t>
            </w:r>
          </w:p>
          <w:p>
            <w:pPr>
              <w:pStyle w:val="TableContents"/>
              <w:bidi w:val="0"/>
              <w:spacing w:before="0" w:after="0"/>
              <w:jc w:val="left"/>
              <w:rPr>
                <w:rFonts w:ascii="Times New Roman" w:hAnsi="Times New Roman"/>
                <w:sz w:val="20"/>
              </w:rPr>
            </w:pPr>
            <w:r>
              <w:rPr>
                <w:rFonts w:ascii="Times New Roman" w:hAnsi="Times New Roman"/>
                <w:sz w:val="20"/>
              </w:rPr>
              <w:t>United States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Tel +1 212 318 3000</w:t>
            </w:r>
          </w:p>
          <w:p>
            <w:pPr>
              <w:pStyle w:val="TableContents"/>
              <w:bidi w:val="0"/>
              <w:spacing w:before="0" w:after="0"/>
              <w:jc w:val="left"/>
              <w:rPr>
                <w:rFonts w:ascii="Times New Roman" w:hAnsi="Times New Roman"/>
                <w:sz w:val="20"/>
              </w:rPr>
            </w:pPr>
            <w:r>
              <w:rPr>
                <w:rFonts w:ascii="Times New Roman" w:hAnsi="Times New Roman"/>
                <w:sz w:val="20"/>
              </w:rPr>
              <w:t>Fax +1 212 318 3400</w:t>
            </w:r>
          </w:p>
          <w:p>
            <w:pPr>
              <w:pStyle w:val="TableContents"/>
              <w:bidi w:val="0"/>
              <w:spacing w:before="0" w:after="20"/>
              <w:jc w:val="left"/>
              <w:rPr>
                <w:rFonts w:ascii="Times New Roman" w:hAnsi="Times New Roman"/>
                <w:sz w:val="20"/>
              </w:rPr>
            </w:pPr>
            <w:r>
              <w:rPr>
                <w:rFonts w:ascii="Times New Roman" w:hAnsi="Times New Roman"/>
                <w:sz w:val="20"/>
              </w:rPr>
              <w:t>nortonrosefulbright.com</w:t>
            </w:r>
          </w:p>
        </w:tc>
      </w:tr>
    </w:tbl>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Universal Corporate Center </w:t>
      </w:r>
    </w:p>
    <w:p>
      <w:pPr>
        <w:pStyle w:val="TextBody"/>
        <w:bidi w:val="0"/>
        <w:spacing w:before="0" w:after="0"/>
        <w:jc w:val="left"/>
        <w:rPr>
          <w:rFonts w:ascii="Times New Roman" w:hAnsi="Times New Roman"/>
          <w:sz w:val="20"/>
        </w:rPr>
      </w:pPr>
      <w:r>
        <w:rPr>
          <w:rFonts w:ascii="Times New Roman" w:hAnsi="Times New Roman"/>
          <w:sz w:val="20"/>
        </w:rPr>
        <w:t xml:space="preserve">367 South Gulph Road </w:t>
      </w:r>
    </w:p>
    <w:p>
      <w:pPr>
        <w:pStyle w:val="TextBody"/>
        <w:bidi w:val="0"/>
        <w:spacing w:before="0" w:after="0"/>
        <w:jc w:val="left"/>
        <w:rPr>
          <w:rFonts w:ascii="Times New Roman" w:hAnsi="Times New Roman"/>
          <w:sz w:val="20"/>
        </w:rPr>
      </w:pPr>
      <w:r>
        <w:rPr>
          <w:rFonts w:ascii="Times New Roman" w:hAnsi="Times New Roman"/>
          <w:sz w:val="20"/>
        </w:rPr>
        <w:t xml:space="preserve">P.O. Box 61558 </w:t>
      </w:r>
    </w:p>
    <w:p>
      <w:pPr>
        <w:pStyle w:val="TextBody"/>
        <w:bidi w:val="0"/>
        <w:spacing w:before="0" w:after="0"/>
        <w:jc w:val="left"/>
        <w:rPr>
          <w:rFonts w:ascii="Times New Roman" w:hAnsi="Times New Roman"/>
          <w:sz w:val="20"/>
        </w:rPr>
      </w:pPr>
      <w:r>
        <w:rPr>
          <w:rFonts w:ascii="Times New Roman" w:hAnsi="Times New Roman"/>
          <w:sz w:val="20"/>
        </w:rPr>
        <w:t xml:space="preserve">King of Prussia, Pennsylvania 19406-0958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Universal Health Services, Inc., a Delaware corporation (the “</w:t>
      </w:r>
      <w:r>
        <w:rPr>
          <w:rFonts w:ascii="Times New Roman" w:hAnsi="Times New Roman"/>
          <w:sz w:val="20"/>
          <w:u w:val="single"/>
        </w:rPr>
        <w:t>Company</w:t>
      </w:r>
      <w:r>
        <w:rPr>
          <w:rFonts w:ascii="Times New Roman" w:hAnsi="Times New Roman"/>
          <w:sz w:val="20"/>
        </w:rPr>
        <w:t>”), the subsidiaries of the Company listed on Schedule I hereto (the “</w:t>
      </w:r>
      <w:r>
        <w:rPr>
          <w:rFonts w:ascii="Times New Roman" w:hAnsi="Times New Roman"/>
          <w:sz w:val="20"/>
          <w:u w:val="single"/>
        </w:rPr>
        <w:t>DE Guarantors</w:t>
      </w:r>
      <w:r>
        <w:rPr>
          <w:rFonts w:ascii="Times New Roman" w:hAnsi="Times New Roman"/>
          <w:sz w:val="20"/>
        </w:rPr>
        <w:t>”) and the subsidiaries of the Company listed on Schedule II hereto (the “</w:t>
      </w:r>
      <w:r>
        <w:rPr>
          <w:rFonts w:ascii="Times New Roman" w:hAnsi="Times New Roman"/>
          <w:sz w:val="20"/>
          <w:u w:val="single"/>
        </w:rPr>
        <w:t>Non-DE Guarantors</w:t>
      </w:r>
      <w:r>
        <w:rPr>
          <w:rFonts w:ascii="Times New Roman" w:hAnsi="Times New Roman"/>
          <w:sz w:val="20"/>
        </w:rPr>
        <w:t>” and, collectively with the DE Guarantors, the “</w:t>
      </w:r>
      <w:r>
        <w:rPr>
          <w:rFonts w:ascii="Times New Roman" w:hAnsi="Times New Roman"/>
          <w:sz w:val="20"/>
          <w:u w:val="single"/>
        </w:rPr>
        <w:t>Guarantors</w:t>
      </w:r>
      <w:r>
        <w:rPr>
          <w:rFonts w:ascii="Times New Roman" w:hAnsi="Times New Roman"/>
          <w:sz w:val="20"/>
        </w:rPr>
        <w:t>”), with respect to certain legal matters in connection with the Company’s proposed issuance of $600,000,000 aggregate principal amount of 5.500% Senior Secured Notes due 2031 and $500,000,000 aggregate principal amount of 6.000% Senior Secured Notes due 2036 (collectively, the “</w:t>
      </w:r>
      <w:r>
        <w:rPr>
          <w:rFonts w:ascii="Times New Roman" w:hAnsi="Times New Roman"/>
          <w:sz w:val="20"/>
          <w:u w:val="single"/>
        </w:rPr>
        <w:t>Notes</w:t>
      </w:r>
      <w:r>
        <w:rPr>
          <w:rFonts w:ascii="Times New Roman" w:hAnsi="Times New Roman"/>
          <w:sz w:val="20"/>
        </w:rPr>
        <w:t>”), and the issuance of the related guarantees of the Notes by the Guarantors (the “</w:t>
      </w:r>
      <w:r>
        <w:rPr>
          <w:rFonts w:ascii="Times New Roman" w:hAnsi="Times New Roman"/>
          <w:sz w:val="20"/>
          <w:u w:val="single"/>
        </w:rPr>
        <w:t>Guarantees</w:t>
      </w:r>
      <w:r>
        <w:rPr>
          <w:rFonts w:ascii="Times New Roman" w:hAnsi="Times New Roman"/>
          <w:sz w:val="20"/>
        </w:rPr>
        <w:t xml:space="preserve">”), as contemplated by the Company’s and the Guarantors’ registration pursuant to a shelf registration statement on Form S-3 (File No. 333-282135) (the “ </w:t>
      </w:r>
      <w:r>
        <w:rPr>
          <w:rFonts w:ascii="Times New Roman" w:hAnsi="Times New Roman"/>
          <w:sz w:val="20"/>
          <w:u w:val="single"/>
        </w:rPr>
        <w:t>Original Registration Statement</w:t>
      </w:r>
      <w:r>
        <w:rPr>
          <w:rFonts w:ascii="Times New Roman" w:hAnsi="Times New Roman"/>
          <w:sz w:val="20"/>
        </w:rPr>
        <w:t>”), as amended by Post-Effective Amendment No. 1 thereto (“</w:t>
      </w:r>
      <w:r>
        <w:rPr>
          <w:rFonts w:ascii="Times New Roman" w:hAnsi="Times New Roman"/>
          <w:sz w:val="20"/>
          <w:u w:val="single"/>
        </w:rPr>
        <w:t>Post Effective Amendment No. 1</w:t>
      </w:r>
      <w:r>
        <w:rPr>
          <w:rFonts w:ascii="Times New Roman" w:hAnsi="Times New Roman"/>
          <w:sz w:val="20"/>
        </w:rPr>
        <w:t>”) (such Original Registration Statement, as amended by Post-Effective Amendment No. 1 and as may be amended from time to time, the “</w:t>
      </w:r>
      <w:r>
        <w:rPr>
          <w:rFonts w:ascii="Times New Roman" w:hAnsi="Times New Roman"/>
          <w:sz w:val="20"/>
          <w:u w:val="single"/>
        </w:rPr>
        <w:t>Registration Statement</w:t>
      </w:r>
      <w:r>
        <w:rPr>
          <w:rFonts w:ascii="Times New Roman" w:hAnsi="Times New Roman"/>
          <w:sz w:val="20"/>
        </w:rPr>
        <w:t>”) filed with the Securities and Exchange Commission (the “</w:t>
      </w:r>
      <w:r>
        <w:rPr>
          <w:rFonts w:ascii="Times New Roman" w:hAnsi="Times New Roman"/>
          <w:sz w:val="20"/>
          <w:u w:val="single"/>
        </w:rPr>
        <w:t>Commission</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The Original Registration Statement and Post Effective Amendment No. 1 have been filed with the Commission and each became effective upon their respective filing. The Company’s prospectus dated September 16, 2024 was filed with the Commission as part of the Registration Statement (the “</w:t>
      </w:r>
      <w:r>
        <w:rPr>
          <w:rFonts w:ascii="Times New Roman" w:hAnsi="Times New Roman"/>
          <w:sz w:val="20"/>
          <w:u w:val="single"/>
        </w:rPr>
        <w:t>Base Prospectus</w:t>
      </w:r>
      <w:r>
        <w:rPr>
          <w:rFonts w:ascii="Times New Roman" w:hAnsi="Times New Roman"/>
          <w:sz w:val="20"/>
        </w:rPr>
        <w:t>”) and the Company’s prospectus supplement dated August 11, 2026 relating to the Notes and the Guarantees has been filed with the Commission pursuant to Rule 424(b) under the Securities Act (the “</w:t>
      </w:r>
      <w:r>
        <w:rPr>
          <w:rFonts w:ascii="Times New Roman" w:hAnsi="Times New Roman"/>
          <w:sz w:val="20"/>
          <w:u w:val="single"/>
        </w:rPr>
        <w:t>Prospectus Supplement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and Guarantors entered into an Underwriting Agreement (the “</w:t>
      </w:r>
      <w:r>
        <w:rPr>
          <w:rFonts w:ascii="Times New Roman" w:hAnsi="Times New Roman"/>
          <w:sz w:val="20"/>
          <w:u w:val="single"/>
        </w:rPr>
        <w:t>Underwriting Agreement</w:t>
      </w:r>
      <w:r>
        <w:rPr>
          <w:rFonts w:ascii="Times New Roman" w:hAnsi="Times New Roman"/>
          <w:sz w:val="20"/>
        </w:rPr>
        <w:t>”), dated August 11, 2026, with J.P. Morgan Securities LLC, BofA Securities, Inc., Truist Securities, Inc., US Bancorp Investments, Inc. and Wells Fargo Securities, LLC, as representatives of the underwriters named therein (the “</w:t>
      </w:r>
      <w:r>
        <w:rPr>
          <w:rFonts w:ascii="Times New Roman" w:hAnsi="Times New Roman"/>
          <w:sz w:val="20"/>
          <w:u w:val="single"/>
        </w:rPr>
        <w:t>Underwriters</w:t>
      </w:r>
      <w:r>
        <w:rPr>
          <w:rFonts w:ascii="Times New Roman" w:hAnsi="Times New Roman"/>
          <w:sz w:val="20"/>
        </w:rPr>
        <w:t>”), relating to the issuance and sale by the Company to the Underwriters of the Notes, which shall be issued pursuant to an Indenture dated as of September 26, 2024 (as supplemented prior to the date hereof, the “</w:t>
      </w:r>
      <w:r>
        <w:rPr>
          <w:rFonts w:ascii="Times New Roman" w:hAnsi="Times New Roman"/>
          <w:sz w:val="20"/>
          <w:u w:val="single"/>
        </w:rPr>
        <w:t>Base Indenture</w:t>
      </w:r>
      <w:r>
        <w:rPr>
          <w:rFonts w:ascii="Times New Roman" w:hAnsi="Times New Roman"/>
          <w:sz w:val="20"/>
        </w:rPr>
        <w:t>”) and a Third Supplemental Indenture dated as of August 20, 2026 (the “</w:t>
      </w:r>
      <w:r>
        <w:rPr>
          <w:rFonts w:ascii="Times New Roman" w:hAnsi="Times New Roman"/>
          <w:sz w:val="20"/>
          <w:u w:val="single"/>
        </w:rPr>
        <w:t>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among the Company, the Guarantors, U.S. Bank Trust Company, National Association, as trustee (the “</w:t>
      </w:r>
      <w:r>
        <w:rPr>
          <w:rFonts w:ascii="Times New Roman" w:hAnsi="Times New Roman"/>
          <w:sz w:val="20"/>
          <w:u w:val="single"/>
        </w:rPr>
        <w:t>Trustee</w:t>
      </w:r>
      <w:r>
        <w:rPr>
          <w:rFonts w:ascii="Times New Roman" w:hAnsi="Times New Roman"/>
          <w:sz w:val="20"/>
        </w:rPr>
        <w:t>”), and JPMorgan Chase Bank, N.A., as collateral agent (the “</w:t>
      </w:r>
      <w:r>
        <w:rPr>
          <w:rFonts w:ascii="Times New Roman" w:hAnsi="Times New Roman"/>
          <w:sz w:val="20"/>
          <w:u w:val="single"/>
        </w:rPr>
        <w:t>Collateral Agent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Norton Rose Fulbright US LLP is a limited liability partnership registered under the laws of Texas. </w:t>
      </w:r>
    </w:p>
    <w:p>
      <w:pPr>
        <w:pStyle w:val="TextBody"/>
        <w:bidi w:val="0"/>
        <w:spacing w:before="120" w:after="0"/>
        <w:jc w:val="left"/>
        <w:rPr>
          <w:rFonts w:ascii="Times New Roman" w:hAnsi="Times New Roman"/>
          <w:sz w:val="20"/>
        </w:rPr>
      </w:pPr>
      <w:r>
        <w:rPr>
          <w:rFonts w:ascii="Times New Roman" w:hAnsi="Times New Roman"/>
          <w:sz w:val="20"/>
        </w:rPr>
        <w:t xml:space="preserve">Norton Rose Fulbright US LLP, Norton Rose Fulbright LLP and Norton Rose Fulbright Canada LLP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025"/>
        <w:gridCol w:w="122"/>
        <w:gridCol w:w="5058"/>
      </w:tblGrid>
      <w:tr>
        <w:trPr/>
        <w:tc>
          <w:tcPr>
            <w:tcW w:w="50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058" w:type="dxa"/>
            <w:tcBorders/>
            <w:vAlign w:val="center"/>
          </w:tcPr>
          <w:p>
            <w:pPr>
              <w:pStyle w:val="TableContents"/>
              <w:bidi w:val="0"/>
              <w:spacing w:before="0" w:after="283"/>
              <w:jc w:val="left"/>
              <w:rPr>
                <w:sz w:val="4"/>
                <w:szCs w:val="4"/>
              </w:rPr>
            </w:pPr>
            <w:r>
              <w:rPr>
                <w:sz w:val="4"/>
                <w:szCs w:val="4"/>
              </w:rPr>
            </w:r>
          </w:p>
        </w:tc>
      </w:tr>
      <w:tr>
        <w:trPr/>
        <w:tc>
          <w:tcPr>
            <w:tcW w:w="5025"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Inc.</w:t>
            </w:r>
          </w:p>
          <w:p>
            <w:pPr>
              <w:pStyle w:val="TableContents"/>
              <w:bidi w:val="0"/>
              <w:spacing w:before="0" w:after="0"/>
              <w:jc w:val="left"/>
              <w:rPr>
                <w:rFonts w:ascii="Times New Roman" w:hAnsi="Times New Roman"/>
                <w:sz w:val="20"/>
              </w:rPr>
            </w:pPr>
            <w:r>
              <w:rPr>
                <w:rFonts w:ascii="Times New Roman" w:hAnsi="Times New Roman"/>
                <w:sz w:val="20"/>
              </w:rPr>
              <w:t>August 20, 2026</w:t>
            </w:r>
          </w:p>
          <w:p>
            <w:pPr>
              <w:pStyle w:val="TableContents"/>
              <w:bidi w:val="0"/>
              <w:spacing w:before="0" w:after="20"/>
              <w:jc w:val="left"/>
              <w:rPr>
                <w:rFonts w:ascii="Times New Roman" w:hAnsi="Times New Roman"/>
                <w:sz w:val="20"/>
              </w:rPr>
            </w:pPr>
            <w:r>
              <w:rPr>
                <w:rFonts w:ascii="Times New Roman" w:hAnsi="Times New Roman"/>
                <w:sz w:val="20"/>
              </w:rPr>
              <w:t xml:space="preserve">Page 2 </w:t>
            </w:r>
          </w:p>
        </w:tc>
        <w:tc>
          <w:tcPr>
            <w:tcW w:w="122" w:type="dxa"/>
            <w:tcBorders/>
            <w:vAlign w:val="bottom"/>
          </w:tcPr>
          <w:p>
            <w:pPr>
              <w:pStyle w:val="TableContents"/>
              <w:bidi w:val="0"/>
              <w:spacing w:before="0" w:after="283"/>
              <w:jc w:val="left"/>
              <w:rPr/>
            </w:pPr>
            <w:r>
              <w:rPr/>
              <w:t>  </w:t>
            </w:r>
          </w:p>
        </w:tc>
        <w:tc>
          <w:tcPr>
            <w:tcW w:w="5058" w:type="dxa"/>
            <w:tcBorders/>
          </w:tcPr>
          <w:p>
            <w:pPr>
              <w:pStyle w:val="TableContents"/>
              <w:bidi w:val="0"/>
              <w:spacing w:before="0" w:after="283"/>
              <w:jc w:val="right"/>
              <w:rPr/>
            </w:pPr>
            <w:r>
              <w:rPr/>
              <w:drawing>
                <wp:inline distT="0" distB="0" distL="0" distR="0">
                  <wp:extent cx="1374140" cy="15811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374140" cy="158115"/>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this opinion, we have (i) investigated such questions of law, (ii) examined originals or certified, conformed, electronic or reproduction copies of such agreements, instruments, documents and records of the Company and the Guarantors, such certificates of public officials and such other documents and (iii) received such information from officers and representatives of the Company, the Guarantors and others, in each case as we have deemed necessary or appropriate for the purposes of this opinion. We have examined, among other documents,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Restated Certificate of Incorporation and bylaws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organizational documents of the DE Guarantors,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Base Prospectus and the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Base Indenture and the Supplemental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in global form as executed by the Company and authenticated by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(h)</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Officers’ Certificates to be delivered pursuant to Section 13.03 of the Base Indenture. </w:t>
            </w:r>
          </w:p>
        </w:tc>
      </w:tr>
    </w:tbl>
    <w:p>
      <w:pPr>
        <w:pStyle w:val="TextBody"/>
        <w:bidi w:val="0"/>
        <w:spacing w:before="240" w:after="0"/>
        <w:jc w:val="left"/>
        <w:rPr>
          <w:rFonts w:ascii="Times New Roman" w:hAnsi="Times New Roman"/>
          <w:sz w:val="20"/>
        </w:rPr>
      </w:pPr>
      <w:r>
        <w:rPr>
          <w:rFonts w:ascii="Times New Roman" w:hAnsi="Times New Roman"/>
          <w:sz w:val="20"/>
        </w:rPr>
        <w:t>The documents referred to in items (a) through (h) above, inclusive, are referred to herein collectively as the “</w:t>
      </w:r>
      <w:r>
        <w:rPr>
          <w:rFonts w:ascii="Times New Roman" w:hAnsi="Times New Roman"/>
          <w:sz w:val="20"/>
          <w:u w:val="single"/>
        </w:rPr>
        <w:t>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all such examinations, we have assumed the legal capacity of all natural persons, the genuineness of all signatures, the authenticity of original and certified documents and the conformity to original or certified documents of all copies submitted to us as certified, conformed, electronic or reproduction copies. As to various questions of fact relevant to the opinions expressed herein, we have relied upon, and assume the accuracy of, the statements, representations and warranties contained in the Documents, certificates and oral or written statements and other information of or from public officials, officers or other appropriate representatives of the Company, the Guarantors and others and assume compliance on the part of all parties to the Documents with their respective covenants and agreements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All assumptions and statements of reliance herein have been made without any independent investigation or verification on our part and we express no opinion with respect to the subject matter or accuracy of such assumptions or items relied upon. </w:t>
      </w:r>
    </w:p>
    <w:p>
      <w:pPr>
        <w:pStyle w:val="TextBody"/>
        <w:bidi w:val="0"/>
        <w:spacing w:before="240" w:after="0"/>
        <w:jc w:val="left"/>
        <w:rPr>
          <w:rFonts w:ascii="Times New Roman" w:hAnsi="Times New Roman"/>
          <w:sz w:val="20"/>
        </w:rPr>
      </w:pPr>
      <w:r>
        <w:rPr>
          <w:rFonts w:ascii="Times New Roman" w:hAnsi="Times New Roman"/>
          <w:sz w:val="20"/>
        </w:rPr>
        <w:t xml:space="preserve">To the extent it may be relevant to the opinions expressed herein, we have assumed that (i) all of the parties to the Documents (other than the Company and the DE Guarantors) are validly existing and in good standing under the laws of their respective jurisdictions of organization; (ii) the parties to the Documents (other than the Company and the DE Guarantors) have the power and authority to (a) execute and deliver the Documents, (b) perform their obligations thereunder and (c) consummate the transactions contemplated thereby; (iii) each of the Documents has been duly authorized, executed and delivered by each of the parties thereto (other than the Company and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976"/>
        <w:gridCol w:w="120"/>
        <w:gridCol w:w="5109"/>
      </w:tblGrid>
      <w:tr>
        <w:trPr/>
        <w:tc>
          <w:tcPr>
            <w:tcW w:w="49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09" w:type="dxa"/>
            <w:tcBorders/>
            <w:vAlign w:val="center"/>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Inc.</w:t>
            </w:r>
          </w:p>
          <w:p>
            <w:pPr>
              <w:pStyle w:val="TableContents"/>
              <w:bidi w:val="0"/>
              <w:spacing w:before="0" w:after="0"/>
              <w:jc w:val="left"/>
              <w:rPr>
                <w:rFonts w:ascii="Times New Roman" w:hAnsi="Times New Roman"/>
                <w:sz w:val="20"/>
              </w:rPr>
            </w:pPr>
            <w:r>
              <w:rPr>
                <w:rFonts w:ascii="Times New Roman" w:hAnsi="Times New Roman"/>
                <w:sz w:val="20"/>
              </w:rPr>
              <w:t>August 20, 2026</w:t>
            </w:r>
          </w:p>
          <w:p>
            <w:pPr>
              <w:pStyle w:val="TableContents"/>
              <w:bidi w:val="0"/>
              <w:spacing w:before="0" w:after="20"/>
              <w:jc w:val="left"/>
              <w:rPr>
                <w:rFonts w:ascii="Times New Roman" w:hAnsi="Times New Roman"/>
                <w:sz w:val="20"/>
              </w:rPr>
            </w:pPr>
            <w:r>
              <w:rPr>
                <w:rFonts w:ascii="Times New Roman" w:hAnsi="Times New Roman"/>
                <w:sz w:val="20"/>
              </w:rPr>
              <w:t>Page 3</w:t>
            </w:r>
          </w:p>
        </w:tc>
        <w:tc>
          <w:tcPr>
            <w:tcW w:w="120" w:type="dxa"/>
            <w:tcBorders/>
            <w:vAlign w:val="bottom"/>
          </w:tcPr>
          <w:p>
            <w:pPr>
              <w:pStyle w:val="TableContents"/>
              <w:bidi w:val="0"/>
              <w:spacing w:before="0" w:after="283"/>
              <w:jc w:val="left"/>
              <w:rPr/>
            </w:pPr>
            <w:r>
              <w:rPr/>
              <w:t>  </w:t>
            </w:r>
          </w:p>
        </w:tc>
        <w:tc>
          <w:tcPr>
            <w:tcW w:w="5109" w:type="dxa"/>
            <w:tcBorders/>
          </w:tcPr>
          <w:p>
            <w:pPr>
              <w:pStyle w:val="TableContents"/>
              <w:bidi w:val="0"/>
              <w:spacing w:before="0" w:after="283"/>
              <w:jc w:val="right"/>
              <w:rPr/>
            </w:pPr>
            <w:r>
              <w:rPr/>
              <w:drawing>
                <wp:inline distT="0" distB="0" distL="0" distR="0">
                  <wp:extent cx="1657350"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657350" cy="1905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DE Guarantors), (iv) each of the Documents constitutes a valid and binding obligation of all of the parties thereto (other than as expressly addressed below as to the Company and the Guarantors), enforceable against such parties in accordance with their respective terms; (v) all of the parties to the Documents will comply with all of their obligations under the Documents and all laws applicable thereto; (vi) the Notes have been duly authenticated and delivered by the Trustee in accordance with the terms of the Indenture; and (vii) the opinion letter dated the date hereof of Matthew D. Klein, Senior Vice President and General Counsel to the Company, regarding this issuance of the Notes and the Guarantees is accurate.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assumptions, qualifications, limitations, and exceptions set forth herein, we are of the opinion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are legally issued and constitute valid and legally binding obligations of the Company, enforceable against the Company in accordance with their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Guarantees constitute valid and legally binding obligations of the Guarantors, enforceable against the Guarantors in accordance with their terms. </w:t>
            </w:r>
          </w:p>
        </w:tc>
      </w:tr>
    </w:tbl>
    <w:p>
      <w:pPr>
        <w:pStyle w:val="TextBody"/>
        <w:bidi w:val="0"/>
        <w:spacing w:before="240" w:after="0"/>
        <w:jc w:val="left"/>
        <w:rPr>
          <w:rFonts w:ascii="Times New Roman" w:hAnsi="Times New Roman"/>
          <w:sz w:val="20"/>
        </w:rPr>
      </w:pPr>
      <w:r>
        <w:rPr>
          <w:rFonts w:ascii="Times New Roman" w:hAnsi="Times New Roman"/>
          <w:sz w:val="20"/>
        </w:rPr>
        <w:t>The foregoing opinions regarding the enforceability of the Notes and the Guarantees (collectively, the “</w:t>
      </w:r>
      <w:r>
        <w:rPr>
          <w:rFonts w:ascii="Times New Roman" w:hAnsi="Times New Roman"/>
          <w:sz w:val="20"/>
          <w:u w:val="single"/>
        </w:rPr>
        <w:t>Opinion Documents</w:t>
      </w:r>
      <w:r>
        <w:rPr>
          <w:rFonts w:ascii="Times New Roman" w:hAnsi="Times New Roman"/>
          <w:sz w:val="20"/>
        </w:rPr>
        <w:t xml:space="preserve">”) are subject to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enforceability of the Opinion Documents may be limited or affected by (a) bankruptcy, insolvency, reorganization, moratorium, liquidation, rearrangement, probate, conservatorship, fraudulent transfer, fraudulent conveyance and other similar laws (including court decisions) now or hereafter in effect and affecting the rights and remedies of creditors generally or providing for the relief of debtors generally, (b) the refusal of a particular court to grant (i) equitable remedies, including, without limiting the generality of the foregoing, specific performance and injunctive relief, or (ii) a particular remedy sought under any Opinion Document as opposed to another remedy provided for therein or another remedy available at law, admiralty or in equity, (c) general principles of equity (regardless of whether such remedies are sought in a proceeding in equity, admiralty or at law), and (d) judicial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(ii)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rendering the foregoing opinions, we express no opinion as to (a) the availability of certain equitable remedies, including specific performance; (b) provisions in the Opinion Documents that purport to (i) restrict access to legal or equitable remedies, (ii) establish property classifications, presumptions or evidentiary standards, or (iii) waive or affect rights or defenses of any party that may not be waived or affected under applicable law, (c) provisions in the Opinion Documents relating to severability clauses, (d) provisions in the Opinion Documents relating to indemnities and rights of contribution to the extent prohibited by public policy or which might require indemnification or contribution for losses or expenses caused by negligence, gross negligence, willful misconduct, fraud or illegality of a party otherwise entitled to indemnification or contribution, and (e) the effect of any provision of the Opinion Documents which is intended to permit modification thereof only by means of an agreement signed in writing by the parties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note that the enforceability of specific provisions of the Opinion Documents may be subject to standards of reasonableness, care and diligence and “good faith” limitations and obligations such as those provided in Sections 1-302(b), 1-303, 1-304 and 1-309 of the New York Uniform Commercial Code and applicable principles of common law and judicial decisions.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976"/>
        <w:gridCol w:w="120"/>
        <w:gridCol w:w="5109"/>
      </w:tblGrid>
      <w:tr>
        <w:trPr/>
        <w:tc>
          <w:tcPr>
            <w:tcW w:w="49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09" w:type="dxa"/>
            <w:tcBorders/>
            <w:vAlign w:val="center"/>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Inc.</w:t>
            </w:r>
          </w:p>
          <w:p>
            <w:pPr>
              <w:pStyle w:val="TableContents"/>
              <w:bidi w:val="0"/>
              <w:spacing w:before="0" w:after="0"/>
              <w:jc w:val="left"/>
              <w:rPr>
                <w:rFonts w:ascii="Times New Roman" w:hAnsi="Times New Roman"/>
                <w:sz w:val="20"/>
              </w:rPr>
            </w:pPr>
            <w:r>
              <w:rPr>
                <w:rFonts w:ascii="Times New Roman" w:hAnsi="Times New Roman"/>
                <w:sz w:val="20"/>
              </w:rPr>
              <w:t>August 20, 2026</w:t>
            </w:r>
          </w:p>
          <w:p>
            <w:pPr>
              <w:pStyle w:val="TableContents"/>
              <w:bidi w:val="0"/>
              <w:spacing w:before="0" w:after="20"/>
              <w:jc w:val="left"/>
              <w:rPr>
                <w:rFonts w:ascii="Times New Roman" w:hAnsi="Times New Roman"/>
                <w:sz w:val="20"/>
              </w:rPr>
            </w:pPr>
            <w:r>
              <w:rPr>
                <w:rFonts w:ascii="Times New Roman" w:hAnsi="Times New Roman"/>
                <w:sz w:val="20"/>
              </w:rPr>
              <w:t xml:space="preserve">Page 4 </w:t>
            </w:r>
          </w:p>
        </w:tc>
        <w:tc>
          <w:tcPr>
            <w:tcW w:w="120" w:type="dxa"/>
            <w:tcBorders/>
            <w:vAlign w:val="bottom"/>
          </w:tcPr>
          <w:p>
            <w:pPr>
              <w:pStyle w:val="TableContents"/>
              <w:bidi w:val="0"/>
              <w:spacing w:before="0" w:after="283"/>
              <w:jc w:val="left"/>
              <w:rPr/>
            </w:pPr>
            <w:r>
              <w:rPr/>
              <w:t>  </w:t>
            </w:r>
          </w:p>
        </w:tc>
        <w:tc>
          <w:tcPr>
            <w:tcW w:w="5109" w:type="dxa"/>
            <w:tcBorders/>
          </w:tcPr>
          <w:p>
            <w:pPr>
              <w:pStyle w:val="TableContents"/>
              <w:bidi w:val="0"/>
              <w:spacing w:before="0" w:after="283"/>
              <w:jc w:val="right"/>
              <w:rPr/>
            </w:pPr>
            <w:r>
              <w:rPr/>
              <w:drawing>
                <wp:inline distT="0" distB="0" distL="0" distR="0">
                  <wp:extent cx="1657350" cy="190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657350" cy="19050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(iv)</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assumed that the Trustee and the Collateral Agent will enforce and perform each Opinion Document in compliance with the provisions thereof and all requirements of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(v)</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connection with any provisions of the Opinion Documents whereby the Company or any Guarantor submits to the jurisdiction of the United States District Court for the Southern District of New York, we note the limitations of 28 U.S.C. §§ 1331 and 1332 on Federal court jurisdiction, and we also note that such submissions cannot supersede such court’s discretion in determining whether to transfer an action from one Federal court to another under 28 U.S.C. § 1404(a).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(vi)</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valid existence and good standing of the Company and the DE Guarantors, we have relied solely upon certificates of public officials in the State of Delaware, without further investigation.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opinions expressed herein are limited to the laws of the State of New York and to the extent relevant to the opinions expressed herein, the General Corporation Law of the State of Delaware, the Limited Liability Company Act of the State of Delaware and the Revised Uniform Limited Partnership Act of the state of Delaware, each as currently in effect, and no opinion is expressed with respect to any other laws or any effect that such other laws may have on the opinions expressed herein. This opinion letter is limited to the matters stated herein, and no opinion is implied or may be inferred beyond the matters expressly stated herein. This letter is given only as of the date hereof, and we undertake no responsibility to update or supplement this letter after such time.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as an exhibit to the Company’s Current Report on Form 8-K to be filed with the Commission on the date hereof and to the reference to this firm under the caption “Legal Matters” in the Base Prospectus and the Prospectus Supplement. In giving this consent, we do not hereby admit that we are in the category of persons whose consent is required under Section 7 of the Securities Act or the rules and regulations of the Securities and Exchange Commission.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Very truly yours,</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/s/ Norton Rose Fulbright US LLP</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Norton Rose Fulbright US LLP</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976"/>
        <w:gridCol w:w="120"/>
        <w:gridCol w:w="5109"/>
      </w:tblGrid>
      <w:tr>
        <w:trPr/>
        <w:tc>
          <w:tcPr>
            <w:tcW w:w="49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09" w:type="dxa"/>
            <w:tcBorders/>
            <w:vAlign w:val="center"/>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Inc.</w:t>
            </w:r>
          </w:p>
          <w:p>
            <w:pPr>
              <w:pStyle w:val="TableContents"/>
              <w:bidi w:val="0"/>
              <w:spacing w:before="0" w:after="0"/>
              <w:jc w:val="left"/>
              <w:rPr>
                <w:rFonts w:ascii="Times New Roman" w:hAnsi="Times New Roman"/>
                <w:sz w:val="20"/>
              </w:rPr>
            </w:pPr>
            <w:r>
              <w:rPr>
                <w:rFonts w:ascii="Times New Roman" w:hAnsi="Times New Roman"/>
                <w:sz w:val="20"/>
              </w:rPr>
              <w:t>August 20, 2026</w:t>
            </w:r>
          </w:p>
          <w:p>
            <w:pPr>
              <w:pStyle w:val="TableContents"/>
              <w:bidi w:val="0"/>
              <w:spacing w:before="0" w:after="20"/>
              <w:jc w:val="left"/>
              <w:rPr>
                <w:rFonts w:ascii="Times New Roman" w:hAnsi="Times New Roman"/>
                <w:sz w:val="20"/>
              </w:rPr>
            </w:pPr>
            <w:r>
              <w:rPr>
                <w:rFonts w:ascii="Times New Roman" w:hAnsi="Times New Roman"/>
                <w:sz w:val="20"/>
              </w:rPr>
              <w:t xml:space="preserve">Page 5 </w:t>
            </w:r>
          </w:p>
        </w:tc>
        <w:tc>
          <w:tcPr>
            <w:tcW w:w="120" w:type="dxa"/>
            <w:tcBorders/>
            <w:vAlign w:val="bottom"/>
          </w:tcPr>
          <w:p>
            <w:pPr>
              <w:pStyle w:val="TableContents"/>
              <w:bidi w:val="0"/>
              <w:spacing w:before="0" w:after="283"/>
              <w:jc w:val="left"/>
              <w:rPr/>
            </w:pPr>
            <w:r>
              <w:rPr/>
              <w:t>  </w:t>
            </w:r>
          </w:p>
        </w:tc>
        <w:tc>
          <w:tcPr>
            <w:tcW w:w="5109" w:type="dxa"/>
            <w:tcBorders/>
          </w:tcPr>
          <w:p>
            <w:pPr>
              <w:pStyle w:val="TableContents"/>
              <w:bidi w:val="0"/>
              <w:spacing w:before="0" w:after="283"/>
              <w:jc w:val="right"/>
              <w:rPr/>
            </w:pPr>
            <w:r>
              <w:rPr/>
              <w:drawing>
                <wp:inline distT="0" distB="0" distL="0" distR="0">
                  <wp:extent cx="1657350" cy="190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657350" cy="1905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I </w:t>
      </w:r>
    </w:p>
    <w:p>
      <w:pPr>
        <w:pStyle w:val="TextBody"/>
        <w:bidi w:val="0"/>
        <w:spacing w:before="120" w:after="0"/>
        <w:jc w:val="center"/>
        <w:rPr>
          <w:rFonts w:ascii="Times New Roman" w:hAnsi="Times New Roman"/>
          <w:sz w:val="20"/>
        </w:rPr>
      </w:pPr>
      <w:r>
        <w:rPr>
          <w:rFonts w:ascii="Times New Roman" w:hAnsi="Times New Roman"/>
          <w:sz w:val="20"/>
        </w:rPr>
        <w:t xml:space="preserve">DE GUARANTORS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14"/>
        <w:gridCol w:w="123"/>
        <w:gridCol w:w="2768"/>
      </w:tblGrid>
      <w:tr>
        <w:trPr/>
        <w:tc>
          <w:tcPr>
            <w:tcW w:w="731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73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3" w:type="dxa"/>
            <w:tcBorders/>
            <w:vAlign w:val="bottom"/>
          </w:tcPr>
          <w:p>
            <w:pPr>
              <w:pStyle w:val="TableContents"/>
              <w:bidi w:val="0"/>
              <w:spacing w:before="0" w:after="283"/>
              <w:jc w:val="left"/>
              <w:rPr/>
            </w:pPr>
            <w:r>
              <w:rPr/>
              <w:t>  </w:t>
            </w:r>
          </w:p>
        </w:tc>
        <w:tc>
          <w:tcPr>
            <w:tcW w:w="2768"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Jurisdiction of</w:t>
              <w:br/>
              <w:t>incorporation</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or organization</w:t>
            </w:r>
          </w:p>
        </w:tc>
      </w:tr>
      <w:tr>
        <w:trPr/>
        <w:tc>
          <w:tcPr>
            <w:tcW w:w="7314" w:type="dxa"/>
            <w:tcBorders/>
          </w:tcPr>
          <w:p>
            <w:pPr>
              <w:pStyle w:val="TableContents"/>
              <w:bidi w:val="0"/>
              <w:spacing w:before="0" w:after="283"/>
              <w:jc w:val="left"/>
              <w:rPr/>
            </w:pPr>
            <w:r>
              <w:rPr/>
              <w:t>Ascend Health Corporation</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Atlantic Shores Hospital,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Beach 77 LP</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Behavioral Health Management,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Behavioral Health Realty,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Behavioral Healthcare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BHC Holdings, Inc.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BHC Mesilla Valley Hospital,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BHC Northwest Psychiatric Hospital,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Brentwood Acquisition—Shreveport, Inc.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Calvary Center, Inc.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CAT Realty,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CAT Seattle,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Cedar Springs Hospital, Inc.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Coral Shores Behavioral Health,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Cumberland Hospital,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Cumberland Hospital Partners,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DHP 2131 K St,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Diamond Grove Center,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DVH Hospital Alliance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Emerald Coast Behavioral Hospital,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Fort Duncan Medical Center, L.P.</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FRN, Inc.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Frontline Behavioral Health, Inc.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Frontline Hospital,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Frontline Residential Treatment Center,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HHC Delaware, Inc.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HHC Pennsylvania,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Hickory Trail Hospital, L.P.</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Horizon Health Corporation</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Horizon Health Hospital Services,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Independence Physician Management,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Keys Group Holdings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Keystone/CCS Partners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KMI Acquisition,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Laurel Oaks Behavioral Health Center, Inc.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Liberty Point Behavioral Healthcare,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Manatee Memorial Hospital, L.P.</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McAllen Hospitals, L.P.</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McAllen Medical Center, Inc.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Merion Building Management, Inc.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Ocala Behavioral Health,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r>
        <w:trPr/>
        <w:tc>
          <w:tcPr>
            <w:tcW w:w="7314" w:type="dxa"/>
            <w:tcBorders/>
          </w:tcPr>
          <w:p>
            <w:pPr>
              <w:pStyle w:val="TableContents"/>
              <w:bidi w:val="0"/>
              <w:spacing w:before="0" w:after="283"/>
              <w:jc w:val="left"/>
              <w:rPr/>
            </w:pPr>
            <w:r>
              <w:rPr/>
              <w:t>Palmetto Behavioral Health Holdings, LLC</w:t>
            </w:r>
          </w:p>
        </w:tc>
        <w:tc>
          <w:tcPr>
            <w:tcW w:w="123" w:type="dxa"/>
            <w:tcBorders/>
            <w:vAlign w:val="bottom"/>
          </w:tcPr>
          <w:p>
            <w:pPr>
              <w:pStyle w:val="TableContents"/>
              <w:bidi w:val="0"/>
              <w:spacing w:before="0" w:after="283"/>
              <w:jc w:val="left"/>
              <w:rPr/>
            </w:pPr>
            <w:r>
              <w:rPr/>
              <w:t>  </w:t>
            </w:r>
          </w:p>
        </w:tc>
        <w:tc>
          <w:tcPr>
            <w:tcW w:w="2768" w:type="dxa"/>
            <w:tcBorders/>
          </w:tcPr>
          <w:p>
            <w:pPr>
              <w:pStyle w:val="TableContents"/>
              <w:bidi w:val="0"/>
              <w:spacing w:before="0" w:after="283"/>
              <w:jc w:val="center"/>
              <w:rPr/>
            </w:pPr>
            <w:r>
              <w:rPr/>
              <w:t>Delaware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25"/>
        <w:gridCol w:w="122"/>
        <w:gridCol w:w="5058"/>
      </w:tblGrid>
      <w:tr>
        <w:trPr/>
        <w:tc>
          <w:tcPr>
            <w:tcW w:w="50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058" w:type="dxa"/>
            <w:tcBorders/>
            <w:vAlign w:val="center"/>
          </w:tcPr>
          <w:p>
            <w:pPr>
              <w:pStyle w:val="TableContents"/>
              <w:bidi w:val="0"/>
              <w:spacing w:before="0" w:after="283"/>
              <w:jc w:val="left"/>
              <w:rPr>
                <w:sz w:val="4"/>
                <w:szCs w:val="4"/>
              </w:rPr>
            </w:pPr>
            <w:r>
              <w:rPr>
                <w:sz w:val="4"/>
                <w:szCs w:val="4"/>
              </w:rPr>
            </w:r>
          </w:p>
        </w:tc>
      </w:tr>
      <w:tr>
        <w:trPr/>
        <w:tc>
          <w:tcPr>
            <w:tcW w:w="5025"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Inc.</w:t>
            </w:r>
          </w:p>
          <w:p>
            <w:pPr>
              <w:pStyle w:val="TableContents"/>
              <w:bidi w:val="0"/>
              <w:spacing w:before="0" w:after="0"/>
              <w:jc w:val="left"/>
              <w:rPr>
                <w:rFonts w:ascii="Times New Roman" w:hAnsi="Times New Roman"/>
                <w:sz w:val="20"/>
              </w:rPr>
            </w:pPr>
            <w:r>
              <w:rPr>
                <w:rFonts w:ascii="Times New Roman" w:hAnsi="Times New Roman"/>
                <w:sz w:val="20"/>
              </w:rPr>
              <w:t>August 20, 2026</w:t>
            </w:r>
          </w:p>
          <w:p>
            <w:pPr>
              <w:pStyle w:val="TableContents"/>
              <w:bidi w:val="0"/>
              <w:spacing w:before="0" w:after="20"/>
              <w:jc w:val="left"/>
              <w:rPr>
                <w:rFonts w:ascii="Times New Roman" w:hAnsi="Times New Roman"/>
                <w:sz w:val="20"/>
              </w:rPr>
            </w:pPr>
            <w:r>
              <w:rPr>
                <w:rFonts w:ascii="Times New Roman" w:hAnsi="Times New Roman"/>
                <w:sz w:val="20"/>
              </w:rPr>
              <w:t xml:space="preserve">Page 6 </w:t>
            </w:r>
          </w:p>
        </w:tc>
        <w:tc>
          <w:tcPr>
            <w:tcW w:w="122" w:type="dxa"/>
            <w:tcBorders/>
            <w:vAlign w:val="bottom"/>
          </w:tcPr>
          <w:p>
            <w:pPr>
              <w:pStyle w:val="TableContents"/>
              <w:bidi w:val="0"/>
              <w:spacing w:before="0" w:after="283"/>
              <w:jc w:val="left"/>
              <w:rPr/>
            </w:pPr>
            <w:r>
              <w:rPr/>
              <w:t>  </w:t>
            </w:r>
          </w:p>
        </w:tc>
        <w:tc>
          <w:tcPr>
            <w:tcW w:w="5058" w:type="dxa"/>
            <w:tcBorders/>
          </w:tcPr>
          <w:p>
            <w:pPr>
              <w:pStyle w:val="TableContents"/>
              <w:bidi w:val="0"/>
              <w:spacing w:before="0" w:after="283"/>
              <w:jc w:val="right"/>
              <w:rPr/>
            </w:pPr>
            <w:r>
              <w:rPr/>
              <w:drawing>
                <wp:inline distT="0" distB="0" distL="0" distR="0">
                  <wp:extent cx="1374140" cy="15811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374140" cy="15811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13"/>
        <w:gridCol w:w="121"/>
        <w:gridCol w:w="2771"/>
      </w:tblGrid>
      <w:tr>
        <w:trPr/>
        <w:tc>
          <w:tcPr>
            <w:tcW w:w="731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731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Jurisdiction of</w:t>
              <w:br/>
              <w:t>incorporation</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or organization</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Pasteur Healthcare Properties,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Pendleton Methodist Hospital,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Premier Behavioral Solutions of Florida,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Premier Behavioral Solutions,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Psychiatric Realty,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Psychiatric Solutions Hospitals,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Psychiatric Solutions,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Ramsay Managed Care,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Ramsay Youth Services of Georgia,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Riveredge Hospital Holdings,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RR Recovery,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Salt Lake Behavioral Health,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Salt Lake Psychiatric Realty,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Shadow Mountain Behavioral Health System,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Springfield Hospital,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Stonington Behavioral Health,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TBD Acquisition II,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TBD Acquisition,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TBJ Behavioral Center,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Hospital Holdings,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Toledo Holding Co.,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Two Rivers Psychiatric Hospital,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UBH of Oregon,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UBH of Phoenix Realty,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UBH of Phoenix,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UHP LP</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Capitol Acquisition,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Children’s Services,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Funding,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Kentucky Holdings,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Midwest Behavioral Health,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Anchor, L.P.</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Benton,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Bowling Green,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Centennial Peaks,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Cornerstone Holdings,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Cornerstone,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D.C.,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Delaware,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Denver,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Dover,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Doylestown,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Fairmount,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Georgia Holdings,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Georgia, Inc.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Greenville,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r>
        <w:trPr/>
        <w:tc>
          <w:tcPr>
            <w:tcW w:w="731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Kansas City, LLC</w:t>
            </w:r>
          </w:p>
        </w:tc>
        <w:tc>
          <w:tcPr>
            <w:tcW w:w="121"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283"/>
              <w:jc w:val="center"/>
              <w:rPr/>
            </w:pPr>
            <w:r>
              <w:rPr/>
              <w:t>Delaware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25"/>
        <w:gridCol w:w="122"/>
        <w:gridCol w:w="5058"/>
      </w:tblGrid>
      <w:tr>
        <w:trPr/>
        <w:tc>
          <w:tcPr>
            <w:tcW w:w="50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058" w:type="dxa"/>
            <w:tcBorders/>
            <w:vAlign w:val="center"/>
          </w:tcPr>
          <w:p>
            <w:pPr>
              <w:pStyle w:val="TableContents"/>
              <w:bidi w:val="0"/>
              <w:spacing w:before="0" w:after="283"/>
              <w:jc w:val="left"/>
              <w:rPr>
                <w:sz w:val="4"/>
                <w:szCs w:val="4"/>
              </w:rPr>
            </w:pPr>
            <w:r>
              <w:rPr>
                <w:sz w:val="4"/>
                <w:szCs w:val="4"/>
              </w:rPr>
            </w:r>
          </w:p>
        </w:tc>
      </w:tr>
      <w:tr>
        <w:trPr/>
        <w:tc>
          <w:tcPr>
            <w:tcW w:w="5025"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Inc.</w:t>
            </w:r>
          </w:p>
          <w:p>
            <w:pPr>
              <w:pStyle w:val="TableContents"/>
              <w:bidi w:val="0"/>
              <w:spacing w:before="0" w:after="0"/>
              <w:jc w:val="left"/>
              <w:rPr>
                <w:rFonts w:ascii="Times New Roman" w:hAnsi="Times New Roman"/>
                <w:sz w:val="20"/>
              </w:rPr>
            </w:pPr>
            <w:r>
              <w:rPr>
                <w:rFonts w:ascii="Times New Roman" w:hAnsi="Times New Roman"/>
                <w:sz w:val="20"/>
              </w:rPr>
              <w:t>August 20, 2026</w:t>
            </w:r>
          </w:p>
          <w:p>
            <w:pPr>
              <w:pStyle w:val="TableContents"/>
              <w:bidi w:val="0"/>
              <w:spacing w:before="0" w:after="20"/>
              <w:jc w:val="left"/>
              <w:rPr>
                <w:rFonts w:ascii="Times New Roman" w:hAnsi="Times New Roman"/>
                <w:sz w:val="20"/>
              </w:rPr>
            </w:pPr>
            <w:r>
              <w:rPr>
                <w:rFonts w:ascii="Times New Roman" w:hAnsi="Times New Roman"/>
                <w:sz w:val="20"/>
              </w:rPr>
              <w:t xml:space="preserve">Page 7 </w:t>
            </w:r>
          </w:p>
        </w:tc>
        <w:tc>
          <w:tcPr>
            <w:tcW w:w="122" w:type="dxa"/>
            <w:tcBorders/>
            <w:vAlign w:val="bottom"/>
          </w:tcPr>
          <w:p>
            <w:pPr>
              <w:pStyle w:val="TableContents"/>
              <w:bidi w:val="0"/>
              <w:spacing w:before="0" w:after="283"/>
              <w:jc w:val="left"/>
              <w:rPr/>
            </w:pPr>
            <w:r>
              <w:rPr/>
              <w:t>  </w:t>
            </w:r>
          </w:p>
        </w:tc>
        <w:tc>
          <w:tcPr>
            <w:tcW w:w="5058" w:type="dxa"/>
            <w:tcBorders/>
          </w:tcPr>
          <w:p>
            <w:pPr>
              <w:pStyle w:val="TableContents"/>
              <w:bidi w:val="0"/>
              <w:spacing w:before="0" w:after="283"/>
              <w:jc w:val="right"/>
              <w:rPr/>
            </w:pPr>
            <w:r>
              <w:rPr/>
              <w:drawing>
                <wp:inline distT="0" distB="0" distL="0" distR="0">
                  <wp:extent cx="1374140" cy="15811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0"/>
                          <a:stretch>
                            <a:fillRect/>
                          </a:stretch>
                        </pic:blipFill>
                        <pic:spPr bwMode="auto">
                          <a:xfrm>
                            <a:off x="0" y="0"/>
                            <a:ext cx="1374140" cy="15811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26"/>
        <w:gridCol w:w="122"/>
        <w:gridCol w:w="2757"/>
      </w:tblGrid>
      <w:tr>
        <w:trPr/>
        <w:tc>
          <w:tcPr>
            <w:tcW w:w="732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757" w:type="dxa"/>
            <w:tcBorders/>
            <w:vAlign w:val="center"/>
          </w:tcPr>
          <w:p>
            <w:pPr>
              <w:pStyle w:val="TableContents"/>
              <w:bidi w:val="0"/>
              <w:spacing w:before="0" w:after="283"/>
              <w:jc w:val="left"/>
              <w:rPr>
                <w:sz w:val="4"/>
                <w:szCs w:val="4"/>
              </w:rPr>
            </w:pPr>
            <w:r>
              <w:rPr>
                <w:sz w:val="4"/>
                <w:szCs w:val="4"/>
              </w:rPr>
            </w:r>
          </w:p>
        </w:tc>
      </w:tr>
      <w:tr>
        <w:trPr/>
        <w:tc>
          <w:tcPr>
            <w:tcW w:w="73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Jurisdiction of</w:t>
              <w:br/>
              <w:t>incorporation</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or organization</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Lakeside,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Laurel Heights, L.P.</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Madera, Inc.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Parkwood, Inc.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Peachford, L.P.</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Phoenix,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Provo Canyon, Inc.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Puerto Rico, Inc.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Ridge,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Rockford,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Salt Lake City,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Savannah,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Spring Mountain, Inc.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Springwoods,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Summitridge,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Texoma, Inc.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Timpanogos, Inc.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Tucson,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Wyoming, Inc.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Sahara, Inc.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Sub III,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UHS-Corona, Inc.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Universal Health Services of Palmdale, Inc.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University Behavioral Health of El Paso,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Valle Vista,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Valley Health System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Wekiva Springs Center,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Willow Springs, LLC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Windmoor Healthcare of Pinellas Park, Inc.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r>
        <w:trPr/>
        <w:tc>
          <w:tcPr>
            <w:tcW w:w="732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Wisconsin Avenue Psychiatric Center, Inc.</w:t>
            </w:r>
          </w:p>
        </w:tc>
        <w:tc>
          <w:tcPr>
            <w:tcW w:w="122" w:type="dxa"/>
            <w:tcBorders/>
            <w:vAlign w:val="bottom"/>
          </w:tcPr>
          <w:p>
            <w:pPr>
              <w:pStyle w:val="TableContents"/>
              <w:bidi w:val="0"/>
              <w:spacing w:before="0" w:after="283"/>
              <w:jc w:val="left"/>
              <w:rPr/>
            </w:pPr>
            <w:r>
              <w:rPr/>
              <w:t>  </w:t>
            </w:r>
          </w:p>
        </w:tc>
        <w:tc>
          <w:tcPr>
            <w:tcW w:w="2757" w:type="dxa"/>
            <w:tcBorders/>
            <w:vAlign w:val="bottom"/>
          </w:tcPr>
          <w:p>
            <w:pPr>
              <w:pStyle w:val="TableContents"/>
              <w:bidi w:val="0"/>
              <w:spacing w:before="0" w:after="283"/>
              <w:jc w:val="center"/>
              <w:rPr/>
            </w:pPr>
            <w:r>
              <w:rPr/>
              <w:t>Delaware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976"/>
        <w:gridCol w:w="120"/>
        <w:gridCol w:w="5109"/>
      </w:tblGrid>
      <w:tr>
        <w:trPr/>
        <w:tc>
          <w:tcPr>
            <w:tcW w:w="49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109" w:type="dxa"/>
            <w:tcBorders/>
            <w:vAlign w:val="center"/>
          </w:tcPr>
          <w:p>
            <w:pPr>
              <w:pStyle w:val="TableContents"/>
              <w:bidi w:val="0"/>
              <w:spacing w:before="0" w:after="283"/>
              <w:jc w:val="left"/>
              <w:rPr>
                <w:sz w:val="4"/>
                <w:szCs w:val="4"/>
              </w:rPr>
            </w:pPr>
            <w:r>
              <w:rPr>
                <w:sz w:val="4"/>
                <w:szCs w:val="4"/>
              </w:rPr>
            </w:r>
          </w:p>
        </w:tc>
      </w:tr>
      <w:tr>
        <w:trPr/>
        <w:tc>
          <w:tcPr>
            <w:tcW w:w="4976"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Inc.</w:t>
            </w:r>
          </w:p>
          <w:p>
            <w:pPr>
              <w:pStyle w:val="TableContents"/>
              <w:bidi w:val="0"/>
              <w:spacing w:before="0" w:after="0"/>
              <w:jc w:val="left"/>
              <w:rPr>
                <w:rFonts w:ascii="Times New Roman" w:hAnsi="Times New Roman"/>
                <w:sz w:val="20"/>
              </w:rPr>
            </w:pPr>
            <w:r>
              <w:rPr>
                <w:rFonts w:ascii="Times New Roman" w:hAnsi="Times New Roman"/>
                <w:sz w:val="20"/>
              </w:rPr>
              <w:t>August 20, 2026</w:t>
            </w:r>
          </w:p>
          <w:p>
            <w:pPr>
              <w:pStyle w:val="TableContents"/>
              <w:bidi w:val="0"/>
              <w:spacing w:before="0" w:after="20"/>
              <w:jc w:val="left"/>
              <w:rPr>
                <w:rFonts w:ascii="Times New Roman" w:hAnsi="Times New Roman"/>
                <w:sz w:val="20"/>
              </w:rPr>
            </w:pPr>
            <w:r>
              <w:rPr>
                <w:rFonts w:ascii="Times New Roman" w:hAnsi="Times New Roman"/>
                <w:sz w:val="20"/>
              </w:rPr>
              <w:t xml:space="preserve">Page 8 </w:t>
            </w:r>
          </w:p>
        </w:tc>
        <w:tc>
          <w:tcPr>
            <w:tcW w:w="120" w:type="dxa"/>
            <w:tcBorders/>
            <w:vAlign w:val="bottom"/>
          </w:tcPr>
          <w:p>
            <w:pPr>
              <w:pStyle w:val="TableContents"/>
              <w:bidi w:val="0"/>
              <w:spacing w:before="0" w:after="283"/>
              <w:jc w:val="left"/>
              <w:rPr/>
            </w:pPr>
            <w:r>
              <w:rPr/>
              <w:t>  </w:t>
            </w:r>
          </w:p>
        </w:tc>
        <w:tc>
          <w:tcPr>
            <w:tcW w:w="5109" w:type="dxa"/>
            <w:tcBorders/>
          </w:tcPr>
          <w:p>
            <w:pPr>
              <w:pStyle w:val="TableContents"/>
              <w:bidi w:val="0"/>
              <w:spacing w:before="0" w:after="283"/>
              <w:jc w:val="right"/>
              <w:rPr/>
            </w:pPr>
            <w:r>
              <w:rPr/>
              <w:drawing>
                <wp:inline distT="0" distB="0" distL="0" distR="0">
                  <wp:extent cx="1657350" cy="190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1"/>
                          <a:stretch>
                            <a:fillRect/>
                          </a:stretch>
                        </pic:blipFill>
                        <pic:spPr bwMode="auto">
                          <a:xfrm>
                            <a:off x="0" y="0"/>
                            <a:ext cx="1657350" cy="1905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II </w:t>
      </w:r>
    </w:p>
    <w:p>
      <w:pPr>
        <w:pStyle w:val="TextBody"/>
        <w:bidi w:val="0"/>
        <w:spacing w:before="120" w:after="0"/>
        <w:jc w:val="center"/>
        <w:rPr>
          <w:rFonts w:ascii="Times New Roman" w:hAnsi="Times New Roman"/>
          <w:sz w:val="20"/>
        </w:rPr>
      </w:pPr>
      <w:r>
        <w:rPr>
          <w:rFonts w:ascii="Times New Roman" w:hAnsi="Times New Roman"/>
          <w:sz w:val="20"/>
        </w:rPr>
        <w:t xml:space="preserve">NON-DE GUARANTOR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02"/>
        <w:gridCol w:w="120"/>
        <w:gridCol w:w="2883"/>
      </w:tblGrid>
      <w:tr>
        <w:trPr/>
        <w:tc>
          <w:tcPr>
            <w:tcW w:w="720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r>
      <w:tr>
        <w:trPr/>
        <w:tc>
          <w:tcPr>
            <w:tcW w:w="720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Jurisdiction of</w:t>
              <w:br/>
              <w:t>incorporation or</w:t>
              <w:br/>
              <w:t>organization</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ABS Lincs KY, LLC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Virginia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ABS Lincs SC,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South Carolina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Aiken Regional Medical Centers, LLC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South Carolina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Alliance Health Center,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Mississippi</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Alternative Behavioral Services,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Virginia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AZ Holding 4, LLC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Arizona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Benchmark Behavioral Health System,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Utah</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Alhambra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Belmont Pines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Fairfax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Fox Run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Fremont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Health Services of Nevada,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Nevada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Heritage Oaks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Intermountain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Montevista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Nevada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of Indiana, General Partnership</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Pinnacle Pointe Hospital, LLC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Properties, LLC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Sierra Vista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BHC Streamwood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Bloomington Meadows, General Partnership</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Brentwood Acquisition,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Brynn Marr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North Carolina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Canyon Ridge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California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CCS/Lansing,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Michigan</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Children’s Comprehensive Services,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Columbus Hospital Partners, LLC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Tennessee</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Del Amo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California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District Hospital Partners, L.P.</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District of Columbia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Fannin Management Services, LLC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Texas</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First Hospital Corporation of Virginia Beach</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Virginia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Forest View Psychiatric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Michigan</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Fort Lauderdale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Florida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Garfield Park Hospital, LLC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Illinois</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Great Plains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Missouri</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Gulf Coast Treatment Center,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Florida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Gulph Mills Associates, LLC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Pennsylvania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 C. Corporation</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Alabama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H.C. Partnership</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Alabama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Harbor Point Behavioral Health Center,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Virginia</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Havenwyck Hospital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Michigan</w:t>
            </w:r>
          </w:p>
        </w:tc>
      </w:tr>
      <w:tr>
        <w:trPr/>
        <w:tc>
          <w:tcPr>
            <w:tcW w:w="72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Augusta, Inc.</w:t>
            </w:r>
          </w:p>
        </w:tc>
        <w:tc>
          <w:tcPr>
            <w:tcW w:w="120" w:type="dxa"/>
            <w:tcBorders/>
            <w:vAlign w:val="bottom"/>
          </w:tcPr>
          <w:p>
            <w:pPr>
              <w:pStyle w:val="TableContents"/>
              <w:bidi w:val="0"/>
              <w:spacing w:before="0" w:after="283"/>
              <w:jc w:val="left"/>
              <w:rPr/>
            </w:pPr>
            <w:r>
              <w:rPr/>
              <w:t>  </w:t>
            </w:r>
          </w:p>
        </w:tc>
        <w:tc>
          <w:tcPr>
            <w:tcW w:w="2883" w:type="dxa"/>
            <w:tcBorders/>
            <w:vAlign w:val="bottom"/>
          </w:tcPr>
          <w:p>
            <w:pPr>
              <w:pStyle w:val="TableContents"/>
              <w:bidi w:val="0"/>
              <w:spacing w:before="0" w:after="283"/>
              <w:jc w:val="center"/>
              <w:rPr/>
            </w:pPr>
            <w:r>
              <w:rPr/>
              <w:t>Georgia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25"/>
        <w:gridCol w:w="122"/>
        <w:gridCol w:w="5058"/>
      </w:tblGrid>
      <w:tr>
        <w:trPr/>
        <w:tc>
          <w:tcPr>
            <w:tcW w:w="50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058" w:type="dxa"/>
            <w:tcBorders/>
            <w:vAlign w:val="center"/>
          </w:tcPr>
          <w:p>
            <w:pPr>
              <w:pStyle w:val="TableContents"/>
              <w:bidi w:val="0"/>
              <w:spacing w:before="0" w:after="283"/>
              <w:jc w:val="left"/>
              <w:rPr>
                <w:sz w:val="4"/>
                <w:szCs w:val="4"/>
              </w:rPr>
            </w:pPr>
            <w:r>
              <w:rPr>
                <w:sz w:val="4"/>
                <w:szCs w:val="4"/>
              </w:rPr>
            </w:r>
          </w:p>
        </w:tc>
      </w:tr>
      <w:tr>
        <w:trPr/>
        <w:tc>
          <w:tcPr>
            <w:tcW w:w="5025"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Inc.</w:t>
            </w:r>
          </w:p>
          <w:p>
            <w:pPr>
              <w:pStyle w:val="TableContents"/>
              <w:bidi w:val="0"/>
              <w:spacing w:before="0" w:after="0"/>
              <w:jc w:val="left"/>
              <w:rPr>
                <w:rFonts w:ascii="Times New Roman" w:hAnsi="Times New Roman"/>
                <w:sz w:val="20"/>
              </w:rPr>
            </w:pPr>
            <w:r>
              <w:rPr>
                <w:rFonts w:ascii="Times New Roman" w:hAnsi="Times New Roman"/>
                <w:sz w:val="20"/>
              </w:rPr>
              <w:t>August 20, 2026</w:t>
            </w:r>
          </w:p>
          <w:p>
            <w:pPr>
              <w:pStyle w:val="TableContents"/>
              <w:bidi w:val="0"/>
              <w:spacing w:before="0" w:after="20"/>
              <w:jc w:val="left"/>
              <w:rPr>
                <w:rFonts w:ascii="Times New Roman" w:hAnsi="Times New Roman"/>
                <w:sz w:val="20"/>
              </w:rPr>
            </w:pPr>
            <w:r>
              <w:rPr>
                <w:rFonts w:ascii="Times New Roman" w:hAnsi="Times New Roman"/>
                <w:sz w:val="20"/>
              </w:rPr>
              <w:t xml:space="preserve">Page 9 </w:t>
            </w:r>
          </w:p>
        </w:tc>
        <w:tc>
          <w:tcPr>
            <w:tcW w:w="122" w:type="dxa"/>
            <w:tcBorders/>
            <w:vAlign w:val="bottom"/>
          </w:tcPr>
          <w:p>
            <w:pPr>
              <w:pStyle w:val="TableContents"/>
              <w:bidi w:val="0"/>
              <w:spacing w:before="0" w:after="283"/>
              <w:jc w:val="left"/>
              <w:rPr/>
            </w:pPr>
            <w:r>
              <w:rPr/>
              <w:t>  </w:t>
            </w:r>
          </w:p>
        </w:tc>
        <w:tc>
          <w:tcPr>
            <w:tcW w:w="5058" w:type="dxa"/>
            <w:tcBorders/>
          </w:tcPr>
          <w:p>
            <w:pPr>
              <w:pStyle w:val="TableContents"/>
              <w:bidi w:val="0"/>
              <w:spacing w:before="0" w:after="283"/>
              <w:jc w:val="right"/>
              <w:rPr/>
            </w:pPr>
            <w:r>
              <w:rPr/>
              <w:drawing>
                <wp:inline distT="0" distB="0" distL="0" distR="0">
                  <wp:extent cx="1374140" cy="15811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2"/>
                          <a:stretch>
                            <a:fillRect/>
                          </a:stretch>
                        </pic:blipFill>
                        <pic:spPr bwMode="auto">
                          <a:xfrm>
                            <a:off x="0" y="0"/>
                            <a:ext cx="1374140" cy="15811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69"/>
        <w:gridCol w:w="121"/>
        <w:gridCol w:w="2815"/>
      </w:tblGrid>
      <w:tr>
        <w:trPr/>
        <w:tc>
          <w:tcPr>
            <w:tcW w:w="726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72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Jurisdiction of</w:t>
              <w:br/>
              <w:t>incorporation or</w:t>
              <w:br/>
              <w:t>organization</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Indiana,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Indiana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Ohio,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Ohio</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Poplar Springs,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Virginia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River Park,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West Virginia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South Carolina,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South Carolina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HHC St. Simons,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Georgia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Holly Hill Hospital,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Tennessee</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Horizon Health Austin,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Texas</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Horizon Mental Health Management,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Texas</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HSA Hill Crest Corporation</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Alabama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Hughes Center,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Virginia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Continuum,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Tennessee</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Education and Youth Services,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Tennessee</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Marion,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Virginia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Memphis,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Tennessee</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Newport News,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Virginia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NPS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California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Richland Center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Ohio</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Keystone WSNC,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North Carolina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Kids Behavioral Health of Utah,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Utah</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Kingwood Pines Hospital,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Texas</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 Amistad Residential Treatment Center,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Florida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Lancaster Hospital Corporation</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California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Lebanon Hospital Partners,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Tennessee</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Mayhill Behavioral Health,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Texas</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Meridell Achievement Center,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Texas</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Michigan Psychiatric Services,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Michigan</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Millwood Hospital, L.P.</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Texas</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Milwaukee Behavioral Health,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Wisconsin</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Neuro Institute of Austin, L.P.</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Texas</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North Spring Behavioral Healthcare,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Tennessee</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Northern Indiana Partners,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Tennessee</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Northwest Texas Healthcare System,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Texas</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Oak Plains Academy of Tennessee,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Tennessee</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Palmetto Behavioral Health System,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South Carolina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Palmetto Lowcountry Behavioral Health,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South Carolina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Palm Point Behavioral Health,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Florida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Park Healthcare Company</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Tennessee</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Pennsylvania Clinical Schools,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Pennsylvania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PSJ Acquisition,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North Dakota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Psychiatric Solutions of Virginia,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Tennessee</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Ridge Outpatient Counseling,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Kentucky</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River Oaks, Inc.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Louisiana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Riverside Medical Clinic Patient Services,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California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Rolling Hills Hospital,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Tennessee</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Samson Properties,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Florida</w:t>
            </w:r>
          </w:p>
        </w:tc>
      </w:tr>
      <w:tr>
        <w:trPr/>
        <w:tc>
          <w:tcPr>
            <w:tcW w:w="726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Schick Shadel of Florida, LLC</w:t>
            </w:r>
          </w:p>
        </w:tc>
        <w:tc>
          <w:tcPr>
            <w:tcW w:w="121" w:type="dxa"/>
            <w:tcBorders/>
            <w:vAlign w:val="bottom"/>
          </w:tcPr>
          <w:p>
            <w:pPr>
              <w:pStyle w:val="TableContents"/>
              <w:bidi w:val="0"/>
              <w:spacing w:before="0" w:after="283"/>
              <w:jc w:val="left"/>
              <w:rPr/>
            </w:pPr>
            <w:r>
              <w:rPr/>
              <w:t>  </w:t>
            </w:r>
          </w:p>
        </w:tc>
        <w:tc>
          <w:tcPr>
            <w:tcW w:w="2815" w:type="dxa"/>
            <w:tcBorders/>
            <w:vAlign w:val="bottom"/>
          </w:tcPr>
          <w:p>
            <w:pPr>
              <w:pStyle w:val="TableContents"/>
              <w:bidi w:val="0"/>
              <w:spacing w:before="0" w:after="283"/>
              <w:jc w:val="center"/>
              <w:rPr/>
            </w:pPr>
            <w:r>
              <w:rPr/>
              <w:t>Florida</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5025"/>
        <w:gridCol w:w="122"/>
        <w:gridCol w:w="5058"/>
      </w:tblGrid>
      <w:tr>
        <w:trPr/>
        <w:tc>
          <w:tcPr>
            <w:tcW w:w="50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5058" w:type="dxa"/>
            <w:tcBorders/>
            <w:vAlign w:val="center"/>
          </w:tcPr>
          <w:p>
            <w:pPr>
              <w:pStyle w:val="TableContents"/>
              <w:bidi w:val="0"/>
              <w:spacing w:before="0" w:after="283"/>
              <w:jc w:val="left"/>
              <w:rPr>
                <w:sz w:val="4"/>
                <w:szCs w:val="4"/>
              </w:rPr>
            </w:pPr>
            <w:r>
              <w:rPr>
                <w:sz w:val="4"/>
                <w:szCs w:val="4"/>
              </w:rPr>
            </w:r>
          </w:p>
        </w:tc>
      </w:tr>
      <w:tr>
        <w:trPr/>
        <w:tc>
          <w:tcPr>
            <w:tcW w:w="5025" w:type="dxa"/>
            <w:tcBorders/>
          </w:tcPr>
          <w:p>
            <w:pPr>
              <w:pStyle w:val="TableContents"/>
              <w:bidi w:val="0"/>
              <w:spacing w:before="0" w:after="0"/>
              <w:jc w:val="left"/>
              <w:rPr>
                <w:rFonts w:ascii="Times New Roman" w:hAnsi="Times New Roman"/>
                <w:sz w:val="20"/>
              </w:rPr>
            </w:pPr>
            <w:r>
              <w:rPr>
                <w:rFonts w:ascii="Times New Roman" w:hAnsi="Times New Roman"/>
                <w:sz w:val="20"/>
              </w:rPr>
              <w:t>Universal Health Services, Inc.</w:t>
            </w:r>
          </w:p>
          <w:p>
            <w:pPr>
              <w:pStyle w:val="TableContents"/>
              <w:bidi w:val="0"/>
              <w:spacing w:before="0" w:after="0"/>
              <w:jc w:val="left"/>
              <w:rPr>
                <w:rFonts w:ascii="Times New Roman" w:hAnsi="Times New Roman"/>
                <w:sz w:val="20"/>
              </w:rPr>
            </w:pPr>
            <w:r>
              <w:rPr>
                <w:rFonts w:ascii="Times New Roman" w:hAnsi="Times New Roman"/>
                <w:sz w:val="20"/>
              </w:rPr>
              <w:t>August 20, 2026</w:t>
            </w:r>
          </w:p>
          <w:p>
            <w:pPr>
              <w:pStyle w:val="TableContents"/>
              <w:bidi w:val="0"/>
              <w:spacing w:before="0" w:after="20"/>
              <w:jc w:val="left"/>
              <w:rPr>
                <w:rFonts w:ascii="Times New Roman" w:hAnsi="Times New Roman"/>
                <w:sz w:val="20"/>
              </w:rPr>
            </w:pPr>
            <w:r>
              <w:rPr>
                <w:rFonts w:ascii="Times New Roman" w:hAnsi="Times New Roman"/>
                <w:sz w:val="20"/>
              </w:rPr>
              <w:t xml:space="preserve">Page 10 </w:t>
            </w:r>
          </w:p>
        </w:tc>
        <w:tc>
          <w:tcPr>
            <w:tcW w:w="122" w:type="dxa"/>
            <w:tcBorders/>
            <w:vAlign w:val="bottom"/>
          </w:tcPr>
          <w:p>
            <w:pPr>
              <w:pStyle w:val="TableContents"/>
              <w:bidi w:val="0"/>
              <w:spacing w:before="0" w:after="283"/>
              <w:jc w:val="left"/>
              <w:rPr/>
            </w:pPr>
            <w:r>
              <w:rPr/>
              <w:t>  </w:t>
            </w:r>
          </w:p>
        </w:tc>
        <w:tc>
          <w:tcPr>
            <w:tcW w:w="5058" w:type="dxa"/>
            <w:tcBorders/>
          </w:tcPr>
          <w:p>
            <w:pPr>
              <w:pStyle w:val="TableContents"/>
              <w:bidi w:val="0"/>
              <w:spacing w:before="0" w:after="283"/>
              <w:jc w:val="right"/>
              <w:rPr/>
            </w:pPr>
            <w:r>
              <w:rPr/>
              <w:drawing>
                <wp:inline distT="0" distB="0" distL="0" distR="0">
                  <wp:extent cx="1374140" cy="15811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3"/>
                          <a:stretch>
                            <a:fillRect/>
                          </a:stretch>
                        </pic:blipFill>
                        <pic:spPr bwMode="auto">
                          <a:xfrm>
                            <a:off x="0" y="0"/>
                            <a:ext cx="1374140" cy="15811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62"/>
        <w:gridCol w:w="122"/>
        <w:gridCol w:w="2821"/>
      </w:tblGrid>
      <w:tr>
        <w:trPr/>
        <w:tc>
          <w:tcPr>
            <w:tcW w:w="726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726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Jurisdiction of</w:t>
              <w:br/>
              <w:t>incorporation or</w:t>
              <w:br/>
              <w:t>organization</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SHC-KPH, LP</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Texas</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Southeastern Hospital Corporation</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Tennessee</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 Behavioral,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Florida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Sparks Family Hospital,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Nevada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Summit Oaks Hospital,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New Jersey</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Sunstone Behavioral Health,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Tennessee</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Temecula Valley Hospital,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California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Temple Behavioral Healthcare Hospital,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Texas</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Tennessee Clinical Schools,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Tennessee</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Cypress Creek Hospital, L.P.</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Texas</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Laurel Ridge Hospital, L.P.</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Texas</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Oaks Psychiatric Hospital, L.P.</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Texas</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San Marcos Treatment Center, L.P.</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Texas</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West Oaks Hospital, L.P.</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Texas</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Arbour,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Massachusetts</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Bridgeway,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Arkansas</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National Deaf Academy,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Florida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Three Rivers Behavioral Health,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South Carolina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Three Rivers Healthcare Group,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South Carolina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Turning Point Care Center,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Georgia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East End Corporation</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District of Columbia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East End Sub,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District of Columbia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Holding Company,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Nevada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Fuller,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Massachusetts</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Hampton,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New Jersey</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Hartgrove,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Illinois</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Lancaster,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Pennsylvania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New Orleans,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Louisiana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Oklahoma,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Oklahoma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Pennsylvania,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Pennsylvania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River Parishes,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Louisiana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Timberlawn,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Texas</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Westwood Pembroke,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Massachusetts</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Oklahoma City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Oklahoma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UHSD,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Nevada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UHSL,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Nevada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United Healthcare of Hardin,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Tennessee</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Universal Health Services of Rancho Springs,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California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University Behavioral,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Florida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Valle Vista Hospital Partners,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Tennessee</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Valley Hospital Medical Center,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Nevada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Wellington Regional Medical Center,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Florida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Wellstone Regional Hospital Acquisition,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Indiana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Windmoor Healthcare Inc.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Florida</w:t>
            </w:r>
          </w:p>
        </w:tc>
      </w:tr>
      <w:tr>
        <w:trPr/>
        <w:tc>
          <w:tcPr>
            <w:tcW w:w="72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Zeus Endeavors, LLC</w:t>
            </w:r>
          </w:p>
        </w:tc>
        <w:tc>
          <w:tcPr>
            <w:tcW w:w="122" w:type="dxa"/>
            <w:tcBorders/>
            <w:vAlign w:val="bottom"/>
          </w:tcPr>
          <w:p>
            <w:pPr>
              <w:pStyle w:val="TableContents"/>
              <w:bidi w:val="0"/>
              <w:spacing w:before="0" w:after="283"/>
              <w:jc w:val="left"/>
              <w:rPr/>
            </w:pPr>
            <w:r>
              <w:rPr/>
              <w:t>  </w:t>
            </w:r>
          </w:p>
        </w:tc>
        <w:tc>
          <w:tcPr>
            <w:tcW w:w="2821" w:type="dxa"/>
            <w:tcBorders/>
            <w:vAlign w:val="bottom"/>
          </w:tcPr>
          <w:p>
            <w:pPr>
              <w:pStyle w:val="TableContents"/>
              <w:bidi w:val="0"/>
              <w:spacing w:before="0" w:after="283"/>
              <w:jc w:val="center"/>
              <w:rPr/>
            </w:pPr>
            <w:r>
              <w:rPr/>
              <w:t>Florida</w:t>
            </w:r>
          </w:p>
        </w:tc>
      </w:tr>
    </w:tbl>
    <w:p>
      <w:pPr>
        <w:pStyle w:val="TextBody"/>
        <w:bidi w:val="0"/>
        <w:spacing w:before="0" w:after="0"/>
        <w:jc w:val="right"/>
        <w:rPr>
          <w:rFonts w:ascii="Times New Roman" w:hAnsi="Times New Roman"/>
          <w:b/>
          <w:sz w:val="20"/>
        </w:rPr>
      </w:pPr>
      <w:bookmarkStart w:id="8" w:name="d329184dex52.htm"/>
      <w:bookmarkStart w:id="9" w:name="ksd329184dex52"/>
      <w:bookmarkEnd w:id="8"/>
      <w:bookmarkEnd w:id="9"/>
      <w:r>
        <w:rPr>
          <w:rFonts w:ascii="Times New Roman" w:hAnsi="Times New Roman"/>
          <w:b/>
          <w:sz w:val="20"/>
        </w:rPr>
        <w:t xml:space="preserve">Exhibit 5.2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Universal Health Services,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367 South Gulph Road </w:t>
      </w:r>
    </w:p>
    <w:p>
      <w:pPr>
        <w:pStyle w:val="TextBody"/>
        <w:bidi w:val="0"/>
        <w:spacing w:before="0" w:after="0"/>
        <w:jc w:val="center"/>
        <w:rPr>
          <w:rFonts w:ascii="Times New Roman" w:hAnsi="Times New Roman"/>
          <w:b/>
          <w:sz w:val="20"/>
        </w:rPr>
      </w:pPr>
      <w:r>
        <w:rPr>
          <w:rFonts w:ascii="Times New Roman" w:hAnsi="Times New Roman"/>
          <w:b/>
          <w:sz w:val="20"/>
        </w:rPr>
        <w:t xml:space="preserve">P.O. Box 61558 </w:t>
      </w:r>
    </w:p>
    <w:p>
      <w:pPr>
        <w:pStyle w:val="TextBody"/>
        <w:bidi w:val="0"/>
        <w:spacing w:before="0" w:after="0"/>
        <w:jc w:val="center"/>
        <w:rPr>
          <w:rFonts w:ascii="Times New Roman" w:hAnsi="Times New Roman"/>
          <w:b/>
          <w:sz w:val="20"/>
        </w:rPr>
      </w:pPr>
      <w:r>
        <w:rPr>
          <w:rFonts w:ascii="Times New Roman" w:hAnsi="Times New Roman"/>
          <w:b/>
          <w:sz w:val="20"/>
        </w:rPr>
        <w:t xml:space="preserve">King of Prussia, PA 19406 </w:t>
      </w:r>
    </w:p>
    <w:p>
      <w:pPr>
        <w:pStyle w:val="TextBody"/>
        <w:bidi w:val="0"/>
        <w:spacing w:before="240" w:after="0"/>
        <w:jc w:val="left"/>
        <w:rPr>
          <w:rFonts w:ascii="Times New Roman" w:hAnsi="Times New Roman"/>
          <w:sz w:val="20"/>
        </w:rPr>
      </w:pPr>
      <w:r>
        <w:rPr>
          <w:rFonts w:ascii="Times New Roman" w:hAnsi="Times New Roman"/>
          <w:sz w:val="20"/>
        </w:rPr>
        <w:t xml:space="preserve">August 20, 2024 </w:t>
      </w:r>
    </w:p>
    <w:p>
      <w:pPr>
        <w:pStyle w:val="TextBody"/>
        <w:bidi w:val="0"/>
        <w:spacing w:before="24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and the Subsidiary Guarantors </w:t>
      </w:r>
    </w:p>
    <w:p>
      <w:pPr>
        <w:pStyle w:val="TextBody"/>
        <w:bidi w:val="0"/>
        <w:spacing w:before="0" w:after="0"/>
        <w:jc w:val="left"/>
        <w:rPr>
          <w:rFonts w:ascii="Times New Roman" w:hAnsi="Times New Roman"/>
          <w:sz w:val="20"/>
        </w:rPr>
      </w:pPr>
      <w:r>
        <w:rPr>
          <w:rFonts w:ascii="Times New Roman" w:hAnsi="Times New Roman"/>
          <w:sz w:val="20"/>
        </w:rPr>
        <w:t xml:space="preserve">367 South Gulph Road </w:t>
      </w:r>
    </w:p>
    <w:p>
      <w:pPr>
        <w:pStyle w:val="TextBody"/>
        <w:bidi w:val="0"/>
        <w:spacing w:before="0" w:after="0"/>
        <w:jc w:val="left"/>
        <w:rPr>
          <w:rFonts w:ascii="Times New Roman" w:hAnsi="Times New Roman"/>
          <w:sz w:val="20"/>
        </w:rPr>
      </w:pPr>
      <w:r>
        <w:rPr>
          <w:rFonts w:ascii="Times New Roman" w:hAnsi="Times New Roman"/>
          <w:sz w:val="20"/>
        </w:rPr>
        <w:t xml:space="preserve">King of Prussia, Pennsylvania 19406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I am Senior Vice President and General Counsel to Universal Health Services, Inc., a Delaware corporation (the “</w:t>
      </w:r>
      <w:r>
        <w:rPr>
          <w:rFonts w:ascii="Times New Roman" w:hAnsi="Times New Roman"/>
          <w:sz w:val="20"/>
          <w:u w:val="single"/>
        </w:rPr>
        <w:t>Company</w:t>
      </w:r>
      <w:r>
        <w:rPr>
          <w:rFonts w:ascii="Times New Roman" w:hAnsi="Times New Roman"/>
          <w:sz w:val="20"/>
        </w:rPr>
        <w:t>”), and the subsidiaries of the Company listed on Schedules I and II hereto (the “</w:t>
      </w:r>
      <w:r>
        <w:rPr>
          <w:rFonts w:ascii="Times New Roman" w:hAnsi="Times New Roman"/>
          <w:sz w:val="20"/>
          <w:u w:val="single"/>
        </w:rPr>
        <w:t>Guarantors</w:t>
      </w:r>
      <w:r>
        <w:rPr>
          <w:rFonts w:ascii="Times New Roman" w:hAnsi="Times New Roman"/>
          <w:sz w:val="20"/>
        </w:rPr>
        <w:t>”) and I am delivering this opinion in connection with the Company’s proposed issuance of $600,000,000 aggregate principal amount of 5.500% Senior Secured Notes due 2031 and $500,000,000 million aggregate principal amount of 6.000% Senior Secured Notes due 2036 (collectively, the “</w:t>
      </w:r>
      <w:r>
        <w:rPr>
          <w:rFonts w:ascii="Times New Roman" w:hAnsi="Times New Roman"/>
          <w:sz w:val="20"/>
          <w:u w:val="single"/>
        </w:rPr>
        <w:t>Notes</w:t>
      </w:r>
      <w:r>
        <w:rPr>
          <w:rFonts w:ascii="Times New Roman" w:hAnsi="Times New Roman"/>
          <w:sz w:val="20"/>
        </w:rPr>
        <w:t>”), and the issuance of the related guarantees of the Notes by the Guarantors (the “</w:t>
      </w:r>
      <w:r>
        <w:rPr>
          <w:rFonts w:ascii="Times New Roman" w:hAnsi="Times New Roman"/>
          <w:sz w:val="20"/>
          <w:u w:val="single"/>
        </w:rPr>
        <w:t>Guarantees</w:t>
      </w:r>
      <w:r>
        <w:rPr>
          <w:rFonts w:ascii="Times New Roman" w:hAnsi="Times New Roman"/>
          <w:sz w:val="20"/>
        </w:rPr>
        <w:t xml:space="preserve">”), as contemplated by the Company’s and the Guarantors’ registration pursuant to a shelf registration statement on Form S-3 (File No. 333-282135) (the “ </w:t>
      </w:r>
      <w:r>
        <w:rPr>
          <w:rFonts w:ascii="Times New Roman" w:hAnsi="Times New Roman"/>
          <w:sz w:val="20"/>
          <w:u w:val="single"/>
        </w:rPr>
        <w:t>Original Registration Statement</w:t>
      </w:r>
      <w:r>
        <w:rPr>
          <w:rFonts w:ascii="Times New Roman" w:hAnsi="Times New Roman"/>
          <w:sz w:val="20"/>
        </w:rPr>
        <w:t>”), as amended by Post-Effective Amendment No. 1 thereto (“</w:t>
      </w:r>
      <w:r>
        <w:rPr>
          <w:rFonts w:ascii="Times New Roman" w:hAnsi="Times New Roman"/>
          <w:sz w:val="20"/>
          <w:u w:val="single"/>
        </w:rPr>
        <w:t>Post Effective Amendment No. 1</w:t>
      </w:r>
      <w:r>
        <w:rPr>
          <w:rFonts w:ascii="Times New Roman" w:hAnsi="Times New Roman"/>
          <w:sz w:val="20"/>
        </w:rPr>
        <w:t>”) (such Original Registration Statement, as amended by Post-Effective Amendment No. 1 and as may be amended from time to time, the “</w:t>
      </w:r>
      <w:r>
        <w:rPr>
          <w:rFonts w:ascii="Times New Roman" w:hAnsi="Times New Roman"/>
          <w:sz w:val="20"/>
          <w:u w:val="single"/>
        </w:rPr>
        <w:t>Registration Statement</w:t>
      </w:r>
      <w:r>
        <w:rPr>
          <w:rFonts w:ascii="Times New Roman" w:hAnsi="Times New Roman"/>
          <w:sz w:val="20"/>
        </w:rPr>
        <w:t>”) filed with the Securities and Exchange Commission (the “</w:t>
      </w:r>
      <w:r>
        <w:rPr>
          <w:rFonts w:ascii="Times New Roman" w:hAnsi="Times New Roman"/>
          <w:sz w:val="20"/>
          <w:u w:val="single"/>
        </w:rPr>
        <w:t>Commission</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The Original Registration Statement and Post Effective Amendment No. 1 have been filed with the Commission and each became effective upon their respective filing. The Company’s prospectus dated September 16, 2024 was filed with the Commission as part of the Registration Statement (the “</w:t>
      </w:r>
      <w:r>
        <w:rPr>
          <w:rFonts w:ascii="Times New Roman" w:hAnsi="Times New Roman"/>
          <w:sz w:val="20"/>
          <w:u w:val="single"/>
        </w:rPr>
        <w:t>Base Prospectus</w:t>
      </w:r>
      <w:r>
        <w:rPr>
          <w:rFonts w:ascii="Times New Roman" w:hAnsi="Times New Roman"/>
          <w:sz w:val="20"/>
        </w:rPr>
        <w:t>”) and the Company’s prospectus supplement dated August 11, 2026 relating to the Notes and the Guarantees has been filed with the Commission pursuant to Rule 424(b) under the Securities Act (the “</w:t>
      </w:r>
      <w:r>
        <w:rPr>
          <w:rFonts w:ascii="Times New Roman" w:hAnsi="Times New Roman"/>
          <w:sz w:val="20"/>
          <w:u w:val="single"/>
        </w:rPr>
        <w:t>Prospectus Supplement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and Guarantors entered into an Underwriting Agreement (the “</w:t>
      </w:r>
      <w:r>
        <w:rPr>
          <w:rFonts w:ascii="Times New Roman" w:hAnsi="Times New Roman"/>
          <w:sz w:val="20"/>
          <w:u w:val="single"/>
        </w:rPr>
        <w:t>Underwriting Agreement</w:t>
      </w:r>
      <w:r>
        <w:rPr>
          <w:rFonts w:ascii="Times New Roman" w:hAnsi="Times New Roman"/>
          <w:sz w:val="20"/>
        </w:rPr>
        <w:t>”), dated August 11, 2026, with J.P. Morgan Securities LLC, BofA Securities, Inc., Truist Securities, Inc., US Bancorp Investments, Inc. and Wells Fargo Securities, LLC, as representatives of the underwriters named therein (the “</w:t>
      </w:r>
      <w:r>
        <w:rPr>
          <w:rFonts w:ascii="Times New Roman" w:hAnsi="Times New Roman"/>
          <w:sz w:val="20"/>
          <w:u w:val="single"/>
        </w:rPr>
        <w:t>Underwriters</w:t>
      </w:r>
      <w:r>
        <w:rPr>
          <w:rFonts w:ascii="Times New Roman" w:hAnsi="Times New Roman"/>
          <w:sz w:val="20"/>
        </w:rPr>
        <w:t>”), relating to the issuance and sale by the Company to the Underwriters of the Notes, which shall be issued pursuant to an Indenture dated as of September 26, 2024 (the “</w:t>
      </w:r>
      <w:r>
        <w:rPr>
          <w:rFonts w:ascii="Times New Roman" w:hAnsi="Times New Roman"/>
          <w:sz w:val="20"/>
          <w:u w:val="single"/>
        </w:rPr>
        <w:t>Base Indenture</w:t>
      </w:r>
      <w:r>
        <w:rPr>
          <w:rFonts w:ascii="Times New Roman" w:hAnsi="Times New Roman"/>
          <w:sz w:val="20"/>
        </w:rPr>
        <w:t>”) and a Third Supplemental Indenture dated as of August 20, 2026 (the “</w:t>
      </w:r>
      <w:r>
        <w:rPr>
          <w:rFonts w:ascii="Times New Roman" w:hAnsi="Times New Roman"/>
          <w:sz w:val="20"/>
          <w:u w:val="single"/>
        </w:rPr>
        <w:t>Supplemental Indenture</w:t>
      </w:r>
      <w:r>
        <w:rPr>
          <w:rFonts w:ascii="Times New Roman" w:hAnsi="Times New Roman"/>
          <w:sz w:val="20"/>
        </w:rPr>
        <w:t>” and, together with the Base Indenture, the “</w:t>
      </w:r>
      <w:r>
        <w:rPr>
          <w:rFonts w:ascii="Times New Roman" w:hAnsi="Times New Roman"/>
          <w:sz w:val="20"/>
          <w:u w:val="single"/>
        </w:rPr>
        <w:t>Indenture</w:t>
      </w:r>
      <w:r>
        <w:rPr>
          <w:rFonts w:ascii="Times New Roman" w:hAnsi="Times New Roman"/>
          <w:sz w:val="20"/>
        </w:rPr>
        <w:t xml:space="preserve">”) among the Company, U.S. Bank Trust Company, National Association, as trustee, and JPMorgan Chase Bank, N.A., as collateral agent.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I have reviewed and examined, among other documents,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Base Prospectus and the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Underwriting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Base Indenture and the Supplemental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Notes in global form as executed by the Company and authenticated by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Officers’ Certificates to be delivered pursuant to Section 13.03 of the Base Indenture.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and the Subsidiary Guarantors </w:t>
      </w:r>
    </w:p>
    <w:p>
      <w:pPr>
        <w:pStyle w:val="TextBody"/>
        <w:bidi w:val="0"/>
        <w:spacing w:before="0" w:after="0"/>
        <w:jc w:val="left"/>
        <w:rPr>
          <w:rFonts w:ascii="Times New Roman" w:hAnsi="Times New Roman"/>
          <w:sz w:val="20"/>
        </w:rPr>
      </w:pPr>
      <w:r>
        <w:rPr>
          <w:rFonts w:ascii="Times New Roman" w:hAnsi="Times New Roman"/>
          <w:sz w:val="20"/>
        </w:rPr>
        <w:t xml:space="preserve">August 20,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In addition, in rendering the opinions contained herein, I have relied upon my examination or the examination by members of the Company’s legal staff (in the ordinary course of business) of the original or copies certified or otherwise identified to our satisfaction of the charter, bylaws or other governing documents of Subsidiary Guarantors named on Schedule I hereto (the “</w:t>
      </w:r>
      <w:r>
        <w:rPr>
          <w:rFonts w:ascii="Times New Roman" w:hAnsi="Times New Roman"/>
          <w:sz w:val="20"/>
          <w:u w:val="single"/>
        </w:rPr>
        <w:t>Schedule I Guarantors</w:t>
      </w:r>
      <w:r>
        <w:rPr>
          <w:rFonts w:ascii="Times New Roman" w:hAnsi="Times New Roman"/>
          <w:sz w:val="20"/>
        </w:rPr>
        <w:t xml:space="preserve">”), resolutions and written consents of their respective boards of directors, general partners, managers and managing members, as the case may be, statements and certificates from officers of the Schedule I Guarantors and, to the extent obtained, from various state authorities, status reports provided by third party service providers, and such other documents and records relating to the Schedule I Guarantors as I have deemed appropriate. I, or a member of my staff, have also examined the originals, or duplicates or certified or conformed copies, of such corporate and other records, agreements, documents and other instruments of the Schedule I Guarantors and have made such other investigations as I have deemed relevant and necessary in connection with the opinions hereinafter set forth. As to questions of fact material to this opinion, I have relied upon certificates or comparable documents or statements of public officials and of officers and representatives of the Company and the Schedule I Guarantors.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assumptions and limitations stated herein, I am of the opinion that, (a) each of the Schedule I Guarantors is validly existing and in good standing as a corporation, limited liability company or limited partnership, as applicable, under the law of its jurisdiction of organization and will have full corporate, limited liability company or limited partnership power and authority, as the case may be, to issue the Guarantees and (b) the Guarantees, the Underwriting Agreement, the Base Indenture and the Supplemental Indenture have been duly authorized, executed and delivered by each of the Schedule I Guarantors. </w:t>
      </w:r>
    </w:p>
    <w:p>
      <w:pPr>
        <w:pStyle w:val="TextBody"/>
        <w:bidi w:val="0"/>
        <w:spacing w:before="240" w:after="0"/>
        <w:jc w:val="left"/>
        <w:rPr>
          <w:rFonts w:ascii="Times New Roman" w:hAnsi="Times New Roman"/>
          <w:sz w:val="20"/>
        </w:rPr>
      </w:pPr>
      <w:r>
        <w:rPr>
          <w:rFonts w:ascii="Times New Roman" w:hAnsi="Times New Roman"/>
          <w:sz w:val="20"/>
        </w:rPr>
        <w:t xml:space="preserve">This opinion letter is given as of the date hereof, and I assume no obligation to update or supplement this opinion letter to reflect any facts or circumstances that may hereafter come to my attention or any change in laws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I hereby consent to the filing of this opinion as an exhibit to the Company’s Current Report on Form 8-K to be filed with the Commission on the date hereof and to the reference to the undersigned under the caption “Legal Matters” in the Base Prospectus and the Prospectus Supplement.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D. Klein</w:t>
            </w:r>
          </w:p>
        </w:tc>
      </w:tr>
      <w:tr>
        <w:trPr/>
        <w:tc>
          <w:tcPr>
            <w:tcW w:w="4082" w:type="dxa"/>
            <w:tcBorders/>
          </w:tcPr>
          <w:p>
            <w:pPr>
              <w:pStyle w:val="TableContents"/>
              <w:bidi w:val="0"/>
              <w:spacing w:before="0" w:after="283"/>
              <w:jc w:val="left"/>
              <w:rPr/>
            </w:pPr>
            <w:r>
              <w:rPr/>
              <w:t>Matthew D. Klein</w:t>
            </w:r>
          </w:p>
        </w:tc>
      </w:tr>
      <w:tr>
        <w:trPr/>
        <w:tc>
          <w:tcPr>
            <w:tcW w:w="4082" w:type="dxa"/>
            <w:tcBorders/>
          </w:tcPr>
          <w:p>
            <w:pPr>
              <w:pStyle w:val="TableContents"/>
              <w:bidi w:val="0"/>
              <w:spacing w:before="0" w:after="283"/>
              <w:jc w:val="left"/>
              <w:rPr/>
            </w:pPr>
            <w:r>
              <w:rPr/>
              <w:t>General Counsel</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and the Subsidiary Guarantors </w:t>
      </w:r>
    </w:p>
    <w:p>
      <w:pPr>
        <w:pStyle w:val="TextBody"/>
        <w:bidi w:val="0"/>
        <w:spacing w:before="0" w:after="0"/>
        <w:jc w:val="left"/>
        <w:rPr>
          <w:rFonts w:ascii="Times New Roman" w:hAnsi="Times New Roman"/>
          <w:sz w:val="20"/>
        </w:rPr>
      </w:pPr>
      <w:r>
        <w:rPr>
          <w:rFonts w:ascii="Times New Roman" w:hAnsi="Times New Roman"/>
          <w:sz w:val="20"/>
        </w:rPr>
        <w:t xml:space="preserve">August 20,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21"/>
        <w:gridCol w:w="120"/>
        <w:gridCol w:w="2764"/>
      </w:tblGrid>
      <w:tr>
        <w:trPr/>
        <w:tc>
          <w:tcPr>
            <w:tcW w:w="73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r>
      <w:tr>
        <w:trPr/>
        <w:tc>
          <w:tcPr>
            <w:tcW w:w="73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0" w:type="dxa"/>
            <w:tcBorders/>
            <w:vAlign w:val="bottom"/>
          </w:tcPr>
          <w:p>
            <w:pPr>
              <w:pStyle w:val="TableContents"/>
              <w:bidi w:val="0"/>
              <w:spacing w:before="0" w:after="283"/>
              <w:jc w:val="left"/>
              <w:rPr/>
            </w:pPr>
            <w:r>
              <w:rPr/>
              <w:t>  </w:t>
            </w:r>
          </w:p>
        </w:tc>
        <w:tc>
          <w:tcPr>
            <w:tcW w:w="276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Jurisdiction of</w:t>
              <w:br/>
              <w:t>incorporation or</w:t>
              <w:br/>
              <w:t>organization</w:t>
            </w:r>
          </w:p>
        </w:tc>
      </w:tr>
      <w:tr>
        <w:trPr/>
        <w:tc>
          <w:tcPr>
            <w:tcW w:w="7321" w:type="dxa"/>
            <w:tcBorders/>
          </w:tcPr>
          <w:p>
            <w:pPr>
              <w:pStyle w:val="TableContents"/>
              <w:bidi w:val="0"/>
              <w:spacing w:before="0" w:after="283"/>
              <w:jc w:val="left"/>
              <w:rPr/>
            </w:pPr>
            <w:r>
              <w:rPr/>
              <w:t>ABS Lincs Ky, LLC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Virginia</w:t>
            </w:r>
          </w:p>
        </w:tc>
      </w:tr>
      <w:tr>
        <w:trPr/>
        <w:tc>
          <w:tcPr>
            <w:tcW w:w="7321" w:type="dxa"/>
            <w:tcBorders/>
          </w:tcPr>
          <w:p>
            <w:pPr>
              <w:pStyle w:val="TableContents"/>
              <w:bidi w:val="0"/>
              <w:spacing w:before="0" w:after="283"/>
              <w:jc w:val="left"/>
              <w:rPr/>
            </w:pPr>
            <w:r>
              <w:rPr/>
              <w:t>ABS Lincs SC,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South Carolina</w:t>
            </w:r>
          </w:p>
        </w:tc>
      </w:tr>
      <w:tr>
        <w:trPr/>
        <w:tc>
          <w:tcPr>
            <w:tcW w:w="7321" w:type="dxa"/>
            <w:tcBorders/>
          </w:tcPr>
          <w:p>
            <w:pPr>
              <w:pStyle w:val="TableContents"/>
              <w:bidi w:val="0"/>
              <w:spacing w:before="0" w:after="283"/>
              <w:jc w:val="left"/>
              <w:rPr/>
            </w:pPr>
            <w:r>
              <w:rPr/>
              <w:t>Aiken Regional Medical Centers, LLC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South Carolina</w:t>
            </w:r>
          </w:p>
        </w:tc>
      </w:tr>
      <w:tr>
        <w:trPr/>
        <w:tc>
          <w:tcPr>
            <w:tcW w:w="7321" w:type="dxa"/>
            <w:tcBorders/>
          </w:tcPr>
          <w:p>
            <w:pPr>
              <w:pStyle w:val="TableContents"/>
              <w:bidi w:val="0"/>
              <w:spacing w:before="0" w:after="283"/>
              <w:jc w:val="left"/>
              <w:rPr/>
            </w:pPr>
            <w:r>
              <w:rPr/>
              <w:t>Alliance Health Center,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Mississippi</w:t>
            </w:r>
          </w:p>
        </w:tc>
      </w:tr>
      <w:tr>
        <w:trPr/>
        <w:tc>
          <w:tcPr>
            <w:tcW w:w="7321" w:type="dxa"/>
            <w:tcBorders/>
          </w:tcPr>
          <w:p>
            <w:pPr>
              <w:pStyle w:val="TableContents"/>
              <w:bidi w:val="0"/>
              <w:spacing w:before="0" w:after="283"/>
              <w:jc w:val="left"/>
              <w:rPr/>
            </w:pPr>
            <w:r>
              <w:rPr/>
              <w:t>Alternative Behavioral Services,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Virginia</w:t>
            </w:r>
          </w:p>
        </w:tc>
      </w:tr>
      <w:tr>
        <w:trPr/>
        <w:tc>
          <w:tcPr>
            <w:tcW w:w="7321" w:type="dxa"/>
            <w:tcBorders/>
          </w:tcPr>
          <w:p>
            <w:pPr>
              <w:pStyle w:val="TableContents"/>
              <w:bidi w:val="0"/>
              <w:spacing w:before="0" w:after="283"/>
              <w:jc w:val="left"/>
              <w:rPr/>
            </w:pPr>
            <w:r>
              <w:rPr/>
              <w:t>AZ Holding 4, LLC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Arizona</w:t>
            </w:r>
          </w:p>
        </w:tc>
      </w:tr>
      <w:tr>
        <w:trPr/>
        <w:tc>
          <w:tcPr>
            <w:tcW w:w="7321" w:type="dxa"/>
            <w:tcBorders/>
          </w:tcPr>
          <w:p>
            <w:pPr>
              <w:pStyle w:val="TableContents"/>
              <w:bidi w:val="0"/>
              <w:spacing w:before="0" w:after="283"/>
              <w:jc w:val="left"/>
              <w:rPr/>
            </w:pPr>
            <w:r>
              <w:rPr/>
              <w:t>Benchmark Behavioral Health System,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Utah</w:t>
            </w:r>
          </w:p>
        </w:tc>
      </w:tr>
      <w:tr>
        <w:trPr/>
        <w:tc>
          <w:tcPr>
            <w:tcW w:w="7321" w:type="dxa"/>
            <w:tcBorders/>
          </w:tcPr>
          <w:p>
            <w:pPr>
              <w:pStyle w:val="TableContents"/>
              <w:bidi w:val="0"/>
              <w:spacing w:before="0" w:after="283"/>
              <w:jc w:val="left"/>
              <w:rPr/>
            </w:pPr>
            <w:r>
              <w:rPr/>
              <w:t>BHC Alhambra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BHC Belmont Pines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BHC Fairfax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BHC Fox Run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BHC Fremont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BHC Health Services of Nevada,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Nevada</w:t>
            </w:r>
          </w:p>
        </w:tc>
      </w:tr>
      <w:tr>
        <w:trPr/>
        <w:tc>
          <w:tcPr>
            <w:tcW w:w="7321" w:type="dxa"/>
            <w:tcBorders/>
          </w:tcPr>
          <w:p>
            <w:pPr>
              <w:pStyle w:val="TableContents"/>
              <w:bidi w:val="0"/>
              <w:spacing w:before="0" w:after="283"/>
              <w:jc w:val="left"/>
              <w:rPr/>
            </w:pPr>
            <w:r>
              <w:rPr/>
              <w:t>BHC Heritage Oaks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BHC Intermountain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BHC Montevista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Nevada</w:t>
            </w:r>
          </w:p>
        </w:tc>
      </w:tr>
      <w:tr>
        <w:trPr/>
        <w:tc>
          <w:tcPr>
            <w:tcW w:w="7321" w:type="dxa"/>
            <w:tcBorders/>
          </w:tcPr>
          <w:p>
            <w:pPr>
              <w:pStyle w:val="TableContents"/>
              <w:bidi w:val="0"/>
              <w:spacing w:before="0" w:after="283"/>
              <w:jc w:val="left"/>
              <w:rPr/>
            </w:pPr>
            <w:r>
              <w:rPr/>
              <w:t>BHC of Indiana, General Partnership</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BHC Pinnacle Pointe Hospital, LLC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BHC Properties, LLC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BHC Sierra Vista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BHC Streamwood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Bloomington Meadows, General Partnership</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Brentwood Acquisition,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Brynn Marr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North Carolina</w:t>
            </w:r>
          </w:p>
        </w:tc>
      </w:tr>
      <w:tr>
        <w:trPr/>
        <w:tc>
          <w:tcPr>
            <w:tcW w:w="7321" w:type="dxa"/>
            <w:tcBorders/>
          </w:tcPr>
          <w:p>
            <w:pPr>
              <w:pStyle w:val="TableContents"/>
              <w:bidi w:val="0"/>
              <w:spacing w:before="0" w:after="283"/>
              <w:jc w:val="left"/>
              <w:rPr/>
            </w:pPr>
            <w:r>
              <w:rPr/>
              <w:t>Canyon Ridge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California</w:t>
            </w:r>
          </w:p>
        </w:tc>
      </w:tr>
      <w:tr>
        <w:trPr/>
        <w:tc>
          <w:tcPr>
            <w:tcW w:w="7321" w:type="dxa"/>
            <w:tcBorders/>
          </w:tcPr>
          <w:p>
            <w:pPr>
              <w:pStyle w:val="TableContents"/>
              <w:bidi w:val="0"/>
              <w:spacing w:before="0" w:after="283"/>
              <w:jc w:val="left"/>
              <w:rPr/>
            </w:pPr>
            <w:r>
              <w:rPr/>
              <w:t>CCS/Lansing,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Michigan</w:t>
            </w:r>
          </w:p>
        </w:tc>
      </w:tr>
      <w:tr>
        <w:trPr/>
        <w:tc>
          <w:tcPr>
            <w:tcW w:w="7321" w:type="dxa"/>
            <w:tcBorders/>
          </w:tcPr>
          <w:p>
            <w:pPr>
              <w:pStyle w:val="TableContents"/>
              <w:bidi w:val="0"/>
              <w:spacing w:before="0" w:after="283"/>
              <w:jc w:val="left"/>
              <w:rPr/>
            </w:pPr>
            <w:r>
              <w:rPr/>
              <w:t>Children’s Comprehensive Services,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Columbus Hospital Partners, LLC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Tennessee</w:t>
            </w:r>
          </w:p>
        </w:tc>
      </w:tr>
      <w:tr>
        <w:trPr/>
        <w:tc>
          <w:tcPr>
            <w:tcW w:w="7321" w:type="dxa"/>
            <w:tcBorders/>
          </w:tcPr>
          <w:p>
            <w:pPr>
              <w:pStyle w:val="TableContents"/>
              <w:bidi w:val="0"/>
              <w:spacing w:before="0" w:after="283"/>
              <w:jc w:val="left"/>
              <w:rPr/>
            </w:pPr>
            <w:r>
              <w:rPr/>
              <w:t>Del Amo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California</w:t>
            </w:r>
          </w:p>
        </w:tc>
      </w:tr>
      <w:tr>
        <w:trPr/>
        <w:tc>
          <w:tcPr>
            <w:tcW w:w="7321" w:type="dxa"/>
            <w:tcBorders/>
          </w:tcPr>
          <w:p>
            <w:pPr>
              <w:pStyle w:val="TableContents"/>
              <w:bidi w:val="0"/>
              <w:spacing w:before="0" w:after="283"/>
              <w:jc w:val="left"/>
              <w:rPr/>
            </w:pPr>
            <w:r>
              <w:rPr/>
              <w:t>District Hospital Partners, L.P.</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District of Columbia</w:t>
            </w:r>
          </w:p>
        </w:tc>
      </w:tr>
      <w:tr>
        <w:trPr/>
        <w:tc>
          <w:tcPr>
            <w:tcW w:w="7321" w:type="dxa"/>
            <w:tcBorders/>
          </w:tcPr>
          <w:p>
            <w:pPr>
              <w:pStyle w:val="TableContents"/>
              <w:bidi w:val="0"/>
              <w:spacing w:before="0" w:after="283"/>
              <w:jc w:val="left"/>
              <w:rPr/>
            </w:pPr>
            <w:r>
              <w:rPr/>
              <w:t>Fannin Management Services, LLC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Texas</w:t>
            </w:r>
          </w:p>
        </w:tc>
      </w:tr>
      <w:tr>
        <w:trPr/>
        <w:tc>
          <w:tcPr>
            <w:tcW w:w="7321" w:type="dxa"/>
            <w:tcBorders/>
          </w:tcPr>
          <w:p>
            <w:pPr>
              <w:pStyle w:val="TableContents"/>
              <w:bidi w:val="0"/>
              <w:spacing w:before="0" w:after="283"/>
              <w:jc w:val="left"/>
              <w:rPr/>
            </w:pPr>
            <w:r>
              <w:rPr/>
              <w:t>First Hospital Corporation of Virginia Beach</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Virginia</w:t>
            </w:r>
          </w:p>
        </w:tc>
      </w:tr>
      <w:tr>
        <w:trPr/>
        <w:tc>
          <w:tcPr>
            <w:tcW w:w="7321" w:type="dxa"/>
            <w:tcBorders/>
          </w:tcPr>
          <w:p>
            <w:pPr>
              <w:pStyle w:val="TableContents"/>
              <w:bidi w:val="0"/>
              <w:spacing w:before="0" w:after="283"/>
              <w:jc w:val="left"/>
              <w:rPr/>
            </w:pPr>
            <w:r>
              <w:rPr/>
              <w:t>Forest View Psychiatric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Michigan</w:t>
            </w:r>
          </w:p>
        </w:tc>
      </w:tr>
      <w:tr>
        <w:trPr/>
        <w:tc>
          <w:tcPr>
            <w:tcW w:w="7321" w:type="dxa"/>
            <w:tcBorders/>
          </w:tcPr>
          <w:p>
            <w:pPr>
              <w:pStyle w:val="TableContents"/>
              <w:bidi w:val="0"/>
              <w:spacing w:before="0" w:after="283"/>
              <w:jc w:val="left"/>
              <w:rPr/>
            </w:pPr>
            <w:r>
              <w:rPr/>
              <w:t>Fort Lauderdale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Florida</w:t>
            </w:r>
          </w:p>
        </w:tc>
      </w:tr>
      <w:tr>
        <w:trPr/>
        <w:tc>
          <w:tcPr>
            <w:tcW w:w="7321" w:type="dxa"/>
            <w:tcBorders/>
          </w:tcPr>
          <w:p>
            <w:pPr>
              <w:pStyle w:val="TableContents"/>
              <w:bidi w:val="0"/>
              <w:spacing w:before="0" w:after="283"/>
              <w:jc w:val="left"/>
              <w:rPr/>
            </w:pPr>
            <w:r>
              <w:rPr/>
              <w:t>Garfield Park Hospital, LLC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Illinois</w:t>
            </w:r>
          </w:p>
        </w:tc>
      </w:tr>
      <w:tr>
        <w:trPr/>
        <w:tc>
          <w:tcPr>
            <w:tcW w:w="7321" w:type="dxa"/>
            <w:tcBorders/>
          </w:tcPr>
          <w:p>
            <w:pPr>
              <w:pStyle w:val="TableContents"/>
              <w:bidi w:val="0"/>
              <w:spacing w:before="0" w:after="283"/>
              <w:jc w:val="left"/>
              <w:rPr/>
            </w:pPr>
            <w:r>
              <w:rPr/>
              <w:t>Great Plains Hospital,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Missouri</w:t>
            </w:r>
          </w:p>
        </w:tc>
      </w:tr>
      <w:tr>
        <w:trPr/>
        <w:tc>
          <w:tcPr>
            <w:tcW w:w="7321" w:type="dxa"/>
            <w:tcBorders/>
          </w:tcPr>
          <w:p>
            <w:pPr>
              <w:pStyle w:val="TableContents"/>
              <w:bidi w:val="0"/>
              <w:spacing w:before="0" w:after="283"/>
              <w:jc w:val="left"/>
              <w:rPr/>
            </w:pPr>
            <w:r>
              <w:rPr/>
              <w:t>Gulf Coast Treatment Center, Inc.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Florida</w:t>
            </w:r>
          </w:p>
        </w:tc>
      </w:tr>
      <w:tr>
        <w:trPr/>
        <w:tc>
          <w:tcPr>
            <w:tcW w:w="7321" w:type="dxa"/>
            <w:tcBorders/>
          </w:tcPr>
          <w:p>
            <w:pPr>
              <w:pStyle w:val="TableContents"/>
              <w:bidi w:val="0"/>
              <w:spacing w:before="0" w:after="283"/>
              <w:jc w:val="left"/>
              <w:rPr/>
            </w:pPr>
            <w:r>
              <w:rPr/>
              <w:t>Gulph Mills Associates, LLC</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Pennsylvania</w:t>
            </w:r>
          </w:p>
        </w:tc>
      </w:tr>
      <w:tr>
        <w:trPr/>
        <w:tc>
          <w:tcPr>
            <w:tcW w:w="7321" w:type="dxa"/>
            <w:tcBorders/>
          </w:tcPr>
          <w:p>
            <w:pPr>
              <w:pStyle w:val="TableContents"/>
              <w:bidi w:val="0"/>
              <w:spacing w:before="0" w:after="283"/>
              <w:jc w:val="left"/>
              <w:rPr/>
            </w:pPr>
            <w:r>
              <w:rPr/>
              <w:t>H. C. Corporation</w:t>
            </w:r>
          </w:p>
        </w:tc>
        <w:tc>
          <w:tcPr>
            <w:tcW w:w="120" w:type="dxa"/>
            <w:tcBorders/>
            <w:vAlign w:val="bottom"/>
          </w:tcPr>
          <w:p>
            <w:pPr>
              <w:pStyle w:val="TableContents"/>
              <w:bidi w:val="0"/>
              <w:spacing w:before="0" w:after="283"/>
              <w:jc w:val="left"/>
              <w:rPr/>
            </w:pPr>
            <w:r>
              <w:rPr/>
              <w:t>  </w:t>
            </w:r>
          </w:p>
        </w:tc>
        <w:tc>
          <w:tcPr>
            <w:tcW w:w="2764" w:type="dxa"/>
            <w:tcBorders/>
          </w:tcPr>
          <w:p>
            <w:pPr>
              <w:pStyle w:val="TableContents"/>
              <w:bidi w:val="0"/>
              <w:spacing w:before="0" w:after="283"/>
              <w:jc w:val="center"/>
              <w:rPr/>
            </w:pPr>
            <w:r>
              <w:rPr/>
              <w:t>Alabama</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and the Subsidiary Guarantors </w:t>
      </w:r>
    </w:p>
    <w:p>
      <w:pPr>
        <w:pStyle w:val="TextBody"/>
        <w:bidi w:val="0"/>
        <w:spacing w:before="0" w:after="0"/>
        <w:jc w:val="left"/>
        <w:rPr>
          <w:rFonts w:ascii="Times New Roman" w:hAnsi="Times New Roman"/>
          <w:sz w:val="20"/>
        </w:rPr>
      </w:pPr>
      <w:r>
        <w:rPr>
          <w:rFonts w:ascii="Times New Roman" w:hAnsi="Times New Roman"/>
          <w:sz w:val="20"/>
        </w:rPr>
        <w:t xml:space="preserve">August 20, 2026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31"/>
        <w:gridCol w:w="123"/>
        <w:gridCol w:w="2751"/>
      </w:tblGrid>
      <w:tr>
        <w:trPr/>
        <w:tc>
          <w:tcPr>
            <w:tcW w:w="733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r>
      <w:tr>
        <w:trPr/>
        <w:tc>
          <w:tcPr>
            <w:tcW w:w="733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3" w:type="dxa"/>
            <w:tcBorders/>
            <w:vAlign w:val="bottom"/>
          </w:tcPr>
          <w:p>
            <w:pPr>
              <w:pStyle w:val="TableContents"/>
              <w:bidi w:val="0"/>
              <w:spacing w:before="0" w:after="283"/>
              <w:jc w:val="left"/>
              <w:rPr/>
            </w:pPr>
            <w:r>
              <w:rPr/>
              <w:t>  </w:t>
            </w:r>
          </w:p>
        </w:tc>
        <w:tc>
          <w:tcPr>
            <w:tcW w:w="2751"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Jurisdiction of</w:t>
              <w:br/>
              <w:t>incorporation or</w:t>
              <w:br/>
              <w:t>organization</w:t>
            </w:r>
          </w:p>
        </w:tc>
      </w:tr>
      <w:tr>
        <w:trPr/>
        <w:tc>
          <w:tcPr>
            <w:tcW w:w="7331" w:type="dxa"/>
            <w:tcBorders/>
          </w:tcPr>
          <w:p>
            <w:pPr>
              <w:pStyle w:val="TableContents"/>
              <w:bidi w:val="0"/>
              <w:spacing w:before="0" w:after="283"/>
              <w:jc w:val="left"/>
              <w:rPr/>
            </w:pPr>
            <w:r>
              <w:rPr/>
              <w:t>H.C. Partnership</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Alabama</w:t>
            </w:r>
          </w:p>
        </w:tc>
      </w:tr>
      <w:tr>
        <w:trPr/>
        <w:tc>
          <w:tcPr>
            <w:tcW w:w="7331" w:type="dxa"/>
            <w:tcBorders/>
          </w:tcPr>
          <w:p>
            <w:pPr>
              <w:pStyle w:val="TableContents"/>
              <w:bidi w:val="0"/>
              <w:spacing w:before="0" w:after="283"/>
              <w:jc w:val="left"/>
              <w:rPr/>
            </w:pPr>
            <w:r>
              <w:rPr/>
              <w:t>Harbor Point Behavioral Health Center,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Virginia</w:t>
            </w:r>
          </w:p>
        </w:tc>
      </w:tr>
      <w:tr>
        <w:trPr/>
        <w:tc>
          <w:tcPr>
            <w:tcW w:w="7331" w:type="dxa"/>
            <w:tcBorders/>
          </w:tcPr>
          <w:p>
            <w:pPr>
              <w:pStyle w:val="TableContents"/>
              <w:bidi w:val="0"/>
              <w:spacing w:before="0" w:after="283"/>
              <w:jc w:val="left"/>
              <w:rPr/>
            </w:pPr>
            <w:r>
              <w:rPr/>
              <w:t>Havenwyck Hospital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Michigan</w:t>
            </w:r>
          </w:p>
        </w:tc>
      </w:tr>
      <w:tr>
        <w:trPr/>
        <w:tc>
          <w:tcPr>
            <w:tcW w:w="7331" w:type="dxa"/>
            <w:tcBorders/>
          </w:tcPr>
          <w:p>
            <w:pPr>
              <w:pStyle w:val="TableContents"/>
              <w:bidi w:val="0"/>
              <w:spacing w:before="0" w:after="283"/>
              <w:jc w:val="left"/>
              <w:rPr/>
            </w:pPr>
            <w:r>
              <w:rPr/>
              <w:t>HHC Augusta,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Georgia</w:t>
            </w:r>
          </w:p>
        </w:tc>
      </w:tr>
      <w:tr>
        <w:trPr/>
        <w:tc>
          <w:tcPr>
            <w:tcW w:w="7331" w:type="dxa"/>
            <w:tcBorders/>
          </w:tcPr>
          <w:p>
            <w:pPr>
              <w:pStyle w:val="TableContents"/>
              <w:bidi w:val="0"/>
              <w:spacing w:before="0" w:after="283"/>
              <w:jc w:val="left"/>
              <w:rPr/>
            </w:pPr>
            <w:r>
              <w:rPr/>
              <w:t>HHC Indiana,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Indiana</w:t>
            </w:r>
          </w:p>
        </w:tc>
      </w:tr>
      <w:tr>
        <w:trPr/>
        <w:tc>
          <w:tcPr>
            <w:tcW w:w="7331" w:type="dxa"/>
            <w:tcBorders/>
          </w:tcPr>
          <w:p>
            <w:pPr>
              <w:pStyle w:val="TableContents"/>
              <w:bidi w:val="0"/>
              <w:spacing w:before="0" w:after="283"/>
              <w:jc w:val="left"/>
              <w:rPr/>
            </w:pPr>
            <w:r>
              <w:rPr/>
              <w:t>HHC Ohio,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Ohio</w:t>
            </w:r>
          </w:p>
        </w:tc>
      </w:tr>
      <w:tr>
        <w:trPr/>
        <w:tc>
          <w:tcPr>
            <w:tcW w:w="7331" w:type="dxa"/>
            <w:tcBorders/>
          </w:tcPr>
          <w:p>
            <w:pPr>
              <w:pStyle w:val="TableContents"/>
              <w:bidi w:val="0"/>
              <w:spacing w:before="0" w:after="283"/>
              <w:jc w:val="left"/>
              <w:rPr/>
            </w:pPr>
            <w:r>
              <w:rPr/>
              <w:t>HHC Poplar Springs,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Virginia</w:t>
            </w:r>
          </w:p>
        </w:tc>
      </w:tr>
      <w:tr>
        <w:trPr/>
        <w:tc>
          <w:tcPr>
            <w:tcW w:w="7331" w:type="dxa"/>
            <w:tcBorders/>
          </w:tcPr>
          <w:p>
            <w:pPr>
              <w:pStyle w:val="TableContents"/>
              <w:bidi w:val="0"/>
              <w:spacing w:before="0" w:after="283"/>
              <w:jc w:val="left"/>
              <w:rPr/>
            </w:pPr>
            <w:r>
              <w:rPr/>
              <w:t>HHC River Park,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West Virginia</w:t>
            </w:r>
          </w:p>
        </w:tc>
      </w:tr>
      <w:tr>
        <w:trPr/>
        <w:tc>
          <w:tcPr>
            <w:tcW w:w="7331" w:type="dxa"/>
            <w:tcBorders/>
          </w:tcPr>
          <w:p>
            <w:pPr>
              <w:pStyle w:val="TableContents"/>
              <w:bidi w:val="0"/>
              <w:spacing w:before="0" w:after="283"/>
              <w:jc w:val="left"/>
              <w:rPr/>
            </w:pPr>
            <w:r>
              <w:rPr/>
              <w:t>HHC South Carolina,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South Carolina</w:t>
            </w:r>
          </w:p>
        </w:tc>
      </w:tr>
      <w:tr>
        <w:trPr/>
        <w:tc>
          <w:tcPr>
            <w:tcW w:w="7331" w:type="dxa"/>
            <w:tcBorders/>
          </w:tcPr>
          <w:p>
            <w:pPr>
              <w:pStyle w:val="TableContents"/>
              <w:bidi w:val="0"/>
              <w:spacing w:before="0" w:after="283"/>
              <w:jc w:val="left"/>
              <w:rPr/>
            </w:pPr>
            <w:r>
              <w:rPr/>
              <w:t>HHC St. Simons,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Georgia</w:t>
            </w:r>
          </w:p>
        </w:tc>
      </w:tr>
      <w:tr>
        <w:trPr/>
        <w:tc>
          <w:tcPr>
            <w:tcW w:w="7331" w:type="dxa"/>
            <w:tcBorders/>
          </w:tcPr>
          <w:p>
            <w:pPr>
              <w:pStyle w:val="TableContents"/>
              <w:bidi w:val="0"/>
              <w:spacing w:before="0" w:after="283"/>
              <w:jc w:val="left"/>
              <w:rPr/>
            </w:pPr>
            <w:r>
              <w:rPr/>
              <w:t>Holly Hill Hospital,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Tennessee</w:t>
            </w:r>
          </w:p>
        </w:tc>
      </w:tr>
      <w:tr>
        <w:trPr/>
        <w:tc>
          <w:tcPr>
            <w:tcW w:w="7331" w:type="dxa"/>
            <w:tcBorders/>
          </w:tcPr>
          <w:p>
            <w:pPr>
              <w:pStyle w:val="TableContents"/>
              <w:bidi w:val="0"/>
              <w:spacing w:before="0" w:after="283"/>
              <w:jc w:val="left"/>
              <w:rPr/>
            </w:pPr>
            <w:r>
              <w:rPr/>
              <w:t>Horizon Health Austin,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Texas</w:t>
            </w:r>
          </w:p>
        </w:tc>
      </w:tr>
      <w:tr>
        <w:trPr/>
        <w:tc>
          <w:tcPr>
            <w:tcW w:w="7331" w:type="dxa"/>
            <w:tcBorders/>
          </w:tcPr>
          <w:p>
            <w:pPr>
              <w:pStyle w:val="TableContents"/>
              <w:bidi w:val="0"/>
              <w:spacing w:before="0" w:after="283"/>
              <w:jc w:val="left"/>
              <w:rPr/>
            </w:pPr>
            <w:r>
              <w:rPr/>
              <w:t>Horizon Mental Health Management,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Texas</w:t>
            </w:r>
          </w:p>
        </w:tc>
      </w:tr>
      <w:tr>
        <w:trPr/>
        <w:tc>
          <w:tcPr>
            <w:tcW w:w="7331" w:type="dxa"/>
            <w:tcBorders/>
          </w:tcPr>
          <w:p>
            <w:pPr>
              <w:pStyle w:val="TableContents"/>
              <w:bidi w:val="0"/>
              <w:spacing w:before="0" w:after="283"/>
              <w:jc w:val="left"/>
              <w:rPr/>
            </w:pPr>
            <w:r>
              <w:rPr/>
              <w:t>HSA Hill Crest Corporation</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Alabama</w:t>
            </w:r>
          </w:p>
        </w:tc>
      </w:tr>
      <w:tr>
        <w:trPr/>
        <w:tc>
          <w:tcPr>
            <w:tcW w:w="7331" w:type="dxa"/>
            <w:tcBorders/>
          </w:tcPr>
          <w:p>
            <w:pPr>
              <w:pStyle w:val="TableContents"/>
              <w:bidi w:val="0"/>
              <w:spacing w:before="0" w:after="283"/>
              <w:jc w:val="left"/>
              <w:rPr/>
            </w:pPr>
            <w:r>
              <w:rPr/>
              <w:t>Hughes Center,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Virginia</w:t>
            </w:r>
          </w:p>
        </w:tc>
      </w:tr>
      <w:tr>
        <w:trPr/>
        <w:tc>
          <w:tcPr>
            <w:tcW w:w="7331" w:type="dxa"/>
            <w:tcBorders/>
          </w:tcPr>
          <w:p>
            <w:pPr>
              <w:pStyle w:val="TableContents"/>
              <w:bidi w:val="0"/>
              <w:spacing w:before="0" w:after="283"/>
              <w:jc w:val="left"/>
              <w:rPr/>
            </w:pPr>
            <w:r>
              <w:rPr/>
              <w:t>Keystone Continuum,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Tennessee</w:t>
            </w:r>
          </w:p>
        </w:tc>
      </w:tr>
      <w:tr>
        <w:trPr/>
        <w:tc>
          <w:tcPr>
            <w:tcW w:w="7331" w:type="dxa"/>
            <w:tcBorders/>
          </w:tcPr>
          <w:p>
            <w:pPr>
              <w:pStyle w:val="TableContents"/>
              <w:bidi w:val="0"/>
              <w:spacing w:before="0" w:after="283"/>
              <w:jc w:val="left"/>
              <w:rPr/>
            </w:pPr>
            <w:r>
              <w:rPr/>
              <w:t>Keystone Education &amp; Youth Services,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Tennessee</w:t>
            </w:r>
          </w:p>
        </w:tc>
      </w:tr>
      <w:tr>
        <w:trPr/>
        <w:tc>
          <w:tcPr>
            <w:tcW w:w="7331" w:type="dxa"/>
            <w:tcBorders/>
          </w:tcPr>
          <w:p>
            <w:pPr>
              <w:pStyle w:val="TableContents"/>
              <w:bidi w:val="0"/>
              <w:spacing w:before="0" w:after="283"/>
              <w:jc w:val="left"/>
              <w:rPr/>
            </w:pPr>
            <w:r>
              <w:rPr/>
              <w:t>Keystone Marion,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Virginia</w:t>
            </w:r>
          </w:p>
        </w:tc>
      </w:tr>
      <w:tr>
        <w:trPr/>
        <w:tc>
          <w:tcPr>
            <w:tcW w:w="7331" w:type="dxa"/>
            <w:tcBorders/>
          </w:tcPr>
          <w:p>
            <w:pPr>
              <w:pStyle w:val="TableContents"/>
              <w:bidi w:val="0"/>
              <w:spacing w:before="0" w:after="283"/>
              <w:jc w:val="left"/>
              <w:rPr/>
            </w:pPr>
            <w:r>
              <w:rPr/>
              <w:t>Keystone Memphis,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Tennessee</w:t>
            </w:r>
          </w:p>
        </w:tc>
      </w:tr>
      <w:tr>
        <w:trPr/>
        <w:tc>
          <w:tcPr>
            <w:tcW w:w="7331" w:type="dxa"/>
            <w:tcBorders/>
          </w:tcPr>
          <w:p>
            <w:pPr>
              <w:pStyle w:val="TableContents"/>
              <w:bidi w:val="0"/>
              <w:spacing w:before="0" w:after="283"/>
              <w:jc w:val="left"/>
              <w:rPr/>
            </w:pPr>
            <w:r>
              <w:rPr/>
              <w:t>Keystone Newport News,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Virginia</w:t>
            </w:r>
          </w:p>
        </w:tc>
      </w:tr>
      <w:tr>
        <w:trPr/>
        <w:tc>
          <w:tcPr>
            <w:tcW w:w="7331" w:type="dxa"/>
            <w:tcBorders/>
          </w:tcPr>
          <w:p>
            <w:pPr>
              <w:pStyle w:val="TableContents"/>
              <w:bidi w:val="0"/>
              <w:spacing w:before="0" w:after="283"/>
              <w:jc w:val="left"/>
              <w:rPr/>
            </w:pPr>
            <w:r>
              <w:rPr/>
              <w:t>Keystone NPS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California</w:t>
            </w:r>
          </w:p>
        </w:tc>
      </w:tr>
      <w:tr>
        <w:trPr/>
        <w:tc>
          <w:tcPr>
            <w:tcW w:w="7331" w:type="dxa"/>
            <w:tcBorders/>
          </w:tcPr>
          <w:p>
            <w:pPr>
              <w:pStyle w:val="TableContents"/>
              <w:bidi w:val="0"/>
              <w:spacing w:before="0" w:after="283"/>
              <w:jc w:val="left"/>
              <w:rPr/>
            </w:pPr>
            <w:r>
              <w:rPr/>
              <w:t>Keystone Richland Center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Ohio</w:t>
            </w:r>
          </w:p>
        </w:tc>
      </w:tr>
      <w:tr>
        <w:trPr/>
        <w:tc>
          <w:tcPr>
            <w:tcW w:w="7331" w:type="dxa"/>
            <w:tcBorders/>
          </w:tcPr>
          <w:p>
            <w:pPr>
              <w:pStyle w:val="TableContents"/>
              <w:bidi w:val="0"/>
              <w:spacing w:before="0" w:after="283"/>
              <w:jc w:val="left"/>
              <w:rPr/>
            </w:pPr>
            <w:r>
              <w:rPr/>
              <w:t>Keystone WSNC,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North Carolina</w:t>
            </w:r>
          </w:p>
        </w:tc>
      </w:tr>
      <w:tr>
        <w:trPr/>
        <w:tc>
          <w:tcPr>
            <w:tcW w:w="7331" w:type="dxa"/>
            <w:tcBorders/>
          </w:tcPr>
          <w:p>
            <w:pPr>
              <w:pStyle w:val="TableContents"/>
              <w:bidi w:val="0"/>
              <w:spacing w:before="0" w:after="283"/>
              <w:jc w:val="left"/>
              <w:rPr/>
            </w:pPr>
            <w:r>
              <w:rPr/>
              <w:t>Kids Behavioral Health of Utah,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Utah</w:t>
            </w:r>
          </w:p>
        </w:tc>
      </w:tr>
      <w:tr>
        <w:trPr/>
        <w:tc>
          <w:tcPr>
            <w:tcW w:w="7331" w:type="dxa"/>
            <w:tcBorders/>
          </w:tcPr>
          <w:p>
            <w:pPr>
              <w:pStyle w:val="TableContents"/>
              <w:bidi w:val="0"/>
              <w:spacing w:before="0" w:after="283"/>
              <w:jc w:val="left"/>
              <w:rPr/>
            </w:pPr>
            <w:r>
              <w:rPr/>
              <w:t>Kingwood Pines Hospital,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Texas</w:t>
            </w:r>
          </w:p>
        </w:tc>
      </w:tr>
      <w:tr>
        <w:trPr/>
        <w:tc>
          <w:tcPr>
            <w:tcW w:w="7331" w:type="dxa"/>
            <w:tcBorders/>
          </w:tcPr>
          <w:p>
            <w:pPr>
              <w:pStyle w:val="TableContents"/>
              <w:bidi w:val="0"/>
              <w:spacing w:before="0" w:after="283"/>
              <w:jc w:val="left"/>
              <w:rPr/>
            </w:pPr>
            <w:r>
              <w:rPr/>
              <w:t>La Amistad Residential Treatment Center,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Florida</w:t>
            </w:r>
          </w:p>
        </w:tc>
      </w:tr>
      <w:tr>
        <w:trPr/>
        <w:tc>
          <w:tcPr>
            <w:tcW w:w="7331" w:type="dxa"/>
            <w:tcBorders/>
          </w:tcPr>
          <w:p>
            <w:pPr>
              <w:pStyle w:val="TableContents"/>
              <w:bidi w:val="0"/>
              <w:spacing w:before="0" w:after="283"/>
              <w:jc w:val="left"/>
              <w:rPr/>
            </w:pPr>
            <w:r>
              <w:rPr/>
              <w:t>Lancaster Hospital Corporation</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California</w:t>
            </w:r>
          </w:p>
        </w:tc>
      </w:tr>
      <w:tr>
        <w:trPr/>
        <w:tc>
          <w:tcPr>
            <w:tcW w:w="7331" w:type="dxa"/>
            <w:tcBorders/>
          </w:tcPr>
          <w:p>
            <w:pPr>
              <w:pStyle w:val="TableContents"/>
              <w:bidi w:val="0"/>
              <w:spacing w:before="0" w:after="283"/>
              <w:jc w:val="left"/>
              <w:rPr/>
            </w:pPr>
            <w:r>
              <w:rPr/>
              <w:t>Lebanon Hospital Partners,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Tennessee</w:t>
            </w:r>
          </w:p>
        </w:tc>
      </w:tr>
      <w:tr>
        <w:trPr/>
        <w:tc>
          <w:tcPr>
            <w:tcW w:w="7331" w:type="dxa"/>
            <w:tcBorders/>
          </w:tcPr>
          <w:p>
            <w:pPr>
              <w:pStyle w:val="TableContents"/>
              <w:bidi w:val="0"/>
              <w:spacing w:before="0" w:after="283"/>
              <w:jc w:val="left"/>
              <w:rPr/>
            </w:pPr>
            <w:r>
              <w:rPr/>
              <w:t>Mayhill Behavioral Health,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Texas</w:t>
            </w:r>
          </w:p>
        </w:tc>
      </w:tr>
      <w:tr>
        <w:trPr/>
        <w:tc>
          <w:tcPr>
            <w:tcW w:w="7331" w:type="dxa"/>
            <w:tcBorders/>
          </w:tcPr>
          <w:p>
            <w:pPr>
              <w:pStyle w:val="TableContents"/>
              <w:bidi w:val="0"/>
              <w:spacing w:before="0" w:after="283"/>
              <w:jc w:val="left"/>
              <w:rPr/>
            </w:pPr>
            <w:r>
              <w:rPr/>
              <w:t>Meridell Achievement Center,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Texas</w:t>
            </w:r>
          </w:p>
        </w:tc>
      </w:tr>
      <w:tr>
        <w:trPr/>
        <w:tc>
          <w:tcPr>
            <w:tcW w:w="7331" w:type="dxa"/>
            <w:tcBorders/>
          </w:tcPr>
          <w:p>
            <w:pPr>
              <w:pStyle w:val="TableContents"/>
              <w:bidi w:val="0"/>
              <w:spacing w:before="0" w:after="283"/>
              <w:jc w:val="left"/>
              <w:rPr/>
            </w:pPr>
            <w:r>
              <w:rPr/>
              <w:t>Michigan Psychiatric Services,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Michigan</w:t>
            </w:r>
          </w:p>
        </w:tc>
      </w:tr>
      <w:tr>
        <w:trPr/>
        <w:tc>
          <w:tcPr>
            <w:tcW w:w="7331" w:type="dxa"/>
            <w:tcBorders/>
          </w:tcPr>
          <w:p>
            <w:pPr>
              <w:pStyle w:val="TableContents"/>
              <w:bidi w:val="0"/>
              <w:spacing w:before="0" w:after="283"/>
              <w:jc w:val="left"/>
              <w:rPr/>
            </w:pPr>
            <w:r>
              <w:rPr/>
              <w:t>Millwood Hospital, L.P.</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Texas</w:t>
            </w:r>
          </w:p>
        </w:tc>
      </w:tr>
      <w:tr>
        <w:trPr/>
        <w:tc>
          <w:tcPr>
            <w:tcW w:w="7331" w:type="dxa"/>
            <w:tcBorders/>
          </w:tcPr>
          <w:p>
            <w:pPr>
              <w:pStyle w:val="TableContents"/>
              <w:bidi w:val="0"/>
              <w:spacing w:before="0" w:after="283"/>
              <w:jc w:val="left"/>
              <w:rPr/>
            </w:pPr>
            <w:r>
              <w:rPr/>
              <w:t>Milwaukee Behavioral Health,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Wisconsin</w:t>
            </w:r>
          </w:p>
        </w:tc>
      </w:tr>
      <w:tr>
        <w:trPr/>
        <w:tc>
          <w:tcPr>
            <w:tcW w:w="7331" w:type="dxa"/>
            <w:tcBorders/>
          </w:tcPr>
          <w:p>
            <w:pPr>
              <w:pStyle w:val="TableContents"/>
              <w:bidi w:val="0"/>
              <w:spacing w:before="0" w:after="283"/>
              <w:jc w:val="left"/>
              <w:rPr/>
            </w:pPr>
            <w:r>
              <w:rPr/>
              <w:t>Neuro Institute of Austin, L.P.</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Texas</w:t>
            </w:r>
          </w:p>
        </w:tc>
      </w:tr>
      <w:tr>
        <w:trPr/>
        <w:tc>
          <w:tcPr>
            <w:tcW w:w="7331" w:type="dxa"/>
            <w:tcBorders/>
          </w:tcPr>
          <w:p>
            <w:pPr>
              <w:pStyle w:val="TableContents"/>
              <w:bidi w:val="0"/>
              <w:spacing w:before="0" w:after="283"/>
              <w:jc w:val="left"/>
              <w:rPr/>
            </w:pPr>
            <w:r>
              <w:rPr/>
              <w:t>North Spring Behavioral Healthcare,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Tennessee</w:t>
            </w:r>
          </w:p>
        </w:tc>
      </w:tr>
      <w:tr>
        <w:trPr/>
        <w:tc>
          <w:tcPr>
            <w:tcW w:w="7331" w:type="dxa"/>
            <w:tcBorders/>
          </w:tcPr>
          <w:p>
            <w:pPr>
              <w:pStyle w:val="TableContents"/>
              <w:bidi w:val="0"/>
              <w:spacing w:before="0" w:after="283"/>
              <w:jc w:val="left"/>
              <w:rPr/>
            </w:pPr>
            <w:r>
              <w:rPr/>
              <w:t>Northern Indiana Partners,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Tennessee</w:t>
            </w:r>
          </w:p>
        </w:tc>
      </w:tr>
      <w:tr>
        <w:trPr/>
        <w:tc>
          <w:tcPr>
            <w:tcW w:w="7331" w:type="dxa"/>
            <w:tcBorders/>
          </w:tcPr>
          <w:p>
            <w:pPr>
              <w:pStyle w:val="TableContents"/>
              <w:bidi w:val="0"/>
              <w:spacing w:before="0" w:after="283"/>
              <w:jc w:val="left"/>
              <w:rPr/>
            </w:pPr>
            <w:r>
              <w:rPr/>
              <w:t>Northwest Texas Healthcare System,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Texas</w:t>
            </w:r>
          </w:p>
        </w:tc>
      </w:tr>
      <w:tr>
        <w:trPr/>
        <w:tc>
          <w:tcPr>
            <w:tcW w:w="7331" w:type="dxa"/>
            <w:tcBorders/>
          </w:tcPr>
          <w:p>
            <w:pPr>
              <w:pStyle w:val="TableContents"/>
              <w:bidi w:val="0"/>
              <w:spacing w:before="0" w:after="283"/>
              <w:jc w:val="left"/>
              <w:rPr/>
            </w:pPr>
            <w:r>
              <w:rPr/>
              <w:t>Oak Plains Academy of Tennessee, Inc.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Tennessee</w:t>
            </w:r>
          </w:p>
        </w:tc>
      </w:tr>
      <w:tr>
        <w:trPr/>
        <w:tc>
          <w:tcPr>
            <w:tcW w:w="7331" w:type="dxa"/>
            <w:tcBorders/>
          </w:tcPr>
          <w:p>
            <w:pPr>
              <w:pStyle w:val="TableContents"/>
              <w:bidi w:val="0"/>
              <w:spacing w:before="0" w:after="283"/>
              <w:jc w:val="left"/>
              <w:rPr/>
            </w:pPr>
            <w:r>
              <w:rPr/>
              <w:t>Palmetto Behavioral Health System,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South Carolina</w:t>
            </w:r>
          </w:p>
        </w:tc>
      </w:tr>
      <w:tr>
        <w:trPr/>
        <w:tc>
          <w:tcPr>
            <w:tcW w:w="7331" w:type="dxa"/>
            <w:tcBorders/>
          </w:tcPr>
          <w:p>
            <w:pPr>
              <w:pStyle w:val="TableContents"/>
              <w:bidi w:val="0"/>
              <w:spacing w:before="0" w:after="283"/>
              <w:jc w:val="left"/>
              <w:rPr/>
            </w:pPr>
            <w:r>
              <w:rPr/>
              <w:t>Palmetto Lowcountry Behavioral Health,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South Carolina</w:t>
            </w:r>
          </w:p>
        </w:tc>
      </w:tr>
      <w:tr>
        <w:trPr/>
        <w:tc>
          <w:tcPr>
            <w:tcW w:w="7331" w:type="dxa"/>
            <w:tcBorders/>
          </w:tcPr>
          <w:p>
            <w:pPr>
              <w:pStyle w:val="TableContents"/>
              <w:bidi w:val="0"/>
              <w:spacing w:before="0" w:after="283"/>
              <w:jc w:val="left"/>
              <w:rPr/>
            </w:pPr>
            <w:r>
              <w:rPr/>
              <w:t>Palm Point Behavioral Health, LLC</w:t>
            </w:r>
          </w:p>
        </w:tc>
        <w:tc>
          <w:tcPr>
            <w:tcW w:w="123" w:type="dxa"/>
            <w:tcBorders/>
            <w:vAlign w:val="bottom"/>
          </w:tcPr>
          <w:p>
            <w:pPr>
              <w:pStyle w:val="TableContents"/>
              <w:bidi w:val="0"/>
              <w:spacing w:before="0" w:after="283"/>
              <w:jc w:val="left"/>
              <w:rPr/>
            </w:pPr>
            <w:r>
              <w:rPr/>
              <w:t>  </w:t>
            </w:r>
          </w:p>
        </w:tc>
        <w:tc>
          <w:tcPr>
            <w:tcW w:w="2751" w:type="dxa"/>
            <w:tcBorders/>
          </w:tcPr>
          <w:p>
            <w:pPr>
              <w:pStyle w:val="TableContents"/>
              <w:bidi w:val="0"/>
              <w:spacing w:before="0" w:after="283"/>
              <w:jc w:val="center"/>
              <w:rPr/>
            </w:pPr>
            <w:r>
              <w:rPr/>
              <w:t>Florida</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and the Subsidiary Guarantors </w:t>
      </w:r>
    </w:p>
    <w:p>
      <w:pPr>
        <w:pStyle w:val="TextBody"/>
        <w:bidi w:val="0"/>
        <w:spacing w:before="0" w:after="0"/>
        <w:jc w:val="left"/>
        <w:rPr>
          <w:rFonts w:ascii="Times New Roman" w:hAnsi="Times New Roman"/>
          <w:sz w:val="20"/>
        </w:rPr>
      </w:pPr>
      <w:r>
        <w:rPr>
          <w:rFonts w:ascii="Times New Roman" w:hAnsi="Times New Roman"/>
          <w:sz w:val="20"/>
        </w:rPr>
        <w:t xml:space="preserve">August 20, 2026 </w:t>
      </w:r>
    </w:p>
    <w:p>
      <w:pPr>
        <w:pStyle w:val="TextBody"/>
        <w:bidi w:val="0"/>
        <w:spacing w:before="0" w:after="0"/>
        <w:jc w:val="lef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97"/>
        <w:gridCol w:w="120"/>
        <w:gridCol w:w="2788"/>
      </w:tblGrid>
      <w:tr>
        <w:trPr/>
        <w:tc>
          <w:tcPr>
            <w:tcW w:w="72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r>
      <w:tr>
        <w:trPr/>
        <w:tc>
          <w:tcPr>
            <w:tcW w:w="7297"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Jurisdiction of</w:t>
              <w:br/>
              <w:t>incorporation or</w:t>
              <w:br/>
              <w:t>organization</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Park Healthcare Company</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Tennessee</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Pennsylvania Clinical Schools,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Pennsylvania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PSJ Acquisition,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North Dakota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Psychiatric Solutions of Virginia,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Tennessee</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Ridge Outpatient Counseling,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Kentucky</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River Oaks,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Louisiana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Riverside Medical Clinic Patient Services,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California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Rolling Hills Hospital,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Tennessee</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Samson Properties,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Florida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Schick Shadel of Florida,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Florida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SHC-KPH, LP</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Texas</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Southeastern Hospital Corporation</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Tennessee</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 Behavioral,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Florida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Sparks Family Hospital,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Nevada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Summit Oaks Hospital,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New Jersey</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Sunstone Behavioral Health,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Tennessee</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Temecula Valley Hospital,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California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Temple Behavioral Healthcare Hospital,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Texas</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Tennessee Clinical Schools,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Tennessee</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Cypress Creek Hospital, L.P.</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Texas</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Laurel Ridge Hospital, L.P.</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Texas</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Oaks Psychiatric Hospital, L.P.</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Texas</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San Marcos Treatment Center, L.P.</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Texas</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Texas West Oaks Hospital, L.P.</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Texas</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Arbour,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Massachusetts</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Bridgeway,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Arkansas</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The National Deaf Academy,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Florida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Three Rivers Behavioral Health,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South Carolina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Three Rivers Healthcare Group,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South Carolina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Turning Point Care Center,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Georgia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East End Corporation</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District of Columbia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East End Sub,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District of Columbia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Holding Company,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Nevada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Fuller,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Massachusetts</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Hampton,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New Jersey</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Hartgrove,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Illinois</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Lancaster,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Pennsylvania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New Orleans,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Louisiana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Oklahoma, LLC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Oklahoma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Pennsylvania,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Pennsylvania</w:t>
            </w:r>
          </w:p>
        </w:tc>
      </w:tr>
      <w:tr>
        <w:trPr/>
        <w:tc>
          <w:tcPr>
            <w:tcW w:w="72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River Parishes, Inc.</w:t>
            </w:r>
          </w:p>
        </w:tc>
        <w:tc>
          <w:tcPr>
            <w:tcW w:w="120" w:type="dxa"/>
            <w:tcBorders/>
            <w:vAlign w:val="bottom"/>
          </w:tcPr>
          <w:p>
            <w:pPr>
              <w:pStyle w:val="TableContents"/>
              <w:bidi w:val="0"/>
              <w:spacing w:before="0" w:after="283"/>
              <w:jc w:val="left"/>
              <w:rPr/>
            </w:pPr>
            <w:r>
              <w:rPr/>
              <w:t>  </w:t>
            </w:r>
          </w:p>
        </w:tc>
        <w:tc>
          <w:tcPr>
            <w:tcW w:w="2788" w:type="dxa"/>
            <w:tcBorders/>
            <w:vAlign w:val="bottom"/>
          </w:tcPr>
          <w:p>
            <w:pPr>
              <w:pStyle w:val="TableContents"/>
              <w:bidi w:val="0"/>
              <w:spacing w:before="0" w:after="283"/>
              <w:jc w:val="center"/>
              <w:rPr/>
            </w:pPr>
            <w:r>
              <w:rPr/>
              <w:t>Louisiana</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and the Subsidiary Guarantors </w:t>
      </w:r>
    </w:p>
    <w:p>
      <w:pPr>
        <w:pStyle w:val="TextBody"/>
        <w:bidi w:val="0"/>
        <w:spacing w:before="0" w:after="0"/>
        <w:jc w:val="left"/>
        <w:rPr>
          <w:rFonts w:ascii="Times New Roman" w:hAnsi="Times New Roman"/>
          <w:sz w:val="20"/>
        </w:rPr>
      </w:pPr>
      <w:r>
        <w:rPr>
          <w:rFonts w:ascii="Times New Roman" w:hAnsi="Times New Roman"/>
          <w:sz w:val="20"/>
        </w:rPr>
        <w:t xml:space="preserve">August 20, 2026 </w:t>
      </w:r>
    </w:p>
    <w:p>
      <w:pPr>
        <w:pStyle w:val="TextBody"/>
        <w:bidi w:val="0"/>
        <w:spacing w:before="0" w:after="0"/>
        <w:jc w:val="left"/>
        <w:rPr>
          <w:rFonts w:ascii="Times New Roman" w:hAnsi="Times New Roman"/>
          <w:sz w:val="20"/>
        </w:rPr>
      </w:pPr>
      <w:r>
        <w:rPr>
          <w:rFonts w:ascii="Times New Roman" w:hAnsi="Times New Roman"/>
          <w:sz w:val="20"/>
        </w:rPr>
        <w:t xml:space="preserve">Page 7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92"/>
        <w:gridCol w:w="120"/>
        <w:gridCol w:w="2793"/>
      </w:tblGrid>
      <w:tr>
        <w:trPr/>
        <w:tc>
          <w:tcPr>
            <w:tcW w:w="72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r>
      <w:tr>
        <w:trPr/>
        <w:tc>
          <w:tcPr>
            <w:tcW w:w="729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Jurisdiction of</w:t>
              <w:br/>
              <w:t>incorporation or</w:t>
              <w:br/>
              <w:t>organization</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Timberlawn, Inc.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Texas</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of Westwood Pembroke, Inc.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Massachusetts</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 Oklahoma City LLC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Oklahoma</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UHSD, L.L.C.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Nevada</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UHSL, L.L.C.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Nevada</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United Healthcare of Hardin, Inc.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Tennessee</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Universal Health Services of Rancho Springs, Inc.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California</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University Behavioral, LLC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Florida</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Valle Vista Hospital Partners, LLC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Tennessee</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Valley Hospital Medical Center, Inc.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Nevada</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Wellington Regional Medical Center, LLC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Florida</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Wellstone Regional Hospital Acquisition, LLC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Indiana</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Windmoor Healthcare Inc.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Florida</w:t>
            </w:r>
          </w:p>
        </w:tc>
      </w:tr>
      <w:tr>
        <w:trPr/>
        <w:tc>
          <w:tcPr>
            <w:tcW w:w="729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Zeus Endeavors, LLC</w:t>
            </w:r>
          </w:p>
        </w:tc>
        <w:tc>
          <w:tcPr>
            <w:tcW w:w="120" w:type="dxa"/>
            <w:tcBorders/>
            <w:vAlign w:val="bottom"/>
          </w:tcPr>
          <w:p>
            <w:pPr>
              <w:pStyle w:val="TableContents"/>
              <w:bidi w:val="0"/>
              <w:spacing w:before="0" w:after="283"/>
              <w:jc w:val="left"/>
              <w:rPr/>
            </w:pPr>
            <w:r>
              <w:rPr/>
              <w:t>  </w:t>
            </w:r>
          </w:p>
        </w:tc>
        <w:tc>
          <w:tcPr>
            <w:tcW w:w="2793" w:type="dxa"/>
            <w:tcBorders/>
            <w:vAlign w:val="bottom"/>
          </w:tcPr>
          <w:p>
            <w:pPr>
              <w:pStyle w:val="TableContents"/>
              <w:bidi w:val="0"/>
              <w:spacing w:before="0" w:after="283"/>
              <w:jc w:val="center"/>
              <w:rPr/>
            </w:pPr>
            <w:r>
              <w:rPr/>
              <w:t>Florida</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and the Subsidiary Guarantors </w:t>
      </w:r>
    </w:p>
    <w:p>
      <w:pPr>
        <w:pStyle w:val="TextBody"/>
        <w:bidi w:val="0"/>
        <w:spacing w:before="0" w:after="0"/>
        <w:jc w:val="left"/>
        <w:rPr>
          <w:rFonts w:ascii="Times New Roman" w:hAnsi="Times New Roman"/>
          <w:sz w:val="20"/>
        </w:rPr>
      </w:pPr>
      <w:r>
        <w:rPr>
          <w:rFonts w:ascii="Times New Roman" w:hAnsi="Times New Roman"/>
          <w:sz w:val="20"/>
        </w:rPr>
        <w:t xml:space="preserve">August 20, 2026 </w:t>
      </w:r>
    </w:p>
    <w:p>
      <w:pPr>
        <w:pStyle w:val="TextBody"/>
        <w:bidi w:val="0"/>
        <w:spacing w:before="0" w:after="0"/>
        <w:jc w:val="left"/>
        <w:rPr>
          <w:rFonts w:ascii="Times New Roman" w:hAnsi="Times New Roman"/>
          <w:sz w:val="20"/>
        </w:rPr>
      </w:pPr>
      <w:r>
        <w:rPr>
          <w:rFonts w:ascii="Times New Roman" w:hAnsi="Times New Roman"/>
          <w:sz w:val="20"/>
        </w:rPr>
        <w:t xml:space="preserve">Page 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SCHEDULE II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12"/>
        <w:gridCol w:w="122"/>
        <w:gridCol w:w="2771"/>
      </w:tblGrid>
      <w:tr>
        <w:trPr/>
        <w:tc>
          <w:tcPr>
            <w:tcW w:w="731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r>
      <w:tr>
        <w:trPr/>
        <w:tc>
          <w:tcPr>
            <w:tcW w:w="73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2" w:type="dxa"/>
            <w:tcBorders/>
            <w:vAlign w:val="bottom"/>
          </w:tcPr>
          <w:p>
            <w:pPr>
              <w:pStyle w:val="TableContents"/>
              <w:bidi w:val="0"/>
              <w:spacing w:before="0" w:after="283"/>
              <w:jc w:val="left"/>
              <w:rPr/>
            </w:pPr>
            <w:r>
              <w:rPr/>
              <w:t>  </w:t>
            </w:r>
          </w:p>
        </w:tc>
        <w:tc>
          <w:tcPr>
            <w:tcW w:w="2771"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Jurisdiction of</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incorporation or</w:t>
              <w:br/>
              <w:t>organization</w:t>
            </w:r>
          </w:p>
        </w:tc>
      </w:tr>
      <w:tr>
        <w:trPr/>
        <w:tc>
          <w:tcPr>
            <w:tcW w:w="7312" w:type="dxa"/>
            <w:tcBorders/>
          </w:tcPr>
          <w:p>
            <w:pPr>
              <w:pStyle w:val="TableContents"/>
              <w:bidi w:val="0"/>
              <w:spacing w:before="0" w:after="283"/>
              <w:jc w:val="left"/>
              <w:rPr/>
            </w:pPr>
            <w:r>
              <w:rPr/>
              <w:t>Ascend Health Corporation</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Atlantic Shores Hospital,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Beach 77 LP</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Behavioral Health Management,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Behavioral Health Realty,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Behavioral Healthcare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BHC Holdings, Inc.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BHC Mesilla Valley Hospital,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BHC Northwest Psychiatric Hospital,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Brentwood Acquisition—Shreveport, Inc.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Calvary Center, Inc.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CAT Realty,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CAT Seattle,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Cedar Springs Hospital, Inc.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Coral Shores Behavioral Health,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Cumberland Hospital,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Cumberland Hospital Partners,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DHP 2131 K St,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Diamond Grove Center,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DVH Hospital Alliance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Emerald Coast Behavioral Hospital,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Fort Duncan Medical Center, L.P.</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FRN, Inc.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Frontline Behavioral Health, Inc.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Frontline Hospital,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Frontline Residential Treatment Center,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HHC Delaware, Inc.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HHC Pennsylvania,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Hickory Trail Hospital, L.P.</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Horizon Health Corporation</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Horizon Health Hospital Services,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Independence Physician Management,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Keys Group Holdings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Keystone/CCS Partners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KMI Acquisition,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Laurel Oaks Behavioral Health Center, Inc.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Liberty Point Behavioral Healthcare, LLC</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Manatee Memorial Hospital, L.P.</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r>
        <w:trPr/>
        <w:tc>
          <w:tcPr>
            <w:tcW w:w="7312" w:type="dxa"/>
            <w:tcBorders/>
          </w:tcPr>
          <w:p>
            <w:pPr>
              <w:pStyle w:val="TableContents"/>
              <w:bidi w:val="0"/>
              <w:spacing w:before="0" w:after="283"/>
              <w:jc w:val="left"/>
              <w:rPr/>
            </w:pPr>
            <w:r>
              <w:rPr/>
              <w:t>McAllen Hospitals, L.P.</w:t>
            </w:r>
          </w:p>
        </w:tc>
        <w:tc>
          <w:tcPr>
            <w:tcW w:w="122" w:type="dxa"/>
            <w:tcBorders/>
            <w:vAlign w:val="bottom"/>
          </w:tcPr>
          <w:p>
            <w:pPr>
              <w:pStyle w:val="TableContents"/>
              <w:bidi w:val="0"/>
              <w:spacing w:before="0" w:after="283"/>
              <w:jc w:val="left"/>
              <w:rPr/>
            </w:pPr>
            <w:r>
              <w:rPr/>
              <w:t>  </w:t>
            </w:r>
          </w:p>
        </w:tc>
        <w:tc>
          <w:tcPr>
            <w:tcW w:w="2771" w:type="dxa"/>
            <w:tcBorders/>
          </w:tcPr>
          <w:p>
            <w:pPr>
              <w:pStyle w:val="TableContents"/>
              <w:bidi w:val="0"/>
              <w:spacing w:before="0" w:after="283"/>
              <w:jc w:val="center"/>
              <w:rPr/>
            </w:pPr>
            <w:r>
              <w:rPr/>
              <w:t>Delaware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and the Subsidiary Guarantors </w:t>
      </w:r>
    </w:p>
    <w:p>
      <w:pPr>
        <w:pStyle w:val="TextBody"/>
        <w:bidi w:val="0"/>
        <w:spacing w:before="0" w:after="0"/>
        <w:jc w:val="left"/>
        <w:rPr>
          <w:rFonts w:ascii="Times New Roman" w:hAnsi="Times New Roman"/>
          <w:sz w:val="20"/>
        </w:rPr>
      </w:pPr>
      <w:r>
        <w:rPr>
          <w:rFonts w:ascii="Times New Roman" w:hAnsi="Times New Roman"/>
          <w:sz w:val="20"/>
        </w:rPr>
        <w:t xml:space="preserve">August 20, 2026 </w:t>
      </w:r>
    </w:p>
    <w:p>
      <w:pPr>
        <w:pStyle w:val="TextBody"/>
        <w:bidi w:val="0"/>
        <w:spacing w:before="0" w:after="0"/>
        <w:jc w:val="left"/>
        <w:rPr>
          <w:rFonts w:ascii="Times New Roman" w:hAnsi="Times New Roman"/>
          <w:sz w:val="20"/>
        </w:rPr>
      </w:pPr>
      <w:r>
        <w:rPr>
          <w:rFonts w:ascii="Times New Roman" w:hAnsi="Times New Roman"/>
          <w:sz w:val="20"/>
        </w:rPr>
        <w:t xml:space="preserve">Page 9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20"/>
        <w:gridCol w:w="120"/>
        <w:gridCol w:w="2765"/>
      </w:tblGrid>
      <w:tr>
        <w:trPr/>
        <w:tc>
          <w:tcPr>
            <w:tcW w:w="73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65" w:type="dxa"/>
            <w:tcBorders/>
            <w:vAlign w:val="center"/>
          </w:tcPr>
          <w:p>
            <w:pPr>
              <w:pStyle w:val="TableContents"/>
              <w:bidi w:val="0"/>
              <w:spacing w:before="0" w:after="283"/>
              <w:jc w:val="left"/>
              <w:rPr>
                <w:sz w:val="4"/>
                <w:szCs w:val="4"/>
              </w:rPr>
            </w:pPr>
            <w:r>
              <w:rPr>
                <w:sz w:val="4"/>
                <w:szCs w:val="4"/>
              </w:rPr>
            </w:r>
          </w:p>
        </w:tc>
      </w:tr>
      <w:tr>
        <w:trPr/>
        <w:tc>
          <w:tcPr>
            <w:tcW w:w="732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0" w:type="dxa"/>
            <w:tcBorders/>
            <w:vAlign w:val="bottom"/>
          </w:tcPr>
          <w:p>
            <w:pPr>
              <w:pStyle w:val="TableContents"/>
              <w:bidi w:val="0"/>
              <w:spacing w:before="0" w:after="283"/>
              <w:jc w:val="left"/>
              <w:rPr/>
            </w:pPr>
            <w:r>
              <w:rPr/>
              <w:t>  </w:t>
            </w:r>
          </w:p>
        </w:tc>
        <w:tc>
          <w:tcPr>
            <w:tcW w:w="2765"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Jurisdiction of</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incorporation or</w:t>
              <w:br/>
              <w:t>organization</w:t>
            </w:r>
          </w:p>
        </w:tc>
      </w:tr>
      <w:tr>
        <w:trPr/>
        <w:tc>
          <w:tcPr>
            <w:tcW w:w="7320" w:type="dxa"/>
            <w:tcBorders/>
          </w:tcPr>
          <w:p>
            <w:pPr>
              <w:pStyle w:val="TableContents"/>
              <w:bidi w:val="0"/>
              <w:spacing w:before="0" w:after="283"/>
              <w:jc w:val="left"/>
              <w:rPr/>
            </w:pPr>
            <w:r>
              <w:rPr/>
              <w:t>McAllen Medical Center,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Merion Building Management,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Ocala Behavioral Health,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Palmetto Behavioral Health Holdings,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Pasteur Healthcare Properties,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Pendleton Methodist Hospital,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Premier Behavioral Solutions of Florida,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Premier Behavioral Solutions,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Psychiatric Realty,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Psychiatric Solutions Hospitals,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Psychiatric Solutions,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Ramsay Managed Care,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Ramsay Youth Services of Georgia,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Riveredge Hospital Holdings,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RR Recovery,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Salt Lake Behavioral Health,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Salt Lake Psychiatric Realty,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Shadow Mountain Behavioral Health System,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Springfield Hospital,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Stonington Behavioral Health,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TBD Acquisition II,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TBD Acquisition,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TBJ Behavioral Center,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Texas Hospital Holdings,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Toledo Holding Co.,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Two Rivers Psychiatric Hospital,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UBH of Oregon,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UBH of Phoenix Realty,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UBH of Phoenix,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UHP LP</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UHS Capitol Acquisition,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UHS Children’s Services,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UHS Funding,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UHS Kentucky Holdings,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UHS Midwest Behavioral Health,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UHS of Anchor, L.P.</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UHS of Benton,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UHS of Bowling Green,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UHS of Centennial Peaks, L.L.C.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UHS of Cornerstone Holdings,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r>
        <w:trPr/>
        <w:tc>
          <w:tcPr>
            <w:tcW w:w="7320" w:type="dxa"/>
            <w:tcBorders/>
          </w:tcPr>
          <w:p>
            <w:pPr>
              <w:pStyle w:val="TableContents"/>
              <w:bidi w:val="0"/>
              <w:spacing w:before="0" w:after="283"/>
              <w:jc w:val="left"/>
              <w:rPr/>
            </w:pPr>
            <w:r>
              <w:rPr/>
              <w:t>UHS of Cornerstone, Inc.</w:t>
            </w:r>
          </w:p>
        </w:tc>
        <w:tc>
          <w:tcPr>
            <w:tcW w:w="120" w:type="dxa"/>
            <w:tcBorders/>
            <w:vAlign w:val="bottom"/>
          </w:tcPr>
          <w:p>
            <w:pPr>
              <w:pStyle w:val="TableContents"/>
              <w:bidi w:val="0"/>
              <w:spacing w:before="0" w:after="283"/>
              <w:jc w:val="left"/>
              <w:rPr/>
            </w:pPr>
            <w:r>
              <w:rPr/>
              <w:t>  </w:t>
            </w:r>
          </w:p>
        </w:tc>
        <w:tc>
          <w:tcPr>
            <w:tcW w:w="2765" w:type="dxa"/>
            <w:tcBorders/>
          </w:tcPr>
          <w:p>
            <w:pPr>
              <w:pStyle w:val="TableContents"/>
              <w:bidi w:val="0"/>
              <w:spacing w:before="0" w:after="283"/>
              <w:jc w:val="center"/>
              <w:rPr/>
            </w:pPr>
            <w:r>
              <w:rPr/>
              <w:t>Delaware</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Universal Health Services, Inc. </w:t>
      </w:r>
    </w:p>
    <w:p>
      <w:pPr>
        <w:pStyle w:val="TextBody"/>
        <w:bidi w:val="0"/>
        <w:spacing w:before="0" w:after="0"/>
        <w:jc w:val="left"/>
        <w:rPr>
          <w:rFonts w:ascii="Times New Roman" w:hAnsi="Times New Roman"/>
          <w:sz w:val="20"/>
        </w:rPr>
      </w:pPr>
      <w:r>
        <w:rPr>
          <w:rFonts w:ascii="Times New Roman" w:hAnsi="Times New Roman"/>
          <w:sz w:val="20"/>
        </w:rPr>
        <w:t xml:space="preserve">and the Subsidiary Guarantors </w:t>
      </w:r>
    </w:p>
    <w:p>
      <w:pPr>
        <w:pStyle w:val="TextBody"/>
        <w:bidi w:val="0"/>
        <w:spacing w:before="0" w:after="0"/>
        <w:jc w:val="left"/>
        <w:rPr>
          <w:rFonts w:ascii="Times New Roman" w:hAnsi="Times New Roman"/>
          <w:sz w:val="20"/>
        </w:rPr>
      </w:pPr>
      <w:r>
        <w:rPr>
          <w:rFonts w:ascii="Times New Roman" w:hAnsi="Times New Roman"/>
          <w:sz w:val="20"/>
        </w:rPr>
        <w:t xml:space="preserve">August 20, 2026 </w:t>
      </w:r>
    </w:p>
    <w:p>
      <w:pPr>
        <w:pStyle w:val="TextBody"/>
        <w:bidi w:val="0"/>
        <w:spacing w:before="0" w:after="0"/>
        <w:jc w:val="left"/>
        <w:rPr>
          <w:rFonts w:ascii="Times New Roman" w:hAnsi="Times New Roman"/>
          <w:sz w:val="20"/>
        </w:rPr>
      </w:pPr>
      <w:r>
        <w:rPr>
          <w:rFonts w:ascii="Times New Roman" w:hAnsi="Times New Roman"/>
          <w:sz w:val="20"/>
        </w:rPr>
        <w:t xml:space="preserve">Page 10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43"/>
        <w:gridCol w:w="120"/>
        <w:gridCol w:w="2742"/>
      </w:tblGrid>
      <w:tr>
        <w:trPr/>
        <w:tc>
          <w:tcPr>
            <w:tcW w:w="734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r>
      <w:tr>
        <w:trPr/>
        <w:tc>
          <w:tcPr>
            <w:tcW w:w="734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Entity</w:t>
            </w:r>
          </w:p>
        </w:tc>
        <w:tc>
          <w:tcPr>
            <w:tcW w:w="120" w:type="dxa"/>
            <w:tcBorders/>
            <w:vAlign w:val="bottom"/>
          </w:tcPr>
          <w:p>
            <w:pPr>
              <w:pStyle w:val="TableContents"/>
              <w:bidi w:val="0"/>
              <w:spacing w:before="0" w:after="283"/>
              <w:jc w:val="left"/>
              <w:rPr/>
            </w:pPr>
            <w:r>
              <w:rPr/>
              <w:t>  </w:t>
            </w:r>
          </w:p>
        </w:tc>
        <w:tc>
          <w:tcPr>
            <w:tcW w:w="2742"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Jurisdiction of</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incorporation or</w:t>
              <w:br/>
              <w:t>organization</w:t>
            </w:r>
          </w:p>
        </w:tc>
      </w:tr>
      <w:tr>
        <w:trPr/>
        <w:tc>
          <w:tcPr>
            <w:tcW w:w="7343" w:type="dxa"/>
            <w:tcBorders/>
          </w:tcPr>
          <w:p>
            <w:pPr>
              <w:pStyle w:val="TableContents"/>
              <w:bidi w:val="0"/>
              <w:spacing w:before="0" w:after="283"/>
              <w:jc w:val="left"/>
              <w:rPr/>
            </w:pPr>
            <w:r>
              <w:rPr/>
              <w:t>UHS of D.C.,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Delaware,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Denver,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Dover,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Doylestown,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Fairmount,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Georgia Holdings,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Georgia,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Greenville,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Kansas City,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Lakeside,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Laurel Heights, L.P.</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Madera,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Parkwood,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Peachford, L.P.</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Phoenix,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Provo Canyon,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Puerto Rico,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Ridge,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Rockford,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Salt Lake City,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Savannah,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Spring Mountain,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Springwoods,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Summitridge,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Texoma,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Timpanogos,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Tucson,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of Wyoming,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Sahara,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 Sub III,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UHS-Corona,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Universal Health Services of Palmdale,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University Behavioral Health of El Paso,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Valle Vista,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Valley Health System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Wekiva Springs Center,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Willow Springs, LLC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Windmoor Healthcare of Pinellas Park,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r>
        <w:trPr/>
        <w:tc>
          <w:tcPr>
            <w:tcW w:w="7343" w:type="dxa"/>
            <w:tcBorders/>
          </w:tcPr>
          <w:p>
            <w:pPr>
              <w:pStyle w:val="TableContents"/>
              <w:bidi w:val="0"/>
              <w:spacing w:before="0" w:after="283"/>
              <w:jc w:val="left"/>
              <w:rPr/>
            </w:pPr>
            <w:r>
              <w:rPr/>
              <w:t>Wisconsin Avenue Psychiatric Center, Inc.</w:t>
            </w:r>
          </w:p>
        </w:tc>
        <w:tc>
          <w:tcPr>
            <w:tcW w:w="120" w:type="dxa"/>
            <w:tcBorders/>
            <w:vAlign w:val="bottom"/>
          </w:tcPr>
          <w:p>
            <w:pPr>
              <w:pStyle w:val="TableContents"/>
              <w:bidi w:val="0"/>
              <w:spacing w:before="0" w:after="283"/>
              <w:jc w:val="left"/>
              <w:rPr/>
            </w:pPr>
            <w:r>
              <w:rPr/>
              <w:t>  </w:t>
            </w:r>
          </w:p>
        </w:tc>
        <w:tc>
          <w:tcPr>
            <w:tcW w:w="2742" w:type="dxa"/>
            <w:tcBorders/>
          </w:tcPr>
          <w:p>
            <w:pPr>
              <w:pStyle w:val="TableContents"/>
              <w:bidi w:val="0"/>
              <w:spacing w:before="0" w:after="283"/>
              <w:jc w:val="center"/>
              <w:rPr/>
            </w:pPr>
            <w:r>
              <w:rPr/>
              <w:t>Delaware</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52915/000119312524229561/d895626dex41.htm" TargetMode="External"/><Relationship Id="rId3" Type="http://schemas.openxmlformats.org/officeDocument/2006/relationships/hyperlink" Target="http://www.sec.gov/Archives/edgar/data/352915/000119312526175197/uhs-ex4_3.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198</Pages>
  <Words>28199</Words>
  <Characters>153831</Characters>
  <CharactersWithSpaces>181606</CharactersWithSpaces>
  <Paragraphs>5411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EX-5.2</dc:title>
</cp:coreProperties>
</file>