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SUSSMAN ELLIOT J MD MBA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2365 BAYPOINT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VILLAGES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SERVICES INC</w:t>
              </w:r>
            </w:hyperlink>
            <w:r>
              <w:rPr/>
              <w:t xml:space="preserve"> [ </w:t>
            </w:r>
            <w:r>
              <w:rPr>
                <w:rFonts w:ascii="Times;serif" w:hAnsi="Times;serif"/>
                <w:color w:val="0000FF"/>
                <w:sz w:val="24"/>
                <w:shd w:fill="FFFFFF" w:val="clear"/>
              </w:rPr>
              <w:t>UHS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7,330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were granted pursuant to the Universal Health Services, Inc. Amended and Restated 2020 Omnibus Stock and Incentive Plan and all units shall vest on the earlier of May 20, 2027 or the next annual meeting of stockholders which is at least 50 weeks after the 2026 annual meeting date of May 20,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 Filton, attorney-in-fact for Dr. Sussman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1000" TargetMode="External"/><Relationship Id="rId5" Type="http://schemas.openxmlformats.org/officeDocument/2006/relationships/hyperlink" Target="http://www.sec.gov/cgi-bin/browse-edgar?action=getcompany&amp;CIK=0000352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3327</Characters>
  <CharactersWithSpaces>3892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