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hs-20260720.htm"/>
      <w:bookmarkStart w:id="1" w:name="ksuhs2026072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20, 2026</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UNIVERSAL HEALTH SERVICES,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201" w:type="dxa"/>
        <w:jc w:val="left"/>
        <w:tblInd w:w="0" w:type="dxa"/>
        <w:tblLayout w:type="fixed"/>
        <w:tblCellMar>
          <w:top w:w="28" w:type="dxa"/>
          <w:left w:w="28" w:type="dxa"/>
          <w:bottom w:w="28" w:type="dxa"/>
          <w:right w:w="28" w:type="dxa"/>
        </w:tblCellMar>
      </w:tblPr>
      <w:tblGrid>
        <w:gridCol w:w="2431"/>
        <w:gridCol w:w="109"/>
        <w:gridCol w:w="1066"/>
        <w:gridCol w:w="109"/>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23-2077891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UNIVERSAL CORPORATE CENTER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367 SOUTH GULPH ROAD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KING OF PRUSSIA, </w:t>
      </w:r>
      <w:r>
        <w:rPr>
          <w:rFonts w:ascii="Times New Roman" w:hAnsi="Times New Roman"/>
          <w:b/>
          <w:caps/>
          <w:color w:val="000000"/>
          <w:sz w:val="20"/>
        </w:rPr>
        <w:t>Pennsylvania</w:t>
      </w:r>
      <w:r>
        <w:rPr>
          <w:rFonts w:ascii="Times New Roman" w:hAnsi="Times New Roman"/>
          <w:color w:val="000000"/>
          <w:sz w:val="20"/>
        </w:rPr>
        <w:t xml:space="preserve"> </w:t>
      </w:r>
      <w:r>
        <w:rPr>
          <w:rFonts w:ascii="Times New Roman" w:hAnsi="Times New Roman"/>
          <w:b/>
          <w:color w:val="000000"/>
          <w:sz w:val="20"/>
        </w:rPr>
        <w:t>19406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(610)</w:t>
      </w:r>
      <w:r>
        <w:rPr>
          <w:rFonts w:ascii="Times New Roman" w:hAnsi="Times New Roman"/>
          <w:color w:val="000000"/>
          <w:sz w:val="20"/>
        </w:rPr>
        <w:t xml:space="preserve"> </w:t>
      </w:r>
      <w:r>
        <w:rPr>
          <w:rFonts w:ascii="Times New Roman" w:hAnsi="Times New Roman"/>
          <w:b/>
          <w:color w:val="000000"/>
          <w:sz w:val="20"/>
        </w:rPr>
        <w:t>768-3300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68" w:type="dxa"/>
        <w:jc w:val="left"/>
        <w:tblInd w:w="0" w:type="dxa"/>
        <w:tblLayout w:type="fixed"/>
        <w:tblCellMar>
          <w:top w:w="28" w:type="dxa"/>
          <w:left w:w="28" w:type="dxa"/>
          <w:bottom w:w="28" w:type="dxa"/>
          <w:right w:w="28" w:type="dxa"/>
        </w:tblCellMar>
      </w:tblPr>
      <w:tblGrid>
        <w:gridCol w:w="2041"/>
        <w:gridCol w:w="1621"/>
        <w:gridCol w:w="3706"/>
      </w:tblGrid>
      <w:tr>
        <w:trPr/>
        <w:tc>
          <w:tcPr>
            <w:tcW w:w="20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0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0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Class B Common Stock</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UHS</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spacing w:before="12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20, 2026, Universal Health Services, Inc. (the “Company”) entered into a Twelfth Amendment and Increased Facility Activation Notice (the “Twelfth Amendment”) to its Credit Agreement, dated as of November 15, 2010 (as amended by the First Amendment dated as of March 15, 2011, the Second Amendment dated as of September 21, 2012, the Third Amendment dated as of May 16, 2013, the Fourth Amendment dated as of August 7, 2014, the Fifth Amendment dated as of June 7, 2016, the Sixth Amendment dated as of October 23, 2018, the Seventh Amendment dated as of August 24, 2021, the Eighth Amendment dated as of September 10, 2021, the Ninth Amendment dated as of June 23, 2022, the Tenth Amendment dated as of September 26, 2024, and the Eleventh Amendment, dated April 22, 2026, the “Existing Credit Agreement”, and the Existing Credit Agreement, as amended by the Twelfth Amendment, the “Credit Agreement”), among the Company, the several banks and other financial institutions or entities from time to time parties thereto, and JPMorgan Chase Bank, N.A., as administrative agent. The Twelfth Amendment provides for the amendment of the Existing Credit Facility as of July 20, 2026 (as so amended, the “Senior Secured Credit Facility”) to add under the Senior Secured Credit Facility a new incremental delayed draw tranche A term loan facility of up to $700 million (the “July 2026 Delayed Draw Term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July 2026 Delayed Draw Term Loan, in an aggregate principal amount of up to $700 million, is available to be drawn down by the Company during the period from July 20, 2026 through September 30, 2026, and will mature on the date that is 364 days after the date of funding of the July 2026 Delayed Draw Term Loan (the “Maturity Date”). The July 2026 Delayed Draw Term Loan shall not amortize, and any outstanding amounts thereunder shall be payable in full on the Maturity Date; provided, however, that the Company is required to prepay the July 2026 Delayed Draw Term Loan prior to the Maturity Date upon the incurrence of certain indebtedness for borrowed money or the issuance of capital stock by the Company or its subsidiaries, subject to limited exceptions set forth in the Credit Agreement. If the Company draws upon the July 2026 Delayed Draw Term Loan, it intends to use the proceeds for general corporate purposes, including the refinancing of existing indebtedness and the payment of fees and expenses in connection therewith.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applicable margin for borrowings under the July 2026 Delayed Draw Term Loan under the Credit Agreement, will be based upon the Company’s Consolidated Net Leverage Ratio (as defined in the Credit Agreement) and initially be 0.125% in the case of ABR Loans and 1.125% in the case of Term Benchmark Loans and RFR Loans (each as defined in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of the Company and certain of the Company’s existing and future direct and indirect subsidiaries under the Senior Secured Credit Facility are secured, on an equal ratable basis with the holders of the Company’s 1.650% Senior Secured Notes due 2026, 4.625% Senior Secured Notes due 2029, 2.650% Senior Secured Notes due 2030, 2.650% Senior Secured Notes due 2032 and 5.050% Senior Secured Notes due 2034 pursuant to the Company’s Amended and Restated Collateral Agreement, as amended and supplemented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Twelfth Amendment and the Senior Secured Credit Facility is a summary, does not purport to be complete and is qualified in its entirety by reference to the full text of the Twelfth Amendment, including the Senior Secured Credit Facility attached as Exhibit A to the Twelfth Amendment, which is filed as Exhibit 10.1 to this Current Report on Form 8-K and is incorporated herein by reference.</w:t>
      </w:r>
    </w:p>
    <w:p>
      <w:pPr>
        <w:pStyle w:val="TextBody"/>
        <w:bidi w:val="0"/>
        <w:spacing w:before="360" w:after="283"/>
        <w:jc w:val="left"/>
        <w:rPr>
          <w:rFonts w:ascii="Times New Roman" w:hAnsi="Times New Roman"/>
          <w:sz w:val="20"/>
        </w:rPr>
      </w:pPr>
      <w:r>
        <w:rPr>
          <w:rFonts w:ascii="Times New Roman" w:hAnsi="Times New Roman"/>
          <w:b/>
          <w:color w:val="000000"/>
          <w:sz w:val="20"/>
        </w:rPr>
        <w:t>Item 2.03. Creation of a Direct Financial Obligation or an Obligation under an Off-Balance Sheet Arrangement of a Registrant.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set forth in response to Item 1.01 under the heading “Senior Secured Credit Facility” is incorporated by reference into this Item 2.03.</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tcMar>
              <w:top w:w="0" w:type="dxa"/>
              <w:left w:w="0" w:type="dxa"/>
              <w:bottom w:w="0" w:type="dxa"/>
              <w:right w:w="0" w:type="dxa"/>
            </w:tcMar>
            <w:vAlign w:val="center"/>
          </w:tcPr>
          <w:p>
            <w:pPr>
              <w:pStyle w:val="TableContents"/>
              <w:bidi w:val="0"/>
              <w:spacing w:before="0" w:after="283"/>
              <w:jc w:val="left"/>
              <w:rPr/>
            </w:pPr>
            <w:hyperlink w:anchor="uhs-ex10_1.htm">
              <w:r>
                <w:rPr>
                  <w:rStyle w:val="InternetLink"/>
                  <w:rFonts w:ascii="Times New Roman" w:hAnsi="Times New Roman"/>
                  <w:color w:val="0000FF"/>
                  <w:sz w:val="20"/>
                  <w:u w:val="single"/>
                </w:rPr>
                <w:t>Twelfth Amendment and Increased Facility Activation Notice dated as of July 20, 2026, to Credit Agreement, dated as of November 15, 2010 and as amended and restated as of September 21, 2012, August 7, 2014, October 23, 2018, August 21, 2021, September 10, 2021, June 23, 2022, September 26, 2024 and April 22, 2026, among the Company, JP Morgan Chase Bank, N.A., as administrative agent and other financial institutions or entities from time to time parties thereto, including the amendment and restatement thereof, effective as of July 20, 2026, attached as Exhibit A thereto and referred to herein as the Senior Secured Credit Facility.</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Cover Page Interactive Data File (embedded within the Inline XBRL document).</w:t>
            </w:r>
            <w:r>
              <w:rPr>
                <w:rFonts w:ascii="Times New Roman" w:hAnsi="Times New Roman"/>
                <w:color w:val="000000"/>
                <w:sz w:val="22"/>
              </w:rPr>
              <w:t xml:space="preserve">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045" w:type="dxa"/>
        <w:jc w:val="left"/>
        <w:tblInd w:w="0" w:type="dxa"/>
        <w:tblLayout w:type="fixed"/>
        <w:tblCellMar>
          <w:top w:w="28" w:type="dxa"/>
          <w:left w:w="28" w:type="dxa"/>
          <w:bottom w:w="28" w:type="dxa"/>
          <w:right w:w="28" w:type="dxa"/>
        </w:tblCellMar>
      </w:tblPr>
      <w:tblGrid>
        <w:gridCol w:w="670"/>
        <w:gridCol w:w="173"/>
        <w:gridCol w:w="2202"/>
      </w:tblGrid>
      <w:tr>
        <w:trPr/>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Services, Inc.</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Steve Filton</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Steve Filton</w:t>
            </w:r>
          </w:p>
        </w:tc>
      </w:tr>
      <w:tr>
        <w:trPr/>
        <w:tc>
          <w:tcPr>
            <w:tcW w:w="304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Executive Vice President and</w:t>
            </w:r>
          </w:p>
          <w:p>
            <w:pPr>
              <w:pStyle w:val="TableContents"/>
              <w:bidi w:val="0"/>
              <w:spacing w:before="0" w:after="20"/>
              <w:jc w:val="left"/>
              <w:rPr>
                <w:color w:val="000000"/>
              </w:rPr>
            </w:pPr>
            <w:r>
              <w:rPr>
                <w:color w:val="000000"/>
              </w:rPr>
              <w:t>            </w:t>
            </w: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21, 2026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uhs-ex10_1.htm"/>
      <w:bookmarkStart w:id="3" w:name="ksuhsex10_1"/>
      <w:bookmarkEnd w:id="2"/>
      <w:bookmarkEnd w:id="3"/>
      <w:r>
        <w:rP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TWELFTH AMENDMENT AND INCREASED FACILITY ACTIVATION NOTICE</w:t>
      </w:r>
    </w:p>
    <w:p>
      <w:pPr>
        <w:pStyle w:val="TextBody"/>
        <w:bidi w:val="0"/>
        <w:spacing w:before="0" w:after="240"/>
        <w:jc w:val="both"/>
        <w:rPr>
          <w:rFonts w:ascii="Times New Roman" w:hAnsi="Times New Roman"/>
          <w:sz w:val="20"/>
        </w:rPr>
      </w:pPr>
      <w:r>
        <w:rPr>
          <w:rFonts w:ascii="Times New Roman" w:hAnsi="Times New Roman"/>
          <w:color w:val="000000"/>
          <w:sz w:val="22"/>
        </w:rPr>
        <w:t>TWELFTH AMENDMENT AND INCREASED FACILITY ACTIVATION NOTICE, dated as of July 20, 2026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the Credit Agreement, dated as of November 15, 2010 (as amended, amended and restated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the Credit Agreement as modified by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xml:space="preserve">), among </w:t>
      </w:r>
      <w:r>
        <w:rPr>
          <w:rFonts w:ascii="Times New Roman" w:hAnsi="Times New Roman"/>
          <w:caps/>
          <w:color w:val="000000"/>
          <w:sz w:val="22"/>
        </w:rPr>
        <w:t>Universal Health Services, Inc.</w:t>
      </w:r>
      <w:r>
        <w:rPr>
          <w:rFonts w:ascii="Times New Roman" w:hAnsi="Times New Roman"/>
          <w:color w:val="000000"/>
          <w:sz w:val="22"/>
        </w:rPr>
        <w:t>,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from time to time parties thereto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JPMORGAN CHASE BANK, N.A., as administrative agent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and the other agents party thereto.</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u w:val="single"/>
        </w:rPr>
        <w:t>W</w:t>
      </w:r>
      <w:r>
        <w:rPr>
          <w:rFonts w:ascii="Times New Roman" w:hAnsi="Times New Roman"/>
          <w:color w:val="000000"/>
          <w:sz w:val="20"/>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N</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H</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the Administrative Agent and each party to this Amendment designated as an “Existing Lender” on its signature page hereto (each an “</w:t>
      </w:r>
      <w:r>
        <w:rPr>
          <w:rFonts w:ascii="Times New Roman" w:hAnsi="Times New Roman"/>
          <w:color w:val="000000"/>
          <w:sz w:val="22"/>
          <w:u w:val="single"/>
        </w:rPr>
        <w:t>Existing Lender</w:t>
      </w:r>
      <w:r>
        <w:rPr>
          <w:rFonts w:ascii="Times New Roman" w:hAnsi="Times New Roman"/>
          <w:color w:val="000000"/>
          <w:sz w:val="20"/>
        </w:rPr>
        <w:t>”</w:t>
      </w:r>
      <w:r>
        <w:rPr>
          <w:rFonts w:ascii="Times New Roman" w:hAnsi="Times New Roman"/>
          <w:color w:val="000000"/>
          <w:sz w:val="22"/>
        </w:rPr>
        <w:t>) are parties to the Credit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WHEREAS, pursuant to Section 2.24, the Borrower has requested commitments for Incremental Term Loans in the form of delayed draw term “a” loans in an aggregate amount equal to $700,000,000 on the terms set forth herein (such commitments, the “</w:t>
      </w:r>
      <w:r>
        <w:rPr>
          <w:rFonts w:ascii="Times New Roman" w:hAnsi="Times New Roman"/>
          <w:color w:val="000000"/>
          <w:sz w:val="22"/>
          <w:u w:val="single"/>
        </w:rPr>
        <w:t>2026-2 Delayed Draw Term Loan Commitments</w:t>
      </w:r>
      <w:r>
        <w:rPr>
          <w:rFonts w:ascii="Times New Roman" w:hAnsi="Times New Roman"/>
          <w:color w:val="000000"/>
          <w:sz w:val="20"/>
        </w:rPr>
        <w:t>”</w:t>
      </w:r>
      <w:r>
        <w:rPr>
          <w:rFonts w:ascii="Times New Roman" w:hAnsi="Times New Roman"/>
          <w:color w:val="000000"/>
          <w:sz w:val="22"/>
        </w:rPr>
        <w:t>, and Loans pursuant to such 2026-2 Delayed Draw Term Loan Commitments, the “</w:t>
      </w:r>
      <w:r>
        <w:rPr>
          <w:rFonts w:ascii="Times New Roman" w:hAnsi="Times New Roman"/>
          <w:color w:val="000000"/>
          <w:sz w:val="22"/>
          <w:u w:val="single"/>
        </w:rPr>
        <w:t>2026-2 Delayed Draw Term Loans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may incur such 2026-2 Delayed Draw Term Loan Commitments and such 2026-2 Delayed Draw Term Loans by entering into an Increased Facility Activation Notice with Lenders willing to provide such 2026-2 Delayed Draw Term Loan Commitments (each such Lender, a “</w:t>
      </w:r>
      <w:r>
        <w:rPr>
          <w:rFonts w:ascii="Times New Roman" w:hAnsi="Times New Roman"/>
          <w:color w:val="000000"/>
          <w:sz w:val="22"/>
          <w:u w:val="single"/>
        </w:rPr>
        <w:t>2026-2 Delayed Draw Term Lender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WHEREAS, each 2026-2 Delayed Draw Term Lender listed on </w:t>
      </w:r>
      <w:r>
        <w:rPr>
          <w:rFonts w:ascii="Times New Roman" w:hAnsi="Times New Roman"/>
          <w:color w:val="000000"/>
          <w:sz w:val="22"/>
          <w:u w:val="single"/>
        </w:rPr>
        <w:t>Schedule 1</w:t>
      </w:r>
      <w:r>
        <w:rPr>
          <w:rFonts w:ascii="Times New Roman" w:hAnsi="Times New Roman"/>
          <w:color w:val="000000"/>
          <w:sz w:val="22"/>
        </w:rPr>
        <w:t xml:space="preserve">hereby commits to provide 2026-2 Delayed Draw Term Loan Commitments in an aggregate principal amount not to exceed the amount of its “2026-2 Delayed Draw Term Loan Commitment” set forth next to such 2026-2 Delayed Draw Term Lender’s name on </w:t>
      </w:r>
      <w:r>
        <w:rPr>
          <w:rFonts w:ascii="Times New Roman" w:hAnsi="Times New Roman"/>
          <w:color w:val="000000"/>
          <w:sz w:val="22"/>
          <w:u w:val="single"/>
        </w:rPr>
        <w:t>Schedule 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Section 2.24(d) of the Credit Agreement, the Credit Agreement may be amended on each Increased Facility Activation Dateas necessary or appropriate to effect the provisions of Section 2.24 of the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WHEREAS, pursuant to Section 10.1 of the Credit Agreement, the Credit Agreement may be amended in writing signed by the Borrower and Existing Lenders constituting Required Lenders under the Credit Agreement to effect certain other amendments;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Borrower, Existing Lenders constituting Required Lenders under the Credit Agreement and each 2026-2 Delayed Draw Term Lender deem the 2026-2 Delayed Draw Term Loan Commitments and 2026-2 Delayed Draw Term Loans to be established pursuant to Section 2.24 notwithstanding any requirements thereunder and without any usage of the Maximum Incremental Amount;</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Existing Lenders constituting Required Lenders under the Credit Agreement and each 2026-2 Delayed Draw Term Lender is willing to consent to the amendments, waivers and other modifications set forth herein, including permitting the 2026-2 Delayed Draw Term Loan Commitments and 2026-2 Delayed Draw Term Loans on the terms and conditions set forth herein;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the mutual covenants hereinafter set forth, the parties hereto hereby agree as follows:</w:t>
      </w:r>
    </w:p>
    <w:p>
      <w:pPr>
        <w:pStyle w:val="TextBody"/>
        <w:bidi w:val="0"/>
        <w:spacing w:before="0" w:after="0"/>
        <w:jc w:val="both"/>
        <w:rPr>
          <w:rFonts w:ascii="Times New Roman" w:hAnsi="Times New Roman"/>
          <w:color w:val="010000"/>
          <w:sz w:val="20"/>
        </w:rPr>
      </w:pPr>
      <w:r>
        <w:rPr>
          <w:rFonts w:ascii="Times New Roman" w:hAnsi="Times New Roman"/>
          <w:color w:val="010000"/>
          <w:sz w:val="20"/>
        </w:rPr>
        <w:t>1.</w:t>
      </w:r>
    </w:p>
    <w:p>
      <w:pPr>
        <w:pStyle w:val="TextBody"/>
        <w:bidi w:val="0"/>
        <w:spacing w:before="0" w:after="0"/>
        <w:jc w:val="both"/>
        <w:rPr/>
      </w:pPr>
      <w:r>
        <w:rPr>
          <w:rFonts w:ascii="Times New Roman" w:hAnsi="Times New Roman"/>
          <w:color w:val="000000"/>
          <w:sz w:val="20"/>
          <w:u w:val="single"/>
        </w:rPr>
        <w:t>Defined Terms</w:t>
      </w:r>
      <w:r>
        <w:rPr>
          <w:rFonts w:ascii="Times New Roman" w:hAnsi="Times New Roman"/>
          <w:color w:val="000000"/>
          <w:sz w:val="20"/>
        </w:rPr>
        <w:t xml:space="preserve">. Unless otherwise defined herein, capitalized terms used herein which are defined in the Amended Credit Agreement (as defined below) are used herein as therein defined. </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2.</w:t>
      </w:r>
    </w:p>
    <w:p>
      <w:pPr>
        <w:pStyle w:val="TextBody"/>
        <w:bidi w:val="0"/>
        <w:spacing w:before="120" w:after="283"/>
        <w:jc w:val="both"/>
        <w:rPr/>
      </w:pPr>
      <w:r>
        <w:rPr>
          <w:rFonts w:ascii="Times New Roman" w:hAnsi="Times New Roman"/>
          <w:color w:val="000000"/>
          <w:sz w:val="20"/>
          <w:u w:val="single"/>
        </w:rPr>
        <w:t>Amendments to the Credit Agreement</w:t>
      </w:r>
      <w:r>
        <w:rPr>
          <w:rFonts w:ascii="Times New Roman" w:hAnsi="Times New Roman"/>
          <w:color w:val="000000"/>
          <w:sz w:val="20"/>
        </w:rPr>
        <w:t xml:space="preserve">. On and as of the Twelfth Amendment Effective Date (as defined below), each Existing Lender party hereto (which collectively constitute Required Lenders under the Credit Agreement) and each 2026-2 Delayed Draw Term Lender hereby consents to amend the Credit Agreement as follows: (i)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color w:val="000000"/>
          <w:sz w:val="20"/>
        </w:rPr>
        <w:t xml:space="preserve">) and to add the double-underlined text (indicated textually in the same manner as the following example: </w:t>
      </w:r>
      <w:r>
        <w:rPr>
          <w:rFonts w:ascii="Times New Roman" w:hAnsi="Times New Roman"/>
          <w:color w:val="0000FF"/>
          <w:sz w:val="20"/>
          <w:u w:val="single"/>
        </w:rPr>
        <w:t>double-underlined text</w:t>
      </w:r>
      <w:r>
        <w:rPr>
          <w:rFonts w:ascii="Times New Roman" w:hAnsi="Times New Roman"/>
          <w:color w:val="000000"/>
          <w:sz w:val="20"/>
        </w:rPr>
        <w:t xml:space="preserve">) as set forth in the pages of the Credit Agreement attached as Annex A hereto and (ii) amend Schedule 1.1A of the Credit Agreement to add as the table set forth on </w:t>
      </w:r>
      <w:r>
        <w:rPr>
          <w:rFonts w:ascii="Times New Roman" w:hAnsi="Times New Roman"/>
          <w:color w:val="000000"/>
          <w:sz w:val="20"/>
          <w:u w:val="single"/>
        </w:rPr>
        <w:t>Schedule 1</w:t>
      </w:r>
      <w:r>
        <w:rPr>
          <w:color w:val="000000"/>
        </w:rPr>
        <w:t xml:space="preserve"> </w:t>
      </w:r>
      <w:r>
        <w:rPr>
          <w:rFonts w:ascii="Times New Roman" w:hAnsi="Times New Roman"/>
          <w:color w:val="000000"/>
          <w:sz w:val="20"/>
        </w:rPr>
        <w:t>hereto.</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3.</w:t>
      </w:r>
    </w:p>
    <w:p>
      <w:pPr>
        <w:pStyle w:val="TextBody"/>
        <w:bidi w:val="0"/>
        <w:spacing w:before="120" w:after="283"/>
        <w:jc w:val="both"/>
        <w:rPr/>
      </w:pPr>
      <w:r>
        <w:rPr>
          <w:rFonts w:ascii="Times New Roman" w:hAnsi="Times New Roman"/>
          <w:color w:val="000000"/>
          <w:sz w:val="20"/>
          <w:u w:val="single"/>
        </w:rPr>
        <w:t>Increased Facility Activation Notice</w:t>
      </w:r>
      <w:r>
        <w:rPr>
          <w:rFonts w:ascii="Times New Roman" w:hAnsi="Times New Roman"/>
          <w:color w:val="000000"/>
          <w:sz w:val="20"/>
        </w:rPr>
        <w:t>. The Borrower and each 2026-2 Delayed Draw Term Lender hereby notify the Administrative Agent that, subject to the terms and conditions herein:</w:t>
      </w:r>
    </w:p>
    <w:p>
      <w:pPr>
        <w:pStyle w:val="TextBody"/>
        <w:bidi w:val="0"/>
        <w:jc w:val="both"/>
        <w:rPr>
          <w:rFonts w:ascii="Times New Roman" w:hAnsi="Times New Roman"/>
          <w:color w:val="000000"/>
          <w:sz w:val="22"/>
        </w:rPr>
      </w:pPr>
      <w:r>
        <w:rPr>
          <w:rFonts w:ascii="Times New Roman" w:hAnsi="Times New Roman"/>
          <w:color w:val="000000"/>
          <w:sz w:val="22"/>
        </w:rPr>
        <w:t>(a) Each 2026-2 Delayed Draw Term Lender party hereto agrees to make 2026-2 Delayed Draw Term Loans in the amount set forth opposite such 2026-2 Delayed Draw Term Lender’s name on Schedule 1 hereto under the heading “2026-2 Delayed Draw Term Loan Commitments”.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Increased Facility Closing Date is the Twelfth Amendment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The aggregate principal amount of the 2026-2 Delayed Draw Term Loan Commitments is $700,000,000.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The Incremental Term Maturity Date for the 2026-2 Delayed Draw Term Loans is the date that is 364-days after the funding of the 2026-2 Delayed Draw Term Loans.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The Applicable Margin for the 2026-2 Delayed Draw Term Loans shall be as set forth in the Amended Credit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The 2026-2 Delayed Draw Term Loans shall not amortize and any outstanding 2026-2 Delayed Draw Term Loans will be payable on the Incremental Term Maturity Date for 2026-2 Delayed Draw Term Loans.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(g) The 2026-2 Delayed Draw Term Loan Commitments and 2026-2 Delayed Draw Term Loans are deemed to be established pursuant to Section 2.24 of the Credit Agreement notwithstanding any requirements thereunder and without any usage of the Maximum Incremental Amount.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(h) Other than as expressly set forth in this Section 3 or the Amended Credit Agreement attached hereto as Annex A, for all purposes under the Amended Credit Agreement and the other Loan Documents, the 2026-2 Delayed Draw Term Loans shall have the same terms as the Tranche A Term Loans.</w:t>
      </w:r>
    </w:p>
    <w:p>
      <w:pPr>
        <w:pStyle w:val="TextBody"/>
        <w:bidi w:val="0"/>
        <w:jc w:val="both"/>
        <w:rPr/>
      </w:pPr>
      <w:r>
        <w:rPr/>
        <w:t> </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4.</w:t>
      </w:r>
    </w:p>
    <w:p>
      <w:pPr>
        <w:pStyle w:val="TextBody"/>
        <w:bidi w:val="0"/>
        <w:spacing w:before="120" w:after="283"/>
        <w:jc w:val="both"/>
        <w:rPr/>
      </w:pPr>
      <w:r>
        <w:rPr>
          <w:rFonts w:ascii="Times New Roman" w:hAnsi="Times New Roman"/>
          <w:color w:val="000000"/>
          <w:sz w:val="20"/>
          <w:u w:val="single"/>
        </w:rPr>
        <w:t>Effectiveness</w:t>
      </w:r>
      <w:r>
        <w:rPr>
          <w:rFonts w:ascii="Times New Roman" w:hAnsi="Times New Roman"/>
          <w:color w:val="000000"/>
          <w:sz w:val="20"/>
        </w:rPr>
        <w:t>. This Amendment and, subject to the other conditions set forth in the Amended Credit Agreement, the obligation of each 2026-2 Delayed Draw Term Lender to make a 2026-2 Delayed Draw Term Loan, shall become effective as of the date (the “</w:t>
      </w:r>
      <w:r>
        <w:rPr>
          <w:rFonts w:ascii="Times New Roman" w:hAnsi="Times New Roman"/>
          <w:color w:val="000000"/>
          <w:sz w:val="20"/>
          <w:u w:val="single"/>
        </w:rPr>
        <w:t>Twelfth Amendment Effective Date</w:t>
      </w:r>
      <w:r>
        <w:rPr>
          <w:color w:val="000000"/>
        </w:rPr>
        <w:t>”</w:t>
      </w:r>
      <w:r>
        <w:rPr>
          <w:rFonts w:ascii="Times New Roman" w:hAnsi="Times New Roman"/>
          <w:color w:val="000000"/>
          <w:sz w:val="20"/>
        </w:rPr>
        <w:t>) on which each of the following conditions precedent shall have been satisfied:</w:t>
      </w:r>
    </w:p>
    <w:p>
      <w:pPr>
        <w:pStyle w:val="TextBody"/>
        <w:bidi w:val="0"/>
        <w:jc w:val="both"/>
        <w:rPr>
          <w:rFonts w:ascii="Times New Roman" w:hAnsi="Times New Roman"/>
          <w:color w:val="000000"/>
          <w:sz w:val="22"/>
        </w:rPr>
      </w:pPr>
      <w:r>
        <w:rPr>
          <w:rFonts w:ascii="Times New Roman" w:hAnsi="Times New Roman"/>
          <w:color w:val="000000"/>
          <w:sz w:val="22"/>
        </w:rPr>
        <w:t>(a) The Administrative Agent shall have received each of the following, dated as of the Twelfth Amendment Effective Date (unless otherwise agreed to by the Administrative Agent), in form and substance satisfactory to the Administrative Agent: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this Amendment, duly executed and delivered by the Borrower, the Guarantors, each Existing Lender party hereto (which collectively constitute Required Lenders under the Credit Agreement), each 2026-2 Delayed Draw Term Lender and the Administrative Agent;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the legal opinion of (A) the Borrower’s general counsel, or other counsel reasonably acceptable to the Administrative Agent, (B) Norton Rose Fulbright US LLP, counsel to the Borrower and its Subsidiaries and (C) Childs Watson, PLLC, Nevada special counsel to the Borrower and certain of its Subsidiaries;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the Administrative Agent shall have received a certificate of the secretary or similar officer of each Loan Party dated as of the Twelfth Amendment Effective Date and certifying (a) attached thereto is a copy of the resolutions, in form and substance reasonably satisfactory to the Administrative Agent, of the board of directors or managing member (or equivalent governing body) of each Loan Party authorizing (x) the execution, delivery and performance of this Amendment and the Amended Credit Agreement and (y) in the case of the Borrower, the extensions of credit contemplated hereunder and under the Amended Credit Agreement, (b) as to any changes to the certificate or articles of incorporation, certificate of limited partnership, certificate of formation or other equivalent constituent and governing documents of such Loan Party since the certificate of the secretary or similar officer of each Loan Party dated as of the Eleventh Amendment Effective Date, (c) as to any changes to the by-laws (or partnership agreement, limited liability company agreement or other equivalent constituent and governing documents) of such Loan Party since the certificate of the secretary or similar officer of each Loan Party dated as of the Eleventh Amendment Effective Date, (d) certificates as to the good standing of each Loan Party that is a registered organization as of a recent date from the Secretary of State (or other similar official) from its jurisdiction of organization and (e) as to the incumbency and specimen signature of each officer executing this Amendment or any other document delivered in connection herewith on behalf of such Loan Party.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Each of the representations and warranties made by any Loan Party in or pursuant to the Amended Credit Agreement and other Loan Documents shall be true and correct in all material respects on and as of the Twelfth Amendment Effective Date, except to the extent such representations and warranties expressly relate to an earlier date, in which case such representations and warranties shall be true and correct in all material respects as of such earlier date (except that any representation and warranty that is qualified as to “materiality” or “Material Adverse Effect” shall be true and correct in all respects).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No Default or Event of Default has occurred and is continuing on the Twelfth Amendment Effective Date or after giving effect to the amendments contemplated herein, the extensions of credit requested to be made on the Twelfth Amendment Effective Date (if any) and the other transactions contemplated to occur on the Twelfth Amendment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All governmental and third party approvals necessary in connection with the transactions contemplated hereby and by the Credit Agreement shall have been obtained and be in full force and effect, and all applicable waiting periods shall have expired without any action being taken or threatened by any competent authority that would restrain, prevent or otherwise impose adverse conditions on the financing contemplated hereby.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The Lenders and the Administrative Agent shall have received all fees required to be paid, and all expenses for which invoices have been presented on or before the Twelfth Amendment Effective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The Administrative Agent shall have received, at least 5 days prior to the Twelfth Amendment Effective Date, all documentation and other information required by regulatory authorities under applicable “know your customer” and anti-money laundering rules and regulations, including the PATRIOT Act, previously requested by the Administrative Agent.</w:t>
      </w:r>
    </w:p>
    <w:p>
      <w:pPr>
        <w:pStyle w:val="TextBody"/>
        <w:bidi w:val="0"/>
        <w:jc w:val="both"/>
        <w:rPr/>
      </w:pPr>
      <w:r>
        <w:rPr/>
        <w:t> </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5.</w:t>
      </w:r>
    </w:p>
    <w:p>
      <w:pPr>
        <w:pStyle w:val="TextBody"/>
        <w:bidi w:val="0"/>
        <w:spacing w:before="120" w:after="283"/>
        <w:jc w:val="both"/>
        <w:rPr/>
      </w:pPr>
      <w:r>
        <w:rPr>
          <w:rFonts w:ascii="Times New Roman" w:hAnsi="Times New Roman"/>
          <w:color w:val="000000"/>
          <w:sz w:val="20"/>
          <w:u w:val="single"/>
        </w:rPr>
        <w:t>Ratification by Guarantors</w:t>
      </w:r>
      <w:r>
        <w:rPr>
          <w:rFonts w:ascii="Times New Roman" w:hAnsi="Times New Roman"/>
          <w:color w:val="000000"/>
          <w:sz w:val="20"/>
        </w:rPr>
        <w:t>. Each of the Guarantors acknowledges that its consent to this Amendment is not required, but each of the undersigned nevertheless does hereby agree and consent to this Amendment and to the documents and agreements referred to herein. Each of the Guarantors agrees and acknowledges that (i) notwithstanding the effectiveness of this Amendment, such Guarantor’s guarantee shall remain in full force and effect without modification thereto and (ii) nothing herein shall in any way limit any of the terms or provisions of such Guarantor’s guarantee, the Collateral Agreement or any other Loan Document executed by such Guarantor (as the same may be amended from time to time), all of which are hereby ratified, confirmed and affirmed in all respects as of the Twelfth Amendment Effective Date. Each of the Guarantors hereby agrees and acknowledges that no other agreement, instrument, consent or document shall be required to give effect to this Section 5. Each of the Guarantors hereby further acknowledges that the Borrower, the Administrative Agent and any Lender may from time to time enter into any further amendments, modifications, terminations and/or waivers of any provision of the Loan Documents without notice to or consent from such Guarantor and without affecting the validity or enforceability of such Guarantor’s guarantee or giving rise to any reduction, limitation, impairment, discharge or termination of such Guarantor’s guarantee. Each Loan Party agrees that each Security Document secures all Obligations of the Loan Parties in accordance with the terms thereof. Each Loan Party ratifies and confirms that all Liens granted, conveyed, or assigned to the Administrative Agent by such Person pursuant to each Loan Document to which it is a party remain in full force and effect, are not released or reduced, and continue to secure full payment and performance of the Obligations after giving effect to the transactions contemplated by this Amendment.</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6.</w:t>
      </w:r>
    </w:p>
    <w:p>
      <w:pPr>
        <w:pStyle w:val="TextBody"/>
        <w:bidi w:val="0"/>
        <w:spacing w:before="120" w:after="283"/>
        <w:jc w:val="both"/>
        <w:rPr/>
      </w:pPr>
      <w:r>
        <w:rPr>
          <w:rFonts w:ascii="Times New Roman" w:hAnsi="Times New Roman"/>
          <w:color w:val="000000"/>
          <w:sz w:val="20"/>
          <w:u w:val="single"/>
        </w:rPr>
        <w:t>Effect</w:t>
      </w:r>
      <w:r>
        <w:rPr>
          <w:rFonts w:ascii="Times New Roman" w:hAnsi="Times New Roman"/>
          <w:color w:val="000000"/>
          <w:sz w:val="20"/>
        </w:rPr>
        <w:t xml:space="preserve">. Except as expressly amended hereby, all of the representations, warranties, terms, covenants and conditions of the Loan Documents shall remain unamended and not waived and shall continue to be in full force and effect. This Amendment is a Loan Document and an Increased Facility Activation Notice. </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7.</w:t>
      </w:r>
    </w:p>
    <w:p>
      <w:pPr>
        <w:pStyle w:val="TextBody"/>
        <w:bidi w:val="0"/>
        <w:spacing w:before="120" w:after="283"/>
        <w:jc w:val="both"/>
        <w:rPr/>
      </w:pPr>
      <w:r>
        <w:rPr>
          <w:rFonts w:ascii="Times New Roman" w:hAnsi="Times New Roman"/>
          <w:color w:val="000000"/>
          <w:sz w:val="20"/>
          <w:u w:val="single"/>
        </w:rPr>
        <w:t>Counterparts</w:t>
      </w:r>
      <w:r>
        <w:rPr>
          <w:rFonts w:ascii="Times New Roman" w:hAnsi="Times New Roman"/>
          <w:color w:val="000000"/>
          <w:sz w:val="20"/>
        </w:rPr>
        <w:t xml:space="preserve">. This Amendment may be executed by one or more of the parties to this Amendment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 </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8.</w:t>
      </w:r>
    </w:p>
    <w:p>
      <w:pPr>
        <w:pStyle w:val="TextBody"/>
        <w:bidi w:val="0"/>
        <w:spacing w:before="120" w:after="283"/>
        <w:jc w:val="both"/>
        <w:rPr/>
      </w:pPr>
      <w:r>
        <w:rPr>
          <w:rFonts w:ascii="Times New Roman" w:hAnsi="Times New Roman"/>
          <w:color w:val="000000"/>
          <w:sz w:val="20"/>
          <w:u w:val="single"/>
        </w:rPr>
        <w:t>Severability</w:t>
      </w:r>
      <w:r>
        <w:rPr>
          <w:rFonts w:ascii="Times New Roman" w:hAnsi="Times New Roman"/>
          <w:color w:val="000000"/>
          <w:sz w:val="20"/>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9.</w:t>
      </w:r>
    </w:p>
    <w:p>
      <w:pPr>
        <w:pStyle w:val="TextBody"/>
        <w:bidi w:val="0"/>
        <w:spacing w:before="120" w:after="283"/>
        <w:jc w:val="both"/>
        <w:rPr/>
      </w:pPr>
      <w:r>
        <w:rPr>
          <w:rFonts w:ascii="Times New Roman" w:hAnsi="Times New Roman"/>
          <w:color w:val="000000"/>
          <w:sz w:val="20"/>
          <w:u w:val="single"/>
        </w:rPr>
        <w:t>Integration</w:t>
      </w:r>
      <w:r>
        <w:rPr>
          <w:rFonts w:ascii="Times New Roman" w:hAnsi="Times New Roman"/>
          <w:color w:val="000000"/>
          <w:sz w:val="20"/>
        </w:rPr>
        <w:t>. This Amendment and the other Loan Documents represent the agreement of the Loan Parties, the Administrative Agent and the Lenders with respect to the subject matter hereof, and there are no promises, undertakings, representations or warranties by the Administrative Agent or any Lender relative to the subject matter hereof not expressly set forth or referred to herein or in the other Loan Documents.</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10.</w:t>
      </w:r>
    </w:p>
    <w:p>
      <w:pPr>
        <w:pStyle w:val="TextBody"/>
        <w:bidi w:val="0"/>
        <w:spacing w:before="120" w:after="283"/>
        <w:jc w:val="both"/>
        <w:rPr/>
      </w:pPr>
      <w:r>
        <w:rPr>
          <w:rFonts w:ascii="Times New Roman" w:hAnsi="Times New Roman"/>
          <w:color w:val="000000"/>
          <w:sz w:val="20"/>
          <w:u w:val="single"/>
        </w:rPr>
        <w:t>GOVERNING LAW</w:t>
      </w:r>
      <w:r>
        <w:rPr>
          <w:rFonts w:ascii="Times New Roman" w:hAnsi="Times New Roman"/>
          <w:color w:val="000000"/>
          <w:sz w:val="20"/>
        </w:rPr>
        <w:t>. THIS AMENDMENT AND THE RIGHTS AND OBLIGATIONS OF THE PARTIES UNDER THIS AMENDMENT SHALL BE GOVERNED BY, AND CONSTRUED AND INTERPRETED IN ACCORDANCE WITH, THE LAW OF THE STATE OF NEW YORK.</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11.</w:t>
      </w:r>
    </w:p>
    <w:p>
      <w:pPr>
        <w:pStyle w:val="TextBody"/>
        <w:bidi w:val="0"/>
        <w:spacing w:before="120" w:after="283"/>
        <w:jc w:val="both"/>
        <w:rPr/>
      </w:pPr>
      <w:r>
        <w:rPr>
          <w:rFonts w:ascii="Times New Roman" w:hAnsi="Times New Roman"/>
          <w:color w:val="000000"/>
          <w:sz w:val="20"/>
          <w:u w:val="single"/>
        </w:rPr>
        <w:t>NO NOVATION</w:t>
      </w:r>
      <w:r>
        <w:rPr>
          <w:rFonts w:ascii="Times New Roman" w:hAnsi="Times New Roman"/>
          <w:color w:val="000000"/>
          <w:sz w:val="20"/>
        </w:rPr>
        <w:t xml:space="preserve">. This Amendment shall not extinguish the obligations for the payment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money outstanding under the Credit Agreement or discharge or release the Lien or priority of any Security Document or any other security therefor.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Loan Parties under any Loan Document from any of its obligations and liabilities as a borrower, guarantor or pledgor under any of the Loan Documents. All of the Liens and security interests created and arising under any Loan Document remain in full force and effect on a continuous basis, and the perfected status and priority of each such Lien and security interest continues in full force and effect on a continuous basis, unimpaired, uninterrupted and undischarged, after giving effect to this Amendment, as collateral security for its obligations, liabilities and indebtedness under the Credit Agreement and under its guarantees, if any, in the Loan Documents.</w:t>
      </w:r>
    </w:p>
    <w:p>
      <w:pPr>
        <w:pStyle w:val="TextBody"/>
        <w:bidi w:val="0"/>
        <w:spacing w:before="120" w:after="283"/>
        <w:jc w:val="both"/>
        <w:rPr>
          <w:rFonts w:ascii="Times New Roman" w:hAnsi="Times New Roman"/>
          <w:color w:val="010000"/>
          <w:sz w:val="20"/>
        </w:rPr>
      </w:pPr>
      <w:r>
        <w:rPr>
          <w:rFonts w:ascii="Times New Roman" w:hAnsi="Times New Roman"/>
          <w:color w:val="010000"/>
          <w:sz w:val="20"/>
        </w:rPr>
        <w:t>12.</w:t>
      </w:r>
    </w:p>
    <w:p>
      <w:pPr>
        <w:pStyle w:val="TextBody"/>
        <w:bidi w:val="0"/>
        <w:spacing w:before="120" w:after="283"/>
        <w:jc w:val="both"/>
        <w:rPr/>
      </w:pPr>
      <w:r>
        <w:rPr>
          <w:rFonts w:ascii="Times New Roman" w:hAnsi="Times New Roman"/>
          <w:color w:val="000000"/>
          <w:sz w:val="20"/>
          <w:u w:val="single"/>
        </w:rPr>
        <w:t>Titles</w:t>
      </w:r>
      <w:r>
        <w:rPr>
          <w:rFonts w:ascii="Times New Roman" w:hAnsi="Times New Roman"/>
          <w:color w:val="000000"/>
          <w:sz w:val="20"/>
        </w:rPr>
        <w:t>. With respect to the 2026-2 Delayed Draw Term Loan Facility, JPMorgan Chase Bank, N.A.,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Closing Date), Truist Securities, Inc., U.S. Bank National Association and Wells Fargo Bank, National Association shall be the Joint Lead Arrangers and Joint Bookrunners.</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2"/>
        </w:rPr>
      </w:pPr>
      <w:bookmarkStart w:id="4" w:name="hit3"/>
      <w:bookmarkEnd w:id="4"/>
      <w:r>
        <w:rPr>
          <w:rFonts w:ascii="Times New Roman" w:hAnsi="Times New Roman"/>
          <w:color w:val="000000"/>
          <w:sz w:val="22"/>
        </w:rPr>
        <w:t>[Remainder of page left blank intentionally]</w:t>
      </w:r>
      <w:bookmarkStart w:id="5" w:name="hit1"/>
      <w:bookmarkStart w:id="6" w:name="hit2"/>
      <w:bookmarkEnd w:id="5"/>
      <w:bookmarkEnd w:id="6"/>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caused this Amendment to be duly executed and delivered by their proper and duly authorized officers as of the day and year first above written.</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UNIVERSAL HEALTH SERVICES,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Executive Vice President, Chief Financial Officer and Secretary</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UHS OF DELAWARE,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Executive Vice President and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sz w:val="20"/>
        </w:rPr>
      </w:pPr>
      <w:r>
        <w:rPr>
          <w:rFonts w:ascii="Times New Roman" w:hAnsi="Times New Roman"/>
          <w:color w:val="000000"/>
          <w:sz w:val="22"/>
        </w:rPr>
        <w:t>LANCASTER HOSPITAL CORPORATION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MERION BUILDING MANAGEMENT,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NORTHWEST TEXAS HEALTHCARE SYSTEM, INC.</w:t>
      </w:r>
    </w:p>
    <w:p>
      <w:pPr>
        <w:pStyle w:val="TextBody"/>
        <w:bidi w:val="0"/>
        <w:jc w:val="left"/>
        <w:rPr>
          <w:rFonts w:ascii="Times New Roman" w:hAnsi="Times New Roman"/>
          <w:sz w:val="20"/>
        </w:rPr>
      </w:pPr>
      <w:r>
        <w:rPr>
          <w:rFonts w:ascii="Times New Roman" w:hAnsi="Times New Roman"/>
          <w:color w:val="000000"/>
          <w:sz w:val="22"/>
        </w:rPr>
        <w:t>UHS HOLDING COMPANY,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UHS OF CORNERSTONE, INC.</w:t>
      </w:r>
    </w:p>
    <w:p>
      <w:pPr>
        <w:pStyle w:val="TextBody"/>
        <w:bidi w:val="0"/>
        <w:jc w:val="left"/>
        <w:rPr>
          <w:rFonts w:ascii="Times New Roman" w:hAnsi="Times New Roman"/>
          <w:sz w:val="20"/>
        </w:rPr>
      </w:pPr>
      <w:r>
        <w:rPr>
          <w:rFonts w:ascii="Times New Roman" w:hAnsi="Times New Roman"/>
          <w:color w:val="000000"/>
          <w:sz w:val="22"/>
        </w:rPr>
        <w:t>UHS OF CORNERSTONE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UHS OF D.C., INC.</w:t>
      </w:r>
    </w:p>
    <w:p>
      <w:pPr>
        <w:pStyle w:val="TextBody"/>
        <w:bidi w:val="0"/>
        <w:jc w:val="left"/>
        <w:rPr>
          <w:rFonts w:ascii="Times New Roman" w:hAnsi="Times New Roman"/>
          <w:color w:val="000000"/>
          <w:sz w:val="22"/>
        </w:rPr>
      </w:pPr>
      <w:r>
        <w:rPr>
          <w:rFonts w:ascii="Times New Roman" w:hAnsi="Times New Roman"/>
          <w:color w:val="000000"/>
          <w:sz w:val="22"/>
        </w:rPr>
        <w:t>UHS-CORONA, INC.</w:t>
      </w:r>
    </w:p>
    <w:p>
      <w:pPr>
        <w:pStyle w:val="TextBody"/>
        <w:bidi w:val="0"/>
        <w:jc w:val="left"/>
        <w:rPr>
          <w:rFonts w:ascii="Times New Roman" w:hAnsi="Times New Roman"/>
          <w:color w:val="000000"/>
          <w:sz w:val="22"/>
        </w:rPr>
      </w:pPr>
      <w:r>
        <w:rPr>
          <w:rFonts w:ascii="Times New Roman" w:hAnsi="Times New Roman"/>
          <w:color w:val="000000"/>
          <w:sz w:val="22"/>
        </w:rPr>
        <w:t>UNIVERSAL HEALTH SERVICES OF PALMDALE, INC.</w:t>
      </w:r>
    </w:p>
    <w:p>
      <w:pPr>
        <w:pStyle w:val="TextBody"/>
        <w:bidi w:val="0"/>
        <w:jc w:val="left"/>
        <w:rPr>
          <w:rFonts w:ascii="Times New Roman" w:hAnsi="Times New Roman"/>
          <w:sz w:val="20"/>
        </w:rPr>
      </w:pPr>
      <w:r>
        <w:rPr>
          <w:rFonts w:ascii="Times New Roman" w:hAnsi="Times New Roman"/>
          <w:color w:val="000000"/>
          <w:sz w:val="22"/>
        </w:rPr>
        <w:t>VALLEY HOSPITAL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MCALLEN MEDICAL CENTER, INC.</w:t>
      </w:r>
    </w:p>
    <w:p>
      <w:pPr>
        <w:pStyle w:val="TextBody"/>
        <w:bidi w:val="0"/>
        <w:jc w:val="left"/>
        <w:rPr>
          <w:rFonts w:ascii="Times New Roman" w:hAnsi="Times New Roman"/>
          <w:color w:val="000000"/>
          <w:sz w:val="22"/>
        </w:rPr>
      </w:pPr>
      <w:r>
        <w:rPr>
          <w:rFonts w:ascii="Times New Roman" w:hAnsi="Times New Roman"/>
          <w:color w:val="000000"/>
          <w:sz w:val="22"/>
        </w:rPr>
        <w:t>SPARKS FAMILY HOSPITAL, INC.</w:t>
      </w:r>
    </w:p>
    <w:p>
      <w:pPr>
        <w:pStyle w:val="TextBody"/>
        <w:bidi w:val="0"/>
        <w:jc w:val="left"/>
        <w:rPr>
          <w:rFonts w:ascii="Times New Roman" w:hAnsi="Times New Roman"/>
          <w:color w:val="000000"/>
          <w:sz w:val="22"/>
        </w:rPr>
      </w:pPr>
      <w:r>
        <w:rPr>
          <w:rFonts w:ascii="Times New Roman" w:hAnsi="Times New Roman"/>
          <w:color w:val="000000"/>
          <w:sz w:val="22"/>
        </w:rPr>
        <w:t>UHS OF RIVER PARISHES, INC.</w:t>
      </w:r>
    </w:p>
    <w:p>
      <w:pPr>
        <w:pStyle w:val="TextBody"/>
        <w:bidi w:val="0"/>
        <w:jc w:val="left"/>
        <w:rPr>
          <w:rFonts w:ascii="Times New Roman" w:hAnsi="Times New Roman"/>
          <w:color w:val="000000"/>
          <w:sz w:val="22"/>
        </w:rPr>
      </w:pPr>
      <w:r>
        <w:rPr>
          <w:rFonts w:ascii="Times New Roman" w:hAnsi="Times New Roman"/>
          <w:color w:val="000000"/>
          <w:sz w:val="22"/>
        </w:rPr>
        <w:t>UHS OF TEXOMA, INC.</w:t>
      </w:r>
    </w:p>
    <w:p>
      <w:pPr>
        <w:pStyle w:val="TextBody"/>
        <w:bidi w:val="0"/>
        <w:jc w:val="left"/>
        <w:rPr>
          <w:rFonts w:ascii="Times New Roman" w:hAnsi="Times New Roman"/>
          <w:color w:val="000000"/>
          <w:sz w:val="22"/>
        </w:rPr>
      </w:pPr>
      <w:r>
        <w:rPr>
          <w:rFonts w:ascii="Times New Roman" w:hAnsi="Times New Roman"/>
          <w:color w:val="000000"/>
          <w:sz w:val="22"/>
        </w:rPr>
        <w:t>UNIVERSAL HEALTH SERVICES OF RANCHO SPRINGS,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ABS LINCS SC, INC.</w:t>
      </w:r>
    </w:p>
    <w:p>
      <w:pPr>
        <w:pStyle w:val="TextBody"/>
        <w:bidi w:val="0"/>
        <w:jc w:val="left"/>
        <w:rPr>
          <w:rFonts w:ascii="Times New Roman" w:hAnsi="Times New Roman"/>
          <w:color w:val="000000"/>
          <w:sz w:val="22"/>
        </w:rPr>
      </w:pPr>
      <w:r>
        <w:rPr>
          <w:rFonts w:ascii="Times New Roman" w:hAnsi="Times New Roman"/>
          <w:color w:val="000000"/>
          <w:sz w:val="22"/>
        </w:rPr>
        <w:t>ALLIANCE HEALTH CENTER, INC.</w:t>
      </w:r>
    </w:p>
    <w:p>
      <w:pPr>
        <w:pStyle w:val="TextBody"/>
        <w:bidi w:val="0"/>
        <w:jc w:val="left"/>
        <w:rPr>
          <w:rFonts w:ascii="Times New Roman" w:hAnsi="Times New Roman"/>
          <w:sz w:val="20"/>
        </w:rPr>
      </w:pPr>
      <w:r>
        <w:rPr>
          <w:rFonts w:ascii="Times New Roman" w:hAnsi="Times New Roman"/>
          <w:color w:val="000000"/>
          <w:sz w:val="22"/>
        </w:rPr>
        <w:t>ALTERNATIVE BEHAVIORAL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ASCEND HEALTH CORPORATION</w:t>
      </w:r>
    </w:p>
    <w:p>
      <w:pPr>
        <w:pStyle w:val="TextBody"/>
        <w:bidi w:val="0"/>
        <w:jc w:val="left"/>
        <w:rPr>
          <w:rFonts w:ascii="Times New Roman" w:hAnsi="Times New Roman"/>
          <w:color w:val="000000"/>
          <w:sz w:val="22"/>
        </w:rPr>
      </w:pPr>
      <w:r>
        <w:rPr>
          <w:rFonts w:ascii="Times New Roman" w:hAnsi="Times New Roman"/>
          <w:color w:val="000000"/>
          <w:sz w:val="22"/>
        </w:rPr>
        <w:t>BENCHMARK BEHAVIORAL HEALTH SYSTEM, INC.</w:t>
      </w:r>
    </w:p>
    <w:p>
      <w:pPr>
        <w:pStyle w:val="TextBody"/>
        <w:bidi w:val="0"/>
        <w:jc w:val="left"/>
        <w:rPr>
          <w:rFonts w:ascii="Times New Roman" w:hAnsi="Times New Roman"/>
          <w:color w:val="000000"/>
          <w:sz w:val="22"/>
        </w:rPr>
      </w:pPr>
      <w:r>
        <w:rPr>
          <w:rFonts w:ascii="Times New Roman" w:hAnsi="Times New Roman"/>
          <w:color w:val="000000"/>
          <w:sz w:val="22"/>
        </w:rPr>
        <w:t>BHC ALHAMBRA HOSPITAL, INC.</w:t>
      </w:r>
    </w:p>
    <w:p>
      <w:pPr>
        <w:pStyle w:val="TextBody"/>
        <w:bidi w:val="0"/>
        <w:jc w:val="left"/>
        <w:rPr>
          <w:rFonts w:ascii="Times New Roman" w:hAnsi="Times New Roman"/>
          <w:color w:val="000000"/>
          <w:sz w:val="22"/>
        </w:rPr>
      </w:pPr>
      <w:r>
        <w:rPr>
          <w:rFonts w:ascii="Times New Roman" w:hAnsi="Times New Roman"/>
          <w:color w:val="000000"/>
          <w:sz w:val="22"/>
        </w:rPr>
        <w:t>BHC BELMONT PINES HOSPITAL, INC.</w:t>
      </w:r>
    </w:p>
    <w:p>
      <w:pPr>
        <w:pStyle w:val="TextBody"/>
        <w:bidi w:val="0"/>
        <w:jc w:val="left"/>
        <w:rPr>
          <w:rFonts w:ascii="Times New Roman" w:hAnsi="Times New Roman"/>
          <w:color w:val="000000"/>
          <w:sz w:val="22"/>
        </w:rPr>
      </w:pPr>
      <w:r>
        <w:rPr>
          <w:rFonts w:ascii="Times New Roman" w:hAnsi="Times New Roman"/>
          <w:color w:val="000000"/>
          <w:sz w:val="22"/>
        </w:rPr>
        <w:t>BHC FAIRFAX HOSPITAL, INC.</w:t>
      </w:r>
    </w:p>
    <w:p>
      <w:pPr>
        <w:pStyle w:val="TextBody"/>
        <w:bidi w:val="0"/>
        <w:jc w:val="left"/>
        <w:rPr>
          <w:rFonts w:ascii="Times New Roman" w:hAnsi="Times New Roman"/>
          <w:color w:val="000000"/>
          <w:sz w:val="22"/>
        </w:rPr>
      </w:pPr>
      <w:r>
        <w:rPr>
          <w:rFonts w:ascii="Times New Roman" w:hAnsi="Times New Roman"/>
          <w:color w:val="000000"/>
          <w:sz w:val="22"/>
        </w:rPr>
        <w:t>BHC FOX RUN HOSPITAL, INC.</w:t>
      </w:r>
    </w:p>
    <w:p>
      <w:pPr>
        <w:pStyle w:val="TextBody"/>
        <w:bidi w:val="0"/>
        <w:jc w:val="left"/>
        <w:rPr>
          <w:rFonts w:ascii="Times New Roman" w:hAnsi="Times New Roman"/>
          <w:color w:val="000000"/>
          <w:sz w:val="22"/>
        </w:rPr>
      </w:pPr>
      <w:r>
        <w:rPr>
          <w:rFonts w:ascii="Times New Roman" w:hAnsi="Times New Roman"/>
          <w:color w:val="000000"/>
          <w:sz w:val="22"/>
        </w:rPr>
        <w:t>BHC FREMONT HOSPITAL, INC.</w:t>
      </w:r>
    </w:p>
    <w:p>
      <w:pPr>
        <w:pStyle w:val="TextBody"/>
        <w:bidi w:val="0"/>
        <w:jc w:val="left"/>
        <w:rPr>
          <w:rFonts w:ascii="Times New Roman" w:hAnsi="Times New Roman"/>
          <w:color w:val="000000"/>
          <w:sz w:val="22"/>
        </w:rPr>
      </w:pPr>
      <w:r>
        <w:rPr>
          <w:rFonts w:ascii="Times New Roman" w:hAnsi="Times New Roman"/>
          <w:color w:val="000000"/>
          <w:sz w:val="22"/>
        </w:rPr>
        <w:t>BHC HEALTH SERVICES OF NEVADA, INC.</w:t>
      </w:r>
    </w:p>
    <w:p>
      <w:pPr>
        <w:pStyle w:val="TextBody"/>
        <w:bidi w:val="0"/>
        <w:jc w:val="left"/>
        <w:rPr>
          <w:rFonts w:ascii="Times New Roman" w:hAnsi="Times New Roman"/>
          <w:color w:val="000000"/>
          <w:sz w:val="22"/>
        </w:rPr>
      </w:pPr>
      <w:r>
        <w:rPr>
          <w:rFonts w:ascii="Times New Roman" w:hAnsi="Times New Roman"/>
          <w:color w:val="000000"/>
          <w:sz w:val="22"/>
        </w:rPr>
        <w:t>BHC HERITAGE OAKS HOSPITAL, INC.</w:t>
      </w:r>
    </w:p>
    <w:p>
      <w:pPr>
        <w:pStyle w:val="TextBody"/>
        <w:bidi w:val="0"/>
        <w:jc w:val="left"/>
        <w:rPr>
          <w:rFonts w:ascii="Times New Roman" w:hAnsi="Times New Roman"/>
          <w:color w:val="000000"/>
          <w:sz w:val="22"/>
        </w:rPr>
      </w:pPr>
      <w:r>
        <w:rPr>
          <w:rFonts w:ascii="Times New Roman" w:hAnsi="Times New Roman"/>
          <w:color w:val="000000"/>
          <w:sz w:val="22"/>
        </w:rPr>
        <w:t>BHC HOLDINGS, INC.</w:t>
      </w:r>
    </w:p>
    <w:p>
      <w:pPr>
        <w:pStyle w:val="TextBody"/>
        <w:bidi w:val="0"/>
        <w:jc w:val="left"/>
        <w:rPr>
          <w:rFonts w:ascii="Times New Roman" w:hAnsi="Times New Roman"/>
          <w:color w:val="000000"/>
          <w:sz w:val="22"/>
        </w:rPr>
      </w:pPr>
      <w:r>
        <w:rPr>
          <w:rFonts w:ascii="Times New Roman" w:hAnsi="Times New Roman"/>
          <w:color w:val="000000"/>
          <w:sz w:val="22"/>
        </w:rPr>
        <w:t>BHC INTERMOUNTAIN HOSPITAL, INC.</w:t>
      </w:r>
    </w:p>
    <w:p>
      <w:pPr>
        <w:pStyle w:val="TextBody"/>
        <w:bidi w:val="0"/>
        <w:jc w:val="left"/>
        <w:rPr>
          <w:rFonts w:ascii="Times New Roman" w:hAnsi="Times New Roman"/>
          <w:color w:val="000000"/>
          <w:sz w:val="22"/>
        </w:rPr>
      </w:pPr>
      <w:r>
        <w:rPr>
          <w:rFonts w:ascii="Times New Roman" w:hAnsi="Times New Roman"/>
          <w:color w:val="000000"/>
          <w:sz w:val="22"/>
        </w:rPr>
        <w:t>BHC MONTEVISTA HOSPITAL, INC.</w:t>
      </w:r>
    </w:p>
    <w:p>
      <w:pPr>
        <w:pStyle w:val="TextBody"/>
        <w:bidi w:val="0"/>
        <w:jc w:val="left"/>
        <w:rPr>
          <w:rFonts w:ascii="Times New Roman" w:hAnsi="Times New Roman"/>
          <w:color w:val="000000"/>
          <w:sz w:val="22"/>
        </w:rPr>
      </w:pPr>
      <w:r>
        <w:rPr>
          <w:rFonts w:ascii="Times New Roman" w:hAnsi="Times New Roman"/>
          <w:color w:val="000000"/>
          <w:sz w:val="22"/>
        </w:rPr>
        <w:t>BHC SIERRA VISTA HOSPITAL, INC.</w:t>
      </w:r>
    </w:p>
    <w:p>
      <w:pPr>
        <w:pStyle w:val="TextBody"/>
        <w:bidi w:val="0"/>
        <w:jc w:val="left"/>
        <w:rPr>
          <w:rFonts w:ascii="Times New Roman" w:hAnsi="Times New Roman"/>
          <w:color w:val="000000"/>
          <w:sz w:val="22"/>
        </w:rPr>
      </w:pPr>
      <w:r>
        <w:rPr>
          <w:rFonts w:ascii="Times New Roman" w:hAnsi="Times New Roman"/>
          <w:color w:val="000000"/>
          <w:sz w:val="22"/>
        </w:rPr>
        <w:t>BHC STREAMWOOD HOSPITAL, INC.</w:t>
      </w:r>
    </w:p>
    <w:p>
      <w:pPr>
        <w:pStyle w:val="TextBody"/>
        <w:bidi w:val="0"/>
        <w:jc w:val="left"/>
        <w:rPr>
          <w:rFonts w:ascii="Times New Roman" w:hAnsi="Times New Roman"/>
          <w:color w:val="000000"/>
          <w:sz w:val="22"/>
        </w:rPr>
      </w:pPr>
      <w:r>
        <w:rPr>
          <w:rFonts w:ascii="Times New Roman" w:hAnsi="Times New Roman"/>
          <w:color w:val="000000"/>
          <w:sz w:val="22"/>
        </w:rPr>
        <w:t>BRENTWOOD ACQUISITION, INC.</w:t>
      </w:r>
    </w:p>
    <w:p>
      <w:pPr>
        <w:pStyle w:val="TextBody"/>
        <w:bidi w:val="0"/>
        <w:jc w:val="left"/>
        <w:rPr>
          <w:rFonts w:ascii="Times New Roman" w:hAnsi="Times New Roman"/>
          <w:sz w:val="20"/>
        </w:rPr>
      </w:pPr>
      <w:r>
        <w:rPr>
          <w:rFonts w:ascii="Times New Roman" w:hAnsi="Times New Roman"/>
          <w:color w:val="000000"/>
          <w:sz w:val="22"/>
        </w:rPr>
        <w:t>BRENTWOOD ACQUISITION - SHREVEPORT,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BRYNN MARR HOSPITAL, INC.</w:t>
      </w:r>
    </w:p>
    <w:p>
      <w:pPr>
        <w:pStyle w:val="TextBody"/>
        <w:bidi w:val="0"/>
        <w:jc w:val="left"/>
        <w:rPr>
          <w:rFonts w:ascii="Times New Roman" w:hAnsi="Times New Roman"/>
          <w:color w:val="000000"/>
          <w:sz w:val="22"/>
        </w:rPr>
      </w:pPr>
      <w:r>
        <w:rPr>
          <w:rFonts w:ascii="Times New Roman" w:hAnsi="Times New Roman"/>
          <w:color w:val="000000"/>
          <w:sz w:val="22"/>
        </w:rPr>
        <w:t>CALVARY CENTER, INC.</w:t>
      </w:r>
    </w:p>
    <w:p>
      <w:pPr>
        <w:pStyle w:val="TextBody"/>
        <w:bidi w:val="0"/>
        <w:jc w:val="left"/>
        <w:rPr>
          <w:rFonts w:ascii="Times New Roman" w:hAnsi="Times New Roman"/>
          <w:color w:val="000000"/>
          <w:sz w:val="22"/>
        </w:rPr>
      </w:pPr>
      <w:r>
        <w:rPr>
          <w:rFonts w:ascii="Times New Roman" w:hAnsi="Times New Roman"/>
          <w:color w:val="000000"/>
          <w:sz w:val="22"/>
        </w:rPr>
        <w:t>CANYON RIDGE HOSPITAL, INC.</w:t>
      </w:r>
    </w:p>
    <w:p>
      <w:pPr>
        <w:pStyle w:val="TextBody"/>
        <w:bidi w:val="0"/>
        <w:jc w:val="left"/>
        <w:rPr>
          <w:rFonts w:ascii="Times New Roman" w:hAnsi="Times New Roman"/>
          <w:color w:val="000000"/>
          <w:sz w:val="22"/>
        </w:rPr>
      </w:pPr>
      <w:r>
        <w:rPr>
          <w:rFonts w:ascii="Times New Roman" w:hAnsi="Times New Roman"/>
          <w:color w:val="000000"/>
          <w:sz w:val="22"/>
        </w:rPr>
        <w:t>CCS/LANSING, INC.</w:t>
      </w:r>
    </w:p>
    <w:p>
      <w:pPr>
        <w:pStyle w:val="TextBody"/>
        <w:bidi w:val="0"/>
        <w:jc w:val="left"/>
        <w:rPr>
          <w:rFonts w:ascii="Times New Roman" w:hAnsi="Times New Roman"/>
          <w:color w:val="000000"/>
          <w:sz w:val="22"/>
        </w:rPr>
      </w:pPr>
      <w:r>
        <w:rPr>
          <w:rFonts w:ascii="Times New Roman" w:hAnsi="Times New Roman"/>
          <w:color w:val="000000"/>
          <w:sz w:val="22"/>
        </w:rPr>
        <w:t>CEDAR SPRINGS HOSPITAL, INC.</w:t>
      </w:r>
    </w:p>
    <w:p>
      <w:pPr>
        <w:pStyle w:val="TextBody"/>
        <w:bidi w:val="0"/>
        <w:jc w:val="left"/>
        <w:rPr>
          <w:rFonts w:ascii="Times New Roman" w:hAnsi="Times New Roman"/>
          <w:color w:val="000000"/>
          <w:sz w:val="22"/>
        </w:rPr>
      </w:pPr>
      <w:r>
        <w:rPr>
          <w:rFonts w:ascii="Times New Roman" w:hAnsi="Times New Roman"/>
          <w:color w:val="000000"/>
          <w:sz w:val="22"/>
        </w:rPr>
        <w:t>CHILDREN’S COMPREHENSIVE SERVICES, INC.</w:t>
      </w:r>
    </w:p>
    <w:p>
      <w:pPr>
        <w:pStyle w:val="TextBody"/>
        <w:bidi w:val="0"/>
        <w:jc w:val="left"/>
        <w:rPr>
          <w:rFonts w:ascii="Times New Roman" w:hAnsi="Times New Roman"/>
          <w:color w:val="000000"/>
          <w:sz w:val="22"/>
        </w:rPr>
      </w:pPr>
      <w:r>
        <w:rPr>
          <w:rFonts w:ascii="Times New Roman" w:hAnsi="Times New Roman"/>
          <w:color w:val="000000"/>
          <w:sz w:val="22"/>
        </w:rPr>
        <w:t>DEL AMO HOSPITAL, INC.</w:t>
      </w:r>
    </w:p>
    <w:p>
      <w:pPr>
        <w:pStyle w:val="TextBody"/>
        <w:bidi w:val="0"/>
        <w:jc w:val="left"/>
        <w:rPr>
          <w:rFonts w:ascii="Times New Roman" w:hAnsi="Times New Roman"/>
          <w:color w:val="000000"/>
          <w:sz w:val="22"/>
        </w:rPr>
      </w:pPr>
      <w:r>
        <w:rPr>
          <w:rFonts w:ascii="Times New Roman" w:hAnsi="Times New Roman"/>
          <w:color w:val="000000"/>
          <w:sz w:val="22"/>
        </w:rPr>
        <w:t>FIRST HOSPITAL CORPORATION OF VIRGINIA BEACH</w:t>
      </w:r>
    </w:p>
    <w:p>
      <w:pPr>
        <w:pStyle w:val="TextBody"/>
        <w:bidi w:val="0"/>
        <w:jc w:val="left"/>
        <w:rPr>
          <w:rFonts w:ascii="Times New Roman" w:hAnsi="Times New Roman"/>
          <w:color w:val="000000"/>
          <w:sz w:val="22"/>
        </w:rPr>
      </w:pPr>
      <w:r>
        <w:rPr>
          <w:rFonts w:ascii="Times New Roman" w:hAnsi="Times New Roman"/>
          <w:color w:val="000000"/>
          <w:sz w:val="22"/>
        </w:rPr>
        <w:t>FORT LAUDERDALE HOSPITAL, INC.</w:t>
      </w:r>
    </w:p>
    <w:p>
      <w:pPr>
        <w:pStyle w:val="TextBody"/>
        <w:bidi w:val="0"/>
        <w:jc w:val="left"/>
        <w:rPr>
          <w:rFonts w:ascii="Times New Roman" w:hAnsi="Times New Roman"/>
          <w:color w:val="000000"/>
          <w:sz w:val="22"/>
        </w:rPr>
      </w:pPr>
      <w:r>
        <w:rPr>
          <w:rFonts w:ascii="Times New Roman" w:hAnsi="Times New Roman"/>
          <w:color w:val="000000"/>
          <w:sz w:val="22"/>
        </w:rPr>
        <w:t>FRN, INC.</w:t>
      </w:r>
    </w:p>
    <w:p>
      <w:pPr>
        <w:pStyle w:val="TextBody"/>
        <w:bidi w:val="0"/>
        <w:jc w:val="left"/>
        <w:rPr>
          <w:rFonts w:ascii="Times New Roman" w:hAnsi="Times New Roman"/>
          <w:color w:val="000000"/>
          <w:sz w:val="22"/>
        </w:rPr>
      </w:pPr>
      <w:r>
        <w:rPr>
          <w:rFonts w:ascii="Times New Roman" w:hAnsi="Times New Roman"/>
          <w:color w:val="000000"/>
          <w:sz w:val="22"/>
        </w:rPr>
        <w:t>FRONTLINE BEHAVIORAL HEALTH, INC.</w:t>
      </w:r>
    </w:p>
    <w:p>
      <w:pPr>
        <w:pStyle w:val="TextBody"/>
        <w:bidi w:val="0"/>
        <w:jc w:val="left"/>
        <w:rPr>
          <w:rFonts w:ascii="Times New Roman" w:hAnsi="Times New Roman"/>
          <w:color w:val="000000"/>
          <w:sz w:val="22"/>
        </w:rPr>
      </w:pPr>
      <w:r>
        <w:rPr>
          <w:rFonts w:ascii="Times New Roman" w:hAnsi="Times New Roman"/>
          <w:color w:val="000000"/>
          <w:sz w:val="22"/>
        </w:rPr>
        <w:t>GREAT PLAINS HOSPITAL, INC.</w:t>
      </w:r>
    </w:p>
    <w:p>
      <w:pPr>
        <w:pStyle w:val="TextBody"/>
        <w:bidi w:val="0"/>
        <w:jc w:val="left"/>
        <w:rPr>
          <w:rFonts w:ascii="Times New Roman" w:hAnsi="Times New Roman"/>
          <w:color w:val="000000"/>
          <w:sz w:val="22"/>
        </w:rPr>
      </w:pPr>
      <w:r>
        <w:rPr>
          <w:rFonts w:ascii="Times New Roman" w:hAnsi="Times New Roman"/>
          <w:color w:val="000000"/>
          <w:sz w:val="22"/>
        </w:rPr>
        <w:t>GULF COAST TREATMENT CENTER, INC.</w:t>
      </w:r>
    </w:p>
    <w:p>
      <w:pPr>
        <w:pStyle w:val="TextBody"/>
        <w:bidi w:val="0"/>
        <w:jc w:val="left"/>
        <w:rPr>
          <w:rFonts w:ascii="Times New Roman" w:hAnsi="Times New Roman"/>
          <w:color w:val="000000"/>
          <w:sz w:val="22"/>
        </w:rPr>
      </w:pPr>
      <w:r>
        <w:rPr>
          <w:rFonts w:ascii="Times New Roman" w:hAnsi="Times New Roman"/>
          <w:color w:val="000000"/>
          <w:sz w:val="22"/>
        </w:rPr>
        <w:t>H. C. CORPORATION</w:t>
      </w:r>
    </w:p>
    <w:p>
      <w:pPr>
        <w:pStyle w:val="TextBody"/>
        <w:bidi w:val="0"/>
        <w:jc w:val="left"/>
        <w:rPr>
          <w:rFonts w:ascii="Times New Roman" w:hAnsi="Times New Roman"/>
          <w:color w:val="000000"/>
          <w:sz w:val="22"/>
        </w:rPr>
      </w:pPr>
      <w:r>
        <w:rPr>
          <w:rFonts w:ascii="Times New Roman" w:hAnsi="Times New Roman"/>
          <w:color w:val="000000"/>
          <w:sz w:val="22"/>
        </w:rPr>
        <w:t>HARBOR POINT BEHAVIORAL HEALTH CENTER, INC.</w:t>
      </w:r>
    </w:p>
    <w:p>
      <w:pPr>
        <w:pStyle w:val="TextBody"/>
        <w:bidi w:val="0"/>
        <w:jc w:val="left"/>
        <w:rPr>
          <w:rFonts w:ascii="Times New Roman" w:hAnsi="Times New Roman"/>
          <w:color w:val="000000"/>
          <w:sz w:val="22"/>
        </w:rPr>
      </w:pPr>
      <w:r>
        <w:rPr>
          <w:rFonts w:ascii="Times New Roman" w:hAnsi="Times New Roman"/>
          <w:color w:val="000000"/>
          <w:sz w:val="22"/>
        </w:rPr>
        <w:t>HAVENWYCK HOSPITAL INC.</w:t>
      </w:r>
    </w:p>
    <w:p>
      <w:pPr>
        <w:pStyle w:val="TextBody"/>
        <w:bidi w:val="0"/>
        <w:jc w:val="left"/>
        <w:rPr>
          <w:rFonts w:ascii="Times New Roman" w:hAnsi="Times New Roman"/>
          <w:color w:val="000000"/>
          <w:sz w:val="22"/>
        </w:rPr>
      </w:pPr>
      <w:r>
        <w:rPr>
          <w:rFonts w:ascii="Times New Roman" w:hAnsi="Times New Roman"/>
          <w:color w:val="000000"/>
          <w:sz w:val="22"/>
        </w:rPr>
        <w:t>HHC AUGUSTA, INC.</w:t>
      </w:r>
    </w:p>
    <w:p>
      <w:pPr>
        <w:pStyle w:val="TextBody"/>
        <w:bidi w:val="0"/>
        <w:jc w:val="left"/>
        <w:rPr>
          <w:rFonts w:ascii="Times New Roman" w:hAnsi="Times New Roman"/>
          <w:color w:val="000000"/>
          <w:sz w:val="22"/>
        </w:rPr>
      </w:pPr>
      <w:r>
        <w:rPr>
          <w:rFonts w:ascii="Times New Roman" w:hAnsi="Times New Roman"/>
          <w:color w:val="000000"/>
          <w:sz w:val="22"/>
        </w:rPr>
        <w:t>HHC DELAWARE, INC.</w:t>
      </w:r>
    </w:p>
    <w:p>
      <w:pPr>
        <w:pStyle w:val="TextBody"/>
        <w:bidi w:val="0"/>
        <w:jc w:val="left"/>
        <w:rPr>
          <w:rFonts w:ascii="Times New Roman" w:hAnsi="Times New Roman"/>
          <w:color w:val="000000"/>
          <w:sz w:val="22"/>
        </w:rPr>
      </w:pPr>
      <w:r>
        <w:rPr>
          <w:rFonts w:ascii="Times New Roman" w:hAnsi="Times New Roman"/>
          <w:color w:val="000000"/>
          <w:sz w:val="22"/>
        </w:rPr>
        <w:t>HHC INDIANA, INC.</w:t>
      </w:r>
    </w:p>
    <w:p>
      <w:pPr>
        <w:pStyle w:val="TextBody"/>
        <w:bidi w:val="0"/>
        <w:jc w:val="left"/>
        <w:rPr>
          <w:rFonts w:ascii="Times New Roman" w:hAnsi="Times New Roman"/>
          <w:color w:val="000000"/>
          <w:sz w:val="22"/>
        </w:rPr>
      </w:pPr>
      <w:r>
        <w:rPr>
          <w:rFonts w:ascii="Times New Roman" w:hAnsi="Times New Roman"/>
          <w:color w:val="000000"/>
          <w:sz w:val="22"/>
        </w:rPr>
        <w:t>HHC OHIO, INC.</w:t>
      </w:r>
    </w:p>
    <w:p>
      <w:pPr>
        <w:pStyle w:val="TextBody"/>
        <w:bidi w:val="0"/>
        <w:jc w:val="left"/>
        <w:rPr>
          <w:rFonts w:ascii="Times New Roman" w:hAnsi="Times New Roman"/>
          <w:color w:val="000000"/>
          <w:sz w:val="22"/>
        </w:rPr>
      </w:pPr>
      <w:r>
        <w:rPr>
          <w:rFonts w:ascii="Times New Roman" w:hAnsi="Times New Roman"/>
          <w:color w:val="000000"/>
          <w:sz w:val="22"/>
        </w:rPr>
        <w:t>HHC RIVER PARK, INC.</w:t>
      </w:r>
    </w:p>
    <w:p>
      <w:pPr>
        <w:pStyle w:val="TextBody"/>
        <w:bidi w:val="0"/>
        <w:jc w:val="left"/>
        <w:rPr>
          <w:rFonts w:ascii="Times New Roman" w:hAnsi="Times New Roman"/>
          <w:color w:val="000000"/>
          <w:sz w:val="22"/>
        </w:rPr>
      </w:pPr>
      <w:r>
        <w:rPr>
          <w:rFonts w:ascii="Times New Roman" w:hAnsi="Times New Roman"/>
          <w:color w:val="000000"/>
          <w:sz w:val="22"/>
        </w:rPr>
        <w:t>HHC SOUTH CAROLINA, INC.</w:t>
      </w:r>
    </w:p>
    <w:p>
      <w:pPr>
        <w:pStyle w:val="TextBody"/>
        <w:bidi w:val="0"/>
        <w:jc w:val="left"/>
        <w:rPr>
          <w:rFonts w:ascii="Times New Roman" w:hAnsi="Times New Roman"/>
          <w:color w:val="000000"/>
          <w:sz w:val="22"/>
        </w:rPr>
      </w:pPr>
      <w:r>
        <w:rPr>
          <w:rFonts w:ascii="Times New Roman" w:hAnsi="Times New Roman"/>
          <w:color w:val="000000"/>
          <w:sz w:val="22"/>
        </w:rPr>
        <w:t>HHC ST. SIMONS, INC.</w:t>
      </w:r>
    </w:p>
    <w:p>
      <w:pPr>
        <w:pStyle w:val="TextBody"/>
        <w:bidi w:val="0"/>
        <w:jc w:val="left"/>
        <w:rPr>
          <w:rFonts w:ascii="Times New Roman" w:hAnsi="Times New Roman"/>
          <w:color w:val="000000"/>
          <w:sz w:val="22"/>
        </w:rPr>
      </w:pPr>
      <w:r>
        <w:rPr>
          <w:rFonts w:ascii="Times New Roman" w:hAnsi="Times New Roman"/>
          <w:color w:val="000000"/>
          <w:sz w:val="22"/>
        </w:rPr>
        <w:t>HORIZON HEALTH AUSTIN, INC.</w:t>
      </w:r>
    </w:p>
    <w:p>
      <w:pPr>
        <w:pStyle w:val="TextBody"/>
        <w:bidi w:val="0"/>
        <w:jc w:val="left"/>
        <w:rPr>
          <w:rFonts w:ascii="Times New Roman" w:hAnsi="Times New Roman"/>
          <w:sz w:val="20"/>
        </w:rPr>
      </w:pPr>
      <w:r>
        <w:rPr>
          <w:rFonts w:ascii="Times New Roman" w:hAnsi="Times New Roman"/>
          <w:color w:val="000000"/>
          <w:sz w:val="22"/>
        </w:rPr>
        <w:t>HORIZON HEALTH CORPORATION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HSA HILL CREST CORPORATION</w:t>
      </w:r>
    </w:p>
    <w:p>
      <w:pPr>
        <w:pStyle w:val="TextBody"/>
        <w:bidi w:val="0"/>
        <w:jc w:val="left"/>
        <w:rPr>
          <w:rFonts w:ascii="Times New Roman" w:hAnsi="Times New Roman"/>
          <w:color w:val="000000"/>
          <w:sz w:val="22"/>
        </w:rPr>
      </w:pPr>
      <w:r>
        <w:rPr>
          <w:rFonts w:ascii="Times New Roman" w:hAnsi="Times New Roman"/>
          <w:color w:val="000000"/>
          <w:sz w:val="22"/>
        </w:rPr>
        <w:t>KIDS BEHAVIORAL HEALTH OF UTAH, INC.</w:t>
      </w:r>
    </w:p>
    <w:p>
      <w:pPr>
        <w:pStyle w:val="TextBody"/>
        <w:bidi w:val="0"/>
        <w:jc w:val="left"/>
        <w:rPr>
          <w:rFonts w:ascii="Times New Roman" w:hAnsi="Times New Roman"/>
          <w:sz w:val="20"/>
        </w:rPr>
      </w:pPr>
      <w:r>
        <w:rPr>
          <w:rFonts w:ascii="Times New Roman" w:hAnsi="Times New Roman"/>
          <w:color w:val="000000"/>
          <w:sz w:val="22"/>
        </w:rPr>
        <w:t>LAUREL OAKS BEHAVIORAL HEALTH CENTER,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MERIDELL ACHIEVEMENT CENTER, INC.</w:t>
      </w:r>
    </w:p>
    <w:p>
      <w:pPr>
        <w:pStyle w:val="TextBody"/>
        <w:bidi w:val="0"/>
        <w:jc w:val="left"/>
        <w:rPr>
          <w:rFonts w:ascii="Times New Roman" w:hAnsi="Times New Roman"/>
          <w:color w:val="000000"/>
          <w:sz w:val="22"/>
        </w:rPr>
      </w:pPr>
      <w:r>
        <w:rPr>
          <w:rFonts w:ascii="Times New Roman" w:hAnsi="Times New Roman"/>
          <w:color w:val="000000"/>
          <w:sz w:val="22"/>
        </w:rPr>
        <w:t>MICHIGAN PSYCHIATRIC SERVICES, INC.</w:t>
      </w:r>
    </w:p>
    <w:p>
      <w:pPr>
        <w:pStyle w:val="TextBody"/>
        <w:bidi w:val="0"/>
        <w:jc w:val="left"/>
        <w:rPr>
          <w:rFonts w:ascii="Times New Roman" w:hAnsi="Times New Roman"/>
          <w:sz w:val="20"/>
        </w:rPr>
      </w:pPr>
      <w:r>
        <w:rPr>
          <w:rFonts w:ascii="Times New Roman" w:hAnsi="Times New Roman"/>
          <w:color w:val="000000"/>
          <w:sz w:val="22"/>
        </w:rPr>
        <w:t>NORTH SPRING BEHAVIORAL HEALTHCARE,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OAK PLAINS ACADEMY OF TENNESSEE, INC.</w:t>
      </w:r>
    </w:p>
    <w:p>
      <w:pPr>
        <w:pStyle w:val="TextBody"/>
        <w:bidi w:val="0"/>
        <w:jc w:val="left"/>
        <w:rPr>
          <w:rFonts w:ascii="Times New Roman" w:hAnsi="Times New Roman"/>
          <w:color w:val="000000"/>
          <w:sz w:val="22"/>
        </w:rPr>
      </w:pPr>
      <w:r>
        <w:rPr>
          <w:rFonts w:ascii="Times New Roman" w:hAnsi="Times New Roman"/>
          <w:color w:val="000000"/>
          <w:sz w:val="22"/>
        </w:rPr>
        <w:t>PARK HEALTHCARE COMPANY</w:t>
      </w:r>
    </w:p>
    <w:p>
      <w:pPr>
        <w:pStyle w:val="TextBody"/>
        <w:bidi w:val="0"/>
        <w:jc w:val="left"/>
        <w:rPr>
          <w:rFonts w:ascii="Times New Roman" w:hAnsi="Times New Roman"/>
          <w:color w:val="000000"/>
          <w:sz w:val="22"/>
        </w:rPr>
      </w:pPr>
      <w:r>
        <w:rPr>
          <w:rFonts w:ascii="Times New Roman" w:hAnsi="Times New Roman"/>
          <w:color w:val="000000"/>
          <w:sz w:val="22"/>
        </w:rPr>
        <w:t>PENNSYLVANIA CLINICAL SCHOOLS, INC.</w:t>
      </w:r>
    </w:p>
    <w:p>
      <w:pPr>
        <w:pStyle w:val="TextBody"/>
        <w:bidi w:val="0"/>
        <w:jc w:val="left"/>
        <w:rPr>
          <w:rFonts w:ascii="Times New Roman" w:hAnsi="Times New Roman"/>
          <w:color w:val="000000"/>
          <w:sz w:val="22"/>
        </w:rPr>
      </w:pPr>
      <w:r>
        <w:rPr>
          <w:rFonts w:ascii="Times New Roman" w:hAnsi="Times New Roman"/>
          <w:color w:val="000000"/>
          <w:sz w:val="22"/>
        </w:rPr>
        <w:t>PREMIER BEHAVIORAL SOLUTIONS, INC.</w:t>
      </w:r>
    </w:p>
    <w:p>
      <w:pPr>
        <w:pStyle w:val="TextBody"/>
        <w:bidi w:val="0"/>
        <w:jc w:val="left"/>
        <w:rPr>
          <w:rFonts w:ascii="Times New Roman" w:hAnsi="Times New Roman"/>
          <w:sz w:val="20"/>
        </w:rPr>
      </w:pPr>
      <w:r>
        <w:rPr>
          <w:rFonts w:ascii="Times New Roman" w:hAnsi="Times New Roman"/>
          <w:color w:val="000000"/>
          <w:sz w:val="22"/>
        </w:rPr>
        <w:t>PREMIER BEHAVIORAL SOLUTIONS OF FLORIDA,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PSYCHIATRIC SOLUTIONS, INC.</w:t>
      </w:r>
    </w:p>
    <w:p>
      <w:pPr>
        <w:pStyle w:val="TextBody"/>
        <w:bidi w:val="0"/>
        <w:jc w:val="left"/>
        <w:rPr>
          <w:rFonts w:ascii="Times New Roman" w:hAnsi="Times New Roman"/>
          <w:color w:val="000000"/>
          <w:sz w:val="22"/>
        </w:rPr>
      </w:pPr>
      <w:r>
        <w:rPr>
          <w:rFonts w:ascii="Times New Roman" w:hAnsi="Times New Roman"/>
          <w:color w:val="000000"/>
          <w:sz w:val="22"/>
        </w:rPr>
        <w:t>PSYCHIATRIC SOLUTIONS OF VIRGINIA, INC.</w:t>
      </w:r>
    </w:p>
    <w:p>
      <w:pPr>
        <w:pStyle w:val="TextBody"/>
        <w:bidi w:val="0"/>
        <w:jc w:val="left"/>
        <w:rPr>
          <w:rFonts w:ascii="Times New Roman" w:hAnsi="Times New Roman"/>
          <w:sz w:val="20"/>
        </w:rPr>
      </w:pPr>
      <w:r>
        <w:rPr>
          <w:rFonts w:ascii="Times New Roman" w:hAnsi="Times New Roman"/>
          <w:color w:val="000000"/>
          <w:sz w:val="22"/>
        </w:rPr>
        <w:t>RAMSAY YOUTH SERVICES OF GEORGIA,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RIVER OAKS, INC.</w:t>
      </w:r>
    </w:p>
    <w:p>
      <w:pPr>
        <w:pStyle w:val="TextBody"/>
        <w:bidi w:val="0"/>
        <w:jc w:val="left"/>
        <w:rPr>
          <w:rFonts w:ascii="Times New Roman" w:hAnsi="Times New Roman"/>
          <w:color w:val="000000"/>
          <w:sz w:val="22"/>
        </w:rPr>
      </w:pPr>
      <w:r>
        <w:rPr>
          <w:rFonts w:ascii="Times New Roman" w:hAnsi="Times New Roman"/>
          <w:color w:val="000000"/>
          <w:sz w:val="22"/>
        </w:rPr>
        <w:t>RIVEREDGE HOSPITAL HOLDINGS, INC.</w:t>
      </w:r>
    </w:p>
    <w:p>
      <w:pPr>
        <w:pStyle w:val="TextBody"/>
        <w:bidi w:val="0"/>
        <w:jc w:val="left"/>
        <w:rPr>
          <w:rFonts w:ascii="Times New Roman" w:hAnsi="Times New Roman"/>
          <w:color w:val="000000"/>
          <w:sz w:val="22"/>
        </w:rPr>
      </w:pPr>
      <w:r>
        <w:rPr>
          <w:rFonts w:ascii="Times New Roman" w:hAnsi="Times New Roman"/>
          <w:color w:val="000000"/>
          <w:sz w:val="22"/>
        </w:rPr>
        <w:t>SOUTHEASTERN HOSPITAL CORPORATION</w:t>
      </w:r>
    </w:p>
    <w:p>
      <w:pPr>
        <w:pStyle w:val="TextBody"/>
        <w:bidi w:val="0"/>
        <w:jc w:val="left"/>
        <w:rPr>
          <w:rFonts w:ascii="Times New Roman" w:hAnsi="Times New Roman"/>
          <w:color w:val="000000"/>
          <w:sz w:val="22"/>
        </w:rPr>
      </w:pPr>
      <w:r>
        <w:rPr>
          <w:rFonts w:ascii="Times New Roman" w:hAnsi="Times New Roman"/>
          <w:color w:val="000000"/>
          <w:sz w:val="22"/>
        </w:rPr>
        <w:t>SPRINGFIELD HOSPITAL, INC.</w:t>
      </w:r>
    </w:p>
    <w:p>
      <w:pPr>
        <w:pStyle w:val="TextBody"/>
        <w:bidi w:val="0"/>
        <w:jc w:val="left"/>
        <w:rPr>
          <w:rFonts w:ascii="Times New Roman" w:hAnsi="Times New Roman"/>
          <w:color w:val="000000"/>
          <w:sz w:val="22"/>
        </w:rPr>
      </w:pPr>
      <w:r>
        <w:rPr>
          <w:rFonts w:ascii="Times New Roman" w:hAnsi="Times New Roman"/>
          <w:color w:val="000000"/>
          <w:sz w:val="22"/>
        </w:rPr>
        <w:t>STONINGTON BEHAVIORAL HEALTH, INC.</w:t>
      </w:r>
    </w:p>
    <w:p>
      <w:pPr>
        <w:pStyle w:val="TextBody"/>
        <w:bidi w:val="0"/>
        <w:jc w:val="left"/>
        <w:rPr>
          <w:rFonts w:ascii="Times New Roman" w:hAnsi="Times New Roman"/>
          <w:color w:val="000000"/>
          <w:sz w:val="22"/>
        </w:rPr>
      </w:pPr>
      <w:r>
        <w:rPr>
          <w:rFonts w:ascii="Times New Roman" w:hAnsi="Times New Roman"/>
          <w:color w:val="000000"/>
          <w:sz w:val="22"/>
        </w:rPr>
        <w:t>SUMMIT OAKS HOSPITAL, INC.</w:t>
      </w:r>
    </w:p>
    <w:p>
      <w:pPr>
        <w:pStyle w:val="TextBody"/>
        <w:bidi w:val="0"/>
        <w:jc w:val="left"/>
        <w:rPr>
          <w:rFonts w:ascii="Times New Roman" w:hAnsi="Times New Roman"/>
          <w:color w:val="000000"/>
          <w:sz w:val="22"/>
        </w:rPr>
      </w:pPr>
      <w:r>
        <w:rPr>
          <w:rFonts w:ascii="Times New Roman" w:hAnsi="Times New Roman"/>
          <w:color w:val="000000"/>
          <w:sz w:val="22"/>
        </w:rPr>
        <w:t>TEMECULA VALLEY HOSPITAL, INC.</w:t>
      </w:r>
    </w:p>
    <w:p>
      <w:pPr>
        <w:pStyle w:val="TextBody"/>
        <w:bidi w:val="0"/>
        <w:jc w:val="left"/>
        <w:rPr>
          <w:rFonts w:ascii="Times New Roman" w:hAnsi="Times New Roman"/>
          <w:color w:val="000000"/>
          <w:sz w:val="22"/>
        </w:rPr>
      </w:pPr>
      <w:r>
        <w:rPr>
          <w:rFonts w:ascii="Times New Roman" w:hAnsi="Times New Roman"/>
          <w:color w:val="000000"/>
          <w:sz w:val="22"/>
        </w:rPr>
        <w:t>TEMPLE BEHAVIORAL HEALTHCARE HOSPITAL, INC.</w:t>
      </w:r>
    </w:p>
    <w:p>
      <w:pPr>
        <w:pStyle w:val="TextBody"/>
        <w:bidi w:val="0"/>
        <w:jc w:val="left"/>
        <w:rPr>
          <w:rFonts w:ascii="Times New Roman" w:hAnsi="Times New Roman"/>
          <w:color w:val="000000"/>
          <w:sz w:val="22"/>
        </w:rPr>
      </w:pPr>
      <w:r>
        <w:rPr>
          <w:rFonts w:ascii="Times New Roman" w:hAnsi="Times New Roman"/>
          <w:color w:val="000000"/>
          <w:sz w:val="22"/>
        </w:rPr>
        <w:t>TEXAS HOSPITAL HOLDINGS, INC.</w:t>
      </w:r>
    </w:p>
    <w:p>
      <w:pPr>
        <w:pStyle w:val="TextBody"/>
        <w:bidi w:val="0"/>
        <w:jc w:val="left"/>
        <w:rPr>
          <w:rFonts w:ascii="Times New Roman" w:hAnsi="Times New Roman"/>
          <w:color w:val="000000"/>
          <w:sz w:val="22"/>
        </w:rPr>
      </w:pPr>
      <w:r>
        <w:rPr>
          <w:rFonts w:ascii="Times New Roman" w:hAnsi="Times New Roman"/>
          <w:color w:val="000000"/>
          <w:sz w:val="22"/>
        </w:rPr>
        <w:t>THE ARBOUR, INC.</w:t>
      </w:r>
    </w:p>
    <w:p>
      <w:pPr>
        <w:pStyle w:val="TextBody"/>
        <w:bidi w:val="0"/>
        <w:jc w:val="left"/>
        <w:rPr>
          <w:rFonts w:ascii="Times New Roman" w:hAnsi="Times New Roman"/>
          <w:sz w:val="20"/>
        </w:rPr>
      </w:pPr>
      <w:r>
        <w:rPr>
          <w:rFonts w:ascii="Times New Roman" w:hAnsi="Times New Roman"/>
          <w:color w:val="000000"/>
          <w:sz w:val="22"/>
        </w:rPr>
        <w:t>TWO RIVERS PSYCHIATRIC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UHS CHILDREN SERVICES, INC.</w:t>
      </w:r>
    </w:p>
    <w:p>
      <w:pPr>
        <w:pStyle w:val="TextBody"/>
        <w:bidi w:val="0"/>
        <w:jc w:val="left"/>
        <w:rPr>
          <w:rFonts w:ascii="Times New Roman" w:hAnsi="Times New Roman"/>
          <w:color w:val="000000"/>
          <w:sz w:val="22"/>
        </w:rPr>
      </w:pPr>
      <w:r>
        <w:rPr>
          <w:rFonts w:ascii="Times New Roman" w:hAnsi="Times New Roman"/>
          <w:color w:val="000000"/>
          <w:sz w:val="22"/>
        </w:rPr>
        <w:t>UHS OF DENVER, INC.</w:t>
      </w:r>
    </w:p>
    <w:p>
      <w:pPr>
        <w:pStyle w:val="TextBody"/>
        <w:bidi w:val="0"/>
        <w:jc w:val="left"/>
        <w:rPr>
          <w:rFonts w:ascii="Times New Roman" w:hAnsi="Times New Roman"/>
          <w:sz w:val="20"/>
        </w:rPr>
      </w:pPr>
      <w:r>
        <w:rPr>
          <w:rFonts w:ascii="Times New Roman" w:hAnsi="Times New Roman"/>
          <w:color w:val="000000"/>
          <w:sz w:val="22"/>
        </w:rPr>
        <w:t>UHS OF FAIRMOUNT,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UHS OF FULLER, INC.</w:t>
      </w:r>
    </w:p>
    <w:p>
      <w:pPr>
        <w:pStyle w:val="TextBody"/>
        <w:bidi w:val="0"/>
        <w:jc w:val="left"/>
        <w:rPr>
          <w:rFonts w:ascii="Times New Roman" w:hAnsi="Times New Roman"/>
          <w:color w:val="000000"/>
          <w:sz w:val="22"/>
        </w:rPr>
      </w:pPr>
      <w:r>
        <w:rPr>
          <w:rFonts w:ascii="Times New Roman" w:hAnsi="Times New Roman"/>
          <w:color w:val="000000"/>
          <w:sz w:val="22"/>
        </w:rPr>
        <w:t>UHS OF GEORGIA, INC.</w:t>
      </w:r>
    </w:p>
    <w:p>
      <w:pPr>
        <w:pStyle w:val="TextBody"/>
        <w:bidi w:val="0"/>
        <w:jc w:val="left"/>
        <w:rPr>
          <w:rFonts w:ascii="Times New Roman" w:hAnsi="Times New Roman"/>
          <w:color w:val="000000"/>
          <w:sz w:val="22"/>
        </w:rPr>
      </w:pPr>
      <w:r>
        <w:rPr>
          <w:rFonts w:ascii="Times New Roman" w:hAnsi="Times New Roman"/>
          <w:color w:val="000000"/>
          <w:sz w:val="22"/>
        </w:rPr>
        <w:t>UHS OF GEORGIA HOLDINGS, INC.</w:t>
      </w:r>
    </w:p>
    <w:p>
      <w:pPr>
        <w:pStyle w:val="TextBody"/>
        <w:bidi w:val="0"/>
        <w:jc w:val="left"/>
        <w:rPr>
          <w:rFonts w:ascii="Times New Roman" w:hAnsi="Times New Roman"/>
          <w:color w:val="000000"/>
          <w:sz w:val="22"/>
        </w:rPr>
      </w:pPr>
      <w:r>
        <w:rPr>
          <w:rFonts w:ascii="Times New Roman" w:hAnsi="Times New Roman"/>
          <w:color w:val="000000"/>
          <w:sz w:val="22"/>
        </w:rPr>
        <w:t>UHS OF HAMPTON, INC.</w:t>
      </w:r>
    </w:p>
    <w:p>
      <w:pPr>
        <w:pStyle w:val="TextBody"/>
        <w:bidi w:val="0"/>
        <w:jc w:val="left"/>
        <w:rPr>
          <w:rFonts w:ascii="Times New Roman" w:hAnsi="Times New Roman"/>
          <w:color w:val="000000"/>
          <w:sz w:val="22"/>
        </w:rPr>
      </w:pPr>
      <w:r>
        <w:rPr>
          <w:rFonts w:ascii="Times New Roman" w:hAnsi="Times New Roman"/>
          <w:color w:val="000000"/>
          <w:sz w:val="22"/>
        </w:rPr>
        <w:t>UHS OF HARTGROVE, INC</w:t>
      </w:r>
    </w:p>
    <w:p>
      <w:pPr>
        <w:pStyle w:val="TextBody"/>
        <w:bidi w:val="0"/>
        <w:jc w:val="left"/>
        <w:rPr>
          <w:rFonts w:ascii="Times New Roman" w:hAnsi="Times New Roman"/>
          <w:color w:val="000000"/>
          <w:sz w:val="22"/>
        </w:rPr>
      </w:pPr>
      <w:r>
        <w:rPr>
          <w:rFonts w:ascii="Times New Roman" w:hAnsi="Times New Roman"/>
          <w:color w:val="000000"/>
          <w:sz w:val="22"/>
        </w:rPr>
        <w:t>UHS OF PARKWOOD, INC.</w:t>
      </w:r>
    </w:p>
    <w:p>
      <w:pPr>
        <w:pStyle w:val="TextBody"/>
        <w:bidi w:val="0"/>
        <w:jc w:val="left"/>
        <w:rPr>
          <w:rFonts w:ascii="Times New Roman" w:hAnsi="Times New Roman"/>
          <w:color w:val="000000"/>
          <w:sz w:val="22"/>
        </w:rPr>
      </w:pPr>
      <w:r>
        <w:rPr>
          <w:rFonts w:ascii="Times New Roman" w:hAnsi="Times New Roman"/>
          <w:color w:val="000000"/>
          <w:sz w:val="22"/>
        </w:rPr>
        <w:t>UHS OF PENNSYLVANIA, INC.</w:t>
      </w:r>
    </w:p>
    <w:p>
      <w:pPr>
        <w:pStyle w:val="TextBody"/>
        <w:bidi w:val="0"/>
        <w:jc w:val="left"/>
        <w:rPr>
          <w:rFonts w:ascii="Times New Roman" w:hAnsi="Times New Roman"/>
          <w:color w:val="000000"/>
          <w:sz w:val="22"/>
        </w:rPr>
      </w:pPr>
      <w:r>
        <w:rPr>
          <w:rFonts w:ascii="Times New Roman" w:hAnsi="Times New Roman"/>
          <w:color w:val="000000"/>
          <w:sz w:val="22"/>
        </w:rPr>
        <w:t>UHS OF PROVO CANYON, INC.</w:t>
      </w:r>
    </w:p>
    <w:p>
      <w:pPr>
        <w:pStyle w:val="TextBody"/>
        <w:bidi w:val="0"/>
        <w:jc w:val="left"/>
        <w:rPr>
          <w:rFonts w:ascii="Times New Roman" w:hAnsi="Times New Roman"/>
          <w:color w:val="000000"/>
          <w:sz w:val="22"/>
        </w:rPr>
      </w:pPr>
      <w:r>
        <w:rPr>
          <w:rFonts w:ascii="Times New Roman" w:hAnsi="Times New Roman"/>
          <w:color w:val="000000"/>
          <w:sz w:val="22"/>
        </w:rPr>
        <w:t>UHS OF PUERTO RICO, INC.</w:t>
      </w:r>
    </w:p>
    <w:p>
      <w:pPr>
        <w:pStyle w:val="TextBody"/>
        <w:bidi w:val="0"/>
        <w:jc w:val="left"/>
        <w:rPr>
          <w:rFonts w:ascii="Times New Roman" w:hAnsi="Times New Roman"/>
          <w:color w:val="000000"/>
          <w:sz w:val="22"/>
        </w:rPr>
      </w:pPr>
      <w:r>
        <w:rPr>
          <w:rFonts w:ascii="Times New Roman" w:hAnsi="Times New Roman"/>
          <w:color w:val="000000"/>
          <w:sz w:val="22"/>
        </w:rPr>
        <w:t>UHS OF SPRING MOUNTAIN, INC.</w:t>
      </w:r>
    </w:p>
    <w:p>
      <w:pPr>
        <w:pStyle w:val="TextBody"/>
        <w:bidi w:val="0"/>
        <w:jc w:val="left"/>
        <w:rPr>
          <w:rFonts w:ascii="Times New Roman" w:hAnsi="Times New Roman"/>
          <w:color w:val="000000"/>
          <w:sz w:val="22"/>
        </w:rPr>
      </w:pPr>
      <w:r>
        <w:rPr>
          <w:rFonts w:ascii="Times New Roman" w:hAnsi="Times New Roman"/>
          <w:color w:val="000000"/>
          <w:sz w:val="22"/>
        </w:rPr>
        <w:t>UHS OF TIMBERLAWN, INC.</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UHS OF TIMPANOGOS, INC.</w:t>
      </w:r>
    </w:p>
    <w:p>
      <w:pPr>
        <w:pStyle w:val="TextBody"/>
        <w:bidi w:val="0"/>
        <w:jc w:val="left"/>
        <w:rPr>
          <w:rFonts w:ascii="Times New Roman" w:hAnsi="Times New Roman"/>
          <w:color w:val="000000"/>
          <w:sz w:val="22"/>
        </w:rPr>
      </w:pPr>
      <w:r>
        <w:rPr>
          <w:rFonts w:ascii="Times New Roman" w:hAnsi="Times New Roman"/>
          <w:color w:val="000000"/>
          <w:sz w:val="22"/>
        </w:rPr>
        <w:t>UHS OF WESTWOOD PEMBROKE, INC.</w:t>
      </w:r>
    </w:p>
    <w:p>
      <w:pPr>
        <w:pStyle w:val="TextBody"/>
        <w:bidi w:val="0"/>
        <w:jc w:val="left"/>
        <w:rPr>
          <w:rFonts w:ascii="Times New Roman" w:hAnsi="Times New Roman"/>
          <w:color w:val="000000"/>
          <w:sz w:val="22"/>
        </w:rPr>
      </w:pPr>
      <w:r>
        <w:rPr>
          <w:rFonts w:ascii="Times New Roman" w:hAnsi="Times New Roman"/>
          <w:color w:val="000000"/>
          <w:sz w:val="22"/>
        </w:rPr>
        <w:t>UHS OF WYOMING, INC.</w:t>
      </w:r>
    </w:p>
    <w:p>
      <w:pPr>
        <w:pStyle w:val="TextBody"/>
        <w:bidi w:val="0"/>
        <w:jc w:val="left"/>
        <w:rPr>
          <w:rFonts w:ascii="Times New Roman" w:hAnsi="Times New Roman"/>
          <w:color w:val="000000"/>
          <w:sz w:val="22"/>
        </w:rPr>
      </w:pPr>
      <w:r>
        <w:rPr>
          <w:rFonts w:ascii="Times New Roman" w:hAnsi="Times New Roman"/>
          <w:color w:val="000000"/>
          <w:sz w:val="22"/>
        </w:rPr>
        <w:t>UHS SAHARA, INC.</w:t>
      </w:r>
    </w:p>
    <w:p>
      <w:pPr>
        <w:pStyle w:val="TextBody"/>
        <w:bidi w:val="0"/>
        <w:jc w:val="left"/>
        <w:rPr>
          <w:rFonts w:ascii="Times New Roman" w:hAnsi="Times New Roman"/>
          <w:color w:val="000000"/>
          <w:sz w:val="22"/>
        </w:rPr>
      </w:pPr>
      <w:r>
        <w:rPr>
          <w:rFonts w:ascii="Times New Roman" w:hAnsi="Times New Roman"/>
          <w:color w:val="000000"/>
          <w:sz w:val="22"/>
        </w:rPr>
        <w:t>UNITED HEALTHCARE OF HARDIN, INC.</w:t>
      </w:r>
    </w:p>
    <w:p>
      <w:pPr>
        <w:pStyle w:val="TextBody"/>
        <w:bidi w:val="0"/>
        <w:jc w:val="left"/>
        <w:rPr>
          <w:rFonts w:ascii="Times New Roman" w:hAnsi="Times New Roman"/>
          <w:color w:val="000000"/>
          <w:sz w:val="22"/>
        </w:rPr>
      </w:pPr>
      <w:r>
        <w:rPr>
          <w:rFonts w:ascii="Times New Roman" w:hAnsi="Times New Roman"/>
          <w:color w:val="000000"/>
          <w:sz w:val="22"/>
        </w:rPr>
        <w:t>WINDMOOR HEALTHCARE INC.</w:t>
      </w:r>
    </w:p>
    <w:p>
      <w:pPr>
        <w:pStyle w:val="TextBody"/>
        <w:bidi w:val="0"/>
        <w:jc w:val="left"/>
        <w:rPr>
          <w:rFonts w:ascii="Times New Roman" w:hAnsi="Times New Roman"/>
          <w:color w:val="000000"/>
          <w:sz w:val="22"/>
        </w:rPr>
      </w:pPr>
      <w:r>
        <w:rPr>
          <w:rFonts w:ascii="Times New Roman" w:hAnsi="Times New Roman"/>
          <w:color w:val="000000"/>
          <w:sz w:val="22"/>
        </w:rPr>
        <w:t>WINDMOOR HEALTHCARE OF PINELLAS PARK, INC.</w:t>
      </w:r>
    </w:p>
    <w:p>
      <w:pPr>
        <w:pStyle w:val="TextBody"/>
        <w:bidi w:val="0"/>
        <w:jc w:val="left"/>
        <w:rPr>
          <w:rFonts w:ascii="Times New Roman" w:hAnsi="Times New Roman"/>
          <w:color w:val="000000"/>
          <w:sz w:val="22"/>
        </w:rPr>
      </w:pPr>
      <w:r>
        <w:rPr>
          <w:rFonts w:ascii="Times New Roman" w:hAnsi="Times New Roman"/>
          <w:color w:val="000000"/>
          <w:sz w:val="22"/>
        </w:rPr>
        <w:t>WISCONSIN AVENUE PSYCHIATRIC CENTER, INC.</w:t>
      </w:r>
    </w:p>
    <w:p>
      <w:pPr>
        <w:pStyle w:val="TextBody"/>
        <w:bidi w:val="0"/>
        <w:jc w:val="left"/>
        <w:rPr>
          <w:rFonts w:ascii="Times New Roman" w:hAnsi="Times New Roman"/>
          <w:color w:val="000000"/>
          <w:sz w:val="22"/>
        </w:rPr>
      </w:pPr>
      <w:r>
        <w:rPr>
          <w:rFonts w:ascii="Times New Roman" w:hAnsi="Times New Roman"/>
          <w:color w:val="000000"/>
          <w:sz w:val="22"/>
        </w:rPr>
        <w:t>UHS OF MADERA, INC.</w:t>
      </w:r>
    </w:p>
    <w:p>
      <w:pPr>
        <w:pStyle w:val="TextBody"/>
        <w:bidi w:val="0"/>
        <w:jc w:val="left"/>
        <w:rPr>
          <w:rFonts w:ascii="Times New Roman" w:hAnsi="Times New Roman"/>
          <w:color w:val="000000"/>
          <w:sz w:val="22"/>
        </w:rPr>
      </w:pPr>
      <w:r>
        <w:rPr>
          <w:rFonts w:ascii="Times New Roman" w:hAnsi="Times New Roman"/>
          <w:color w:val="000000"/>
          <w:sz w:val="22"/>
        </w:rPr>
        <w:t>FOREST VIEW PSYCHIATRIC HOSPITAL,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AIKEN REGIONAL MEDICAL CENTERS, LLC</w:t>
      </w:r>
    </w:p>
    <w:p>
      <w:pPr>
        <w:pStyle w:val="TextBody"/>
        <w:bidi w:val="0"/>
        <w:jc w:val="left"/>
        <w:rPr>
          <w:rFonts w:ascii="Times New Roman" w:hAnsi="Times New Roman"/>
          <w:color w:val="000000"/>
          <w:sz w:val="22"/>
        </w:rPr>
      </w:pPr>
      <w:r>
        <w:rPr>
          <w:rFonts w:ascii="Times New Roman" w:hAnsi="Times New Roman"/>
          <w:color w:val="000000"/>
          <w:sz w:val="22"/>
        </w:rPr>
        <w:t>LA AMISTAD RESIDENTIAL TREATMENT CENTER, LLC</w:t>
      </w:r>
    </w:p>
    <w:p>
      <w:pPr>
        <w:pStyle w:val="TextBody"/>
        <w:bidi w:val="0"/>
        <w:jc w:val="left"/>
        <w:rPr>
          <w:rFonts w:ascii="Times New Roman" w:hAnsi="Times New Roman"/>
          <w:color w:val="000000"/>
          <w:sz w:val="22"/>
        </w:rPr>
      </w:pPr>
      <w:r>
        <w:rPr>
          <w:rFonts w:ascii="Times New Roman" w:hAnsi="Times New Roman"/>
          <w:color w:val="000000"/>
          <w:sz w:val="22"/>
        </w:rPr>
        <w:t>PALM POINT BEHAVIORAL HEALTH, LLC</w:t>
      </w:r>
    </w:p>
    <w:p>
      <w:pPr>
        <w:pStyle w:val="TextBody"/>
        <w:bidi w:val="0"/>
        <w:jc w:val="left"/>
        <w:rPr>
          <w:rFonts w:ascii="Times New Roman" w:hAnsi="Times New Roman"/>
          <w:color w:val="000000"/>
          <w:sz w:val="22"/>
        </w:rPr>
      </w:pPr>
      <w:r>
        <w:rPr>
          <w:rFonts w:ascii="Times New Roman" w:hAnsi="Times New Roman"/>
          <w:color w:val="000000"/>
          <w:sz w:val="22"/>
        </w:rPr>
        <w:t>TENNESSEE CLINICAL SCHOOLS, LLC</w:t>
      </w:r>
    </w:p>
    <w:p>
      <w:pPr>
        <w:pStyle w:val="TextBody"/>
        <w:bidi w:val="0"/>
        <w:jc w:val="left"/>
        <w:rPr>
          <w:rFonts w:ascii="Times New Roman" w:hAnsi="Times New Roman"/>
          <w:color w:val="000000"/>
          <w:sz w:val="22"/>
        </w:rPr>
      </w:pPr>
      <w:r>
        <w:rPr>
          <w:rFonts w:ascii="Times New Roman" w:hAnsi="Times New Roman"/>
          <w:color w:val="000000"/>
          <w:sz w:val="22"/>
        </w:rPr>
        <w:t>THE BRIDGEWAY, LLC</w:t>
      </w:r>
    </w:p>
    <w:p>
      <w:pPr>
        <w:pStyle w:val="TextBody"/>
        <w:bidi w:val="0"/>
        <w:jc w:val="left"/>
        <w:rPr>
          <w:rFonts w:ascii="Times New Roman" w:hAnsi="Times New Roman"/>
          <w:color w:val="000000"/>
          <w:sz w:val="22"/>
        </w:rPr>
      </w:pPr>
      <w:r>
        <w:rPr>
          <w:rFonts w:ascii="Times New Roman" w:hAnsi="Times New Roman"/>
          <w:color w:val="000000"/>
          <w:sz w:val="22"/>
        </w:rPr>
        <w:t>TURNING POINT CARE CENTER, LLC</w:t>
      </w:r>
    </w:p>
    <w:p>
      <w:pPr>
        <w:pStyle w:val="TextBody"/>
        <w:bidi w:val="0"/>
        <w:jc w:val="left"/>
        <w:rPr>
          <w:rFonts w:ascii="Times New Roman" w:hAnsi="Times New Roman"/>
          <w:color w:val="000000"/>
          <w:sz w:val="22"/>
        </w:rPr>
      </w:pPr>
      <w:r>
        <w:rPr>
          <w:rFonts w:ascii="Times New Roman" w:hAnsi="Times New Roman"/>
          <w:color w:val="000000"/>
          <w:sz w:val="22"/>
        </w:rPr>
        <w:t>UHS OF BENTON, LLC</w:t>
      </w:r>
    </w:p>
    <w:p>
      <w:pPr>
        <w:pStyle w:val="TextBody"/>
        <w:bidi w:val="0"/>
        <w:jc w:val="left"/>
        <w:rPr>
          <w:rFonts w:ascii="Times New Roman" w:hAnsi="Times New Roman"/>
          <w:color w:val="000000"/>
          <w:sz w:val="22"/>
        </w:rPr>
      </w:pPr>
      <w:r>
        <w:rPr>
          <w:rFonts w:ascii="Times New Roman" w:hAnsi="Times New Roman"/>
          <w:color w:val="000000"/>
          <w:sz w:val="22"/>
        </w:rPr>
        <w:t>UHS OF BOWLING GREEN, LLC</w:t>
      </w:r>
    </w:p>
    <w:p>
      <w:pPr>
        <w:pStyle w:val="TextBody"/>
        <w:bidi w:val="0"/>
        <w:jc w:val="left"/>
        <w:rPr>
          <w:rFonts w:ascii="Times New Roman" w:hAnsi="Times New Roman"/>
          <w:color w:val="000000"/>
          <w:sz w:val="22"/>
        </w:rPr>
      </w:pPr>
      <w:r>
        <w:rPr>
          <w:rFonts w:ascii="Times New Roman" w:hAnsi="Times New Roman"/>
          <w:color w:val="000000"/>
          <w:sz w:val="22"/>
        </w:rPr>
        <w:t>UHS OF GREENVILLE, LLC</w:t>
      </w:r>
    </w:p>
    <w:p>
      <w:pPr>
        <w:pStyle w:val="TextBody"/>
        <w:bidi w:val="0"/>
        <w:jc w:val="left"/>
        <w:rPr>
          <w:rFonts w:ascii="Times New Roman" w:hAnsi="Times New Roman"/>
          <w:color w:val="000000"/>
          <w:sz w:val="22"/>
        </w:rPr>
      </w:pPr>
      <w:r>
        <w:rPr>
          <w:rFonts w:ascii="Times New Roman" w:hAnsi="Times New Roman"/>
          <w:color w:val="000000"/>
          <w:sz w:val="22"/>
        </w:rPr>
        <w:t>UHS OF LAKESIDE, LLC</w:t>
      </w:r>
    </w:p>
    <w:p>
      <w:pPr>
        <w:pStyle w:val="TextBody"/>
        <w:bidi w:val="0"/>
        <w:jc w:val="left"/>
        <w:rPr>
          <w:rFonts w:ascii="Times New Roman" w:hAnsi="Times New Roman"/>
          <w:color w:val="000000"/>
          <w:sz w:val="22"/>
        </w:rPr>
      </w:pPr>
      <w:r>
        <w:rPr>
          <w:rFonts w:ascii="Times New Roman" w:hAnsi="Times New Roman"/>
          <w:color w:val="000000"/>
          <w:sz w:val="22"/>
        </w:rPr>
        <w:t>UHS OF PHOENIX, LLC</w:t>
      </w:r>
    </w:p>
    <w:p>
      <w:pPr>
        <w:pStyle w:val="TextBody"/>
        <w:bidi w:val="0"/>
        <w:jc w:val="left"/>
        <w:rPr>
          <w:rFonts w:ascii="Times New Roman" w:hAnsi="Times New Roman"/>
          <w:color w:val="000000"/>
          <w:sz w:val="22"/>
        </w:rPr>
      </w:pPr>
      <w:r>
        <w:rPr>
          <w:rFonts w:ascii="Times New Roman" w:hAnsi="Times New Roman"/>
          <w:color w:val="000000"/>
          <w:sz w:val="22"/>
        </w:rPr>
        <w:t>UHS OF RIDGE, LLC</w:t>
      </w:r>
    </w:p>
    <w:p>
      <w:pPr>
        <w:pStyle w:val="TextBody"/>
        <w:bidi w:val="0"/>
        <w:jc w:val="left"/>
        <w:rPr>
          <w:rFonts w:ascii="Times New Roman" w:hAnsi="Times New Roman"/>
          <w:color w:val="000000"/>
          <w:sz w:val="22"/>
        </w:rPr>
      </w:pPr>
      <w:r>
        <w:rPr>
          <w:rFonts w:ascii="Times New Roman" w:hAnsi="Times New Roman"/>
          <w:color w:val="000000"/>
          <w:sz w:val="22"/>
        </w:rPr>
        <w:t>UHS OF ROCKFORD, LLC</w:t>
      </w:r>
    </w:p>
    <w:p>
      <w:pPr>
        <w:pStyle w:val="TextBody"/>
        <w:bidi w:val="0"/>
        <w:jc w:val="left"/>
        <w:rPr>
          <w:rFonts w:ascii="Times New Roman" w:hAnsi="Times New Roman"/>
          <w:color w:val="000000"/>
          <w:sz w:val="22"/>
        </w:rPr>
      </w:pPr>
      <w:r>
        <w:rPr>
          <w:rFonts w:ascii="Times New Roman" w:hAnsi="Times New Roman"/>
          <w:color w:val="000000"/>
          <w:sz w:val="22"/>
        </w:rPr>
        <w:t>UHS OF TUCSON, LLC</w:t>
      </w:r>
    </w:p>
    <w:p>
      <w:pPr>
        <w:pStyle w:val="TextBody"/>
        <w:bidi w:val="0"/>
        <w:jc w:val="left"/>
        <w:rPr>
          <w:rFonts w:ascii="Times New Roman" w:hAnsi="Times New Roman"/>
          <w:color w:val="000000"/>
          <w:sz w:val="22"/>
        </w:rPr>
      </w:pPr>
      <w:r>
        <w:rPr>
          <w:rFonts w:ascii="Times New Roman" w:hAnsi="Times New Roman"/>
          <w:color w:val="000000"/>
          <w:sz w:val="22"/>
        </w:rPr>
        <w:t>UHS SUB III, LLC</w:t>
      </w:r>
    </w:p>
    <w:p>
      <w:pPr>
        <w:pStyle w:val="TextBody"/>
        <w:bidi w:val="0"/>
        <w:jc w:val="left"/>
        <w:rPr>
          <w:rFonts w:ascii="Times New Roman" w:hAnsi="Times New Roman"/>
          <w:color w:val="000000"/>
          <w:sz w:val="22"/>
        </w:rPr>
      </w:pPr>
      <w:r>
        <w:rPr>
          <w:rFonts w:ascii="Times New Roman" w:hAnsi="Times New Roman"/>
          <w:color w:val="000000"/>
          <w:sz w:val="22"/>
        </w:rPr>
        <w:t>UHSD, L.L.C.</w:t>
      </w:r>
    </w:p>
    <w:p>
      <w:pPr>
        <w:pStyle w:val="TextBody"/>
        <w:bidi w:val="0"/>
        <w:jc w:val="left"/>
        <w:rPr>
          <w:rFonts w:ascii="Times New Roman" w:hAnsi="Times New Roman"/>
          <w:sz w:val="20"/>
        </w:rPr>
      </w:pPr>
      <w:r>
        <w:rPr>
          <w:rFonts w:ascii="Times New Roman" w:hAnsi="Times New Roman"/>
          <w:color w:val="000000"/>
          <w:sz w:val="22"/>
        </w:rPr>
        <w:t>WELLINGTON REGIONAL MEDICAL CENTER, LLC</w:t>
        <w:br/>
        <w:br/>
        <w:t>By: Universal Health Services,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Executive Vice President, Secretary and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FORT DUNCAN MEDICAL CENTER, L.P.</w:t>
        <w:br/>
        <w:br/>
        <w:t>By: Fort Duncan Medical Center, Inc.</w:t>
        <w:br/>
        <w:t>Its general partner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FRONTLINE HOSPITAL, LLC</w:t>
        <w:br/>
        <w:t>FRONTLINE RESIDENTIAL TREATMENT CENTER, LLC</w:t>
        <w:br/>
        <w:br/>
        <w:t>By: Frontline Behavioral Health,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 xml:space="preserve">Name: Steve Filton </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KEYS GROUP HOLDINGS LLC</w:t>
        <w:br/>
        <w:br/>
        <w:t>By: UHS Children Services,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KEYSTONE/CCS PARTNERS LLC</w:t>
        <w:br/>
        <w:br/>
        <w:t>By: Children’s Comprehensive Services, Inc.</w:t>
        <w:br/>
        <w:t>Its Minority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KEYS Group Holdings LLC</w:t>
        <w:br/>
        <w:t>Its Managing Member and sole member of the minority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UHS Children Services, Inc.</w:t>
        <w:br/>
        <w:t>Its sole member</w:t>
        <w:br/>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KEYSTONE CONTINUUM, LLC</w:t>
        <w:br/>
        <w:t>KEYSTONE NPS LLC</w:t>
        <w:br/>
        <w:t>KEYSTONE RICHLAND CENTER LLC</w:t>
        <w:br/>
        <w:br/>
        <w:t xml:space="preserve">By: Keystone/CCS Partners LLC </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Children’s Comprehensive Services, Inc.</w:t>
        <w:br/>
        <w:t>Its minority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KEYS Group Holdings LLC</w:t>
        <w:br/>
        <w:t>Its managing member and sole member of the minority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UHS Children Services, Inc.</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Steve Filton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KEYSTONE EDUCATION AND YOUTH SERVICES, LLC</w:t>
        <w:br/>
        <w:br/>
        <w:t>By: KEYS Group Holdings LLC</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UHS Children Services, Inc.</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 xml:space="preserve">Name: Steve Filton </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KEYSTONE MARION, LLC</w:t>
        <w:br/>
        <w:t xml:space="preserve">KEYSTONE MEMPHIS, LLC </w:t>
        <w:br/>
        <w:t xml:space="preserve">KEYSTONE NEWPORT NEWS, LLC </w:t>
        <w:br/>
        <w:t>KEYSTONE WSNC, L.L.C.</w:t>
        <w:br/>
        <w:br/>
        <w:t>By: Keystone Education and Youth Services, LLC</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KEYS Group Holdings LLC</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UHS Children Services, Inc.</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MANATEE MEMORIAL HOSPITAL, L.P.</w:t>
        <w:br/>
        <w:br/>
        <w:t>By: Wellington Regional Medical Center, LLC</w:t>
        <w:b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Services,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 Executive Vice President, Secretary and Chief Financial Officer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MCALLEN HOSPITALS, L.P.</w:t>
        <w:br/>
        <w:br/>
        <w:t>By: McAllen Medical Center, Inc.</w:t>
        <w:br/>
        <w:t>Its general partner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PENDLETON METHODIST HOSPITAL, L.L.C.</w:t>
        <w:br/>
        <w:br/>
        <w:t>By: UHS of River Parishes, Inc.</w:t>
        <w:br/>
        <w:t>Its managing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GULPH MILLS ASSOCIATES, LLC</w:t>
      </w:r>
    </w:p>
    <w:p>
      <w:pPr>
        <w:pStyle w:val="TextBody"/>
        <w:bidi w:val="0"/>
        <w:jc w:val="left"/>
        <w:rPr>
          <w:rFonts w:ascii="Times New Roman" w:hAnsi="Times New Roman"/>
          <w:color w:val="000000"/>
          <w:sz w:val="22"/>
        </w:rPr>
      </w:pPr>
      <w:r>
        <w:rPr>
          <w:rFonts w:ascii="Times New Roman" w:hAnsi="Times New Roman"/>
          <w:color w:val="000000"/>
          <w:sz w:val="22"/>
        </w:rPr>
        <w:t>TBD ACQUISITION II, LLC</w:t>
      </w:r>
    </w:p>
    <w:p>
      <w:pPr>
        <w:pStyle w:val="TextBody"/>
        <w:bidi w:val="0"/>
        <w:jc w:val="left"/>
        <w:rPr>
          <w:rFonts w:ascii="Times New Roman" w:hAnsi="Times New Roman"/>
          <w:color w:val="000000"/>
          <w:sz w:val="22"/>
        </w:rPr>
      </w:pPr>
      <w:r>
        <w:rPr>
          <w:rFonts w:ascii="Times New Roman" w:hAnsi="Times New Roman"/>
          <w:color w:val="000000"/>
          <w:sz w:val="22"/>
        </w:rPr>
        <w:t>UHS KENTUCKY HOLDINGS, L.L.C.</w:t>
      </w:r>
    </w:p>
    <w:p>
      <w:pPr>
        <w:pStyle w:val="TextBody"/>
        <w:bidi w:val="0"/>
        <w:jc w:val="left"/>
        <w:rPr>
          <w:rFonts w:ascii="Times New Roman" w:hAnsi="Times New Roman"/>
          <w:color w:val="000000"/>
          <w:sz w:val="22"/>
        </w:rPr>
      </w:pPr>
      <w:r>
        <w:rPr>
          <w:rFonts w:ascii="Times New Roman" w:hAnsi="Times New Roman"/>
          <w:color w:val="000000"/>
          <w:sz w:val="22"/>
        </w:rPr>
        <w:t>UHS OF LANCASTER, LLC</w:t>
      </w:r>
    </w:p>
    <w:p>
      <w:pPr>
        <w:pStyle w:val="TextBody"/>
        <w:bidi w:val="0"/>
        <w:jc w:val="left"/>
        <w:rPr>
          <w:rFonts w:ascii="Times New Roman" w:hAnsi="Times New Roman"/>
          <w:color w:val="000000"/>
          <w:sz w:val="22"/>
        </w:rPr>
      </w:pPr>
      <w:r>
        <w:rPr>
          <w:rFonts w:ascii="Times New Roman" w:hAnsi="Times New Roman"/>
          <w:color w:val="000000"/>
          <w:sz w:val="22"/>
        </w:rPr>
        <w:t>UHS OF NEW ORLEANS, LLC</w:t>
      </w:r>
    </w:p>
    <w:p>
      <w:pPr>
        <w:pStyle w:val="TextBody"/>
        <w:bidi w:val="0"/>
        <w:jc w:val="left"/>
        <w:rPr>
          <w:rFonts w:ascii="Times New Roman" w:hAnsi="Times New Roman"/>
          <w:color w:val="000000"/>
          <w:sz w:val="22"/>
        </w:rPr>
      </w:pPr>
      <w:r>
        <w:rPr>
          <w:rFonts w:ascii="Times New Roman" w:hAnsi="Times New Roman"/>
          <w:color w:val="000000"/>
          <w:sz w:val="22"/>
        </w:rPr>
        <w:t>UHS OF OKLAHOMA, LLC</w:t>
      </w:r>
    </w:p>
    <w:p>
      <w:pPr>
        <w:pStyle w:val="TextBody"/>
        <w:bidi w:val="0"/>
        <w:jc w:val="left"/>
        <w:rPr>
          <w:rFonts w:ascii="Times New Roman" w:hAnsi="Times New Roman"/>
          <w:color w:val="000000"/>
          <w:sz w:val="22"/>
        </w:rPr>
      </w:pPr>
      <w:r>
        <w:rPr>
          <w:rFonts w:ascii="Times New Roman" w:hAnsi="Times New Roman"/>
          <w:color w:val="000000"/>
          <w:sz w:val="22"/>
        </w:rPr>
        <w:t>UHSL, L.L.C.</w:t>
      </w:r>
    </w:p>
    <w:p>
      <w:pPr>
        <w:pStyle w:val="TextBody"/>
        <w:bidi w:val="0"/>
        <w:jc w:val="left"/>
        <w:rPr>
          <w:rFonts w:ascii="Times New Roman" w:hAnsi="Times New Roman"/>
          <w:color w:val="000000"/>
          <w:sz w:val="22"/>
        </w:rPr>
      </w:pPr>
      <w:r>
        <w:rPr>
          <w:rFonts w:ascii="Times New Roman" w:hAnsi="Times New Roman"/>
          <w:color w:val="000000"/>
          <w:sz w:val="22"/>
        </w:rPr>
        <w:t>AZ HOLDING 4, LLC</w:t>
      </w:r>
    </w:p>
    <w:p>
      <w:pPr>
        <w:pStyle w:val="TextBody"/>
        <w:bidi w:val="0"/>
        <w:jc w:val="left"/>
        <w:rPr>
          <w:rFonts w:ascii="Times New Roman" w:hAnsi="Times New Roman"/>
          <w:color w:val="000000"/>
          <w:sz w:val="22"/>
        </w:rPr>
      </w:pPr>
      <w:r>
        <w:rPr>
          <w:rFonts w:ascii="Times New Roman" w:hAnsi="Times New Roman"/>
          <w:color w:val="000000"/>
          <w:sz w:val="22"/>
        </w:rPr>
        <w:t>UHS MIDWEST BEHAVIORAL HEALTH, LLC</w:t>
      </w:r>
    </w:p>
    <w:p>
      <w:pPr>
        <w:pStyle w:val="TextBody"/>
        <w:bidi w:val="0"/>
        <w:jc w:val="left"/>
        <w:rPr>
          <w:rFonts w:ascii="Times New Roman" w:hAnsi="Times New Roman"/>
          <w:color w:val="000000"/>
          <w:sz w:val="22"/>
        </w:rPr>
      </w:pPr>
      <w:r>
        <w:rPr>
          <w:rFonts w:ascii="Times New Roman" w:hAnsi="Times New Roman"/>
          <w:color w:val="000000"/>
          <w:sz w:val="22"/>
        </w:rPr>
        <w:t>RIVERSIDE MEDICAL CLINIC PATIENT SERVICES, L.L.C.</w:t>
      </w:r>
    </w:p>
    <w:p>
      <w:pPr>
        <w:pStyle w:val="TextBody"/>
        <w:bidi w:val="0"/>
        <w:jc w:val="left"/>
        <w:rPr>
          <w:rFonts w:ascii="Times New Roman" w:hAnsi="Times New Roman"/>
          <w:color w:val="000000"/>
          <w:sz w:val="22"/>
        </w:rPr>
      </w:pPr>
      <w:r>
        <w:rPr>
          <w:rFonts w:ascii="Times New Roman" w:hAnsi="Times New Roman"/>
          <w:color w:val="000000"/>
          <w:sz w:val="22"/>
        </w:rPr>
        <w:t>PASTEUR HEALTHCARE PROPERTIES, LLC</w:t>
      </w:r>
    </w:p>
    <w:p>
      <w:pPr>
        <w:pStyle w:val="TextBody"/>
        <w:bidi w:val="0"/>
        <w:jc w:val="left"/>
        <w:rPr>
          <w:rFonts w:ascii="Times New Roman" w:hAnsi="Times New Roman"/>
          <w:sz w:val="20"/>
        </w:rPr>
      </w:pPr>
      <w:r>
        <w:rPr>
          <w:rFonts w:ascii="Times New Roman" w:hAnsi="Times New Roman"/>
          <w:color w:val="000000"/>
          <w:sz w:val="22"/>
        </w:rPr>
        <w:t>UHS CAPITOL ACQUISITION, LLC</w:t>
        <w:br/>
      </w:r>
      <w:r>
        <w:rPr>
          <w:rFonts w:ascii="Times New Roman" w:hAnsi="Times New Roman"/>
          <w:color w:val="000000"/>
          <w:sz w:val="2"/>
        </w:rPr>
        <w:br/>
      </w:r>
      <w:r>
        <w:rPr>
          <w:rFonts w:ascii="Times New Roman" w:hAnsi="Times New Roman"/>
          <w:color w:val="000000"/>
          <w:sz w:val="22"/>
        </w:rPr>
        <w:br/>
        <w:t>By: UHS of Delaware,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sz w:val="20"/>
        </w:rPr>
      </w:pPr>
      <w:r>
        <w:rPr>
          <w:rFonts w:ascii="Times New Roman" w:hAnsi="Times New Roman"/>
          <w:color w:val="000000"/>
          <w:sz w:val="22"/>
        </w:rPr>
        <w:t>Title: Executive Vice President and Chief Financial Officer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OF ANCHOR, L.P.</w:t>
        <w:br/>
        <w:t xml:space="preserve">UHS OF LAUREL HEIGHTS, L.P. </w:t>
        <w:br/>
        <w:t>UHS OF PEACHFORD, L.P.</w:t>
        <w:br/>
        <w:br/>
        <w:t>By: UHS of Georgia, Inc.</w:t>
        <w:br/>
        <w:t>Its general partner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OF CENTENNIAL PEAKS, L.L.C.</w:t>
        <w:br/>
        <w:br/>
        <w:t>By: UHS of Denver,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UHS OF DOVER, L.L.C.</w:t>
        <w:br/>
        <w:br/>
        <w:t xml:space="preserve">By: UHS of Rockford, LLC </w:t>
        <w:br/>
        <w:t>Its sole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Universal Health Services, Inc.</w:t>
      </w:r>
    </w:p>
    <w:p>
      <w:pPr>
        <w:pStyle w:val="TextBody"/>
        <w:bidi w:val="0"/>
        <w:jc w:val="left"/>
        <w:rPr>
          <w:rFonts w:ascii="Times New Roman" w:hAnsi="Times New Roman"/>
          <w:sz w:val="20"/>
        </w:rPr>
      </w:pPr>
      <w:r>
        <w:rPr>
          <w:rFonts w:ascii="Times New Roman" w:hAnsi="Times New Roman"/>
          <w:color w:val="000000"/>
          <w:sz w:val="22"/>
        </w:rPr>
        <w:t>Its sole member</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br/>
        <w:t>Title: Executive Vice President, Secretary and Chief Financial Officer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UHS OF DOYLESTOWN, L.L.C.</w:t>
        <w:br/>
        <w:br/>
        <w:t xml:space="preserve">By: UHS of Pennsylvania, Inc. </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OF SALT LAKE CITY, L.L.C.</w:t>
        <w:br/>
        <w:br/>
        <w:t>By: UHS of Provo Canyon,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OF SAVANNAH, L.L.C.</w:t>
        <w:br/>
        <w:br/>
        <w:t xml:space="preserve">By: UHS of Georgia Holdings, Inc. </w:t>
        <w:br/>
        <w:t>Its sole member</w:t>
        <w:br/>
      </w:r>
      <w:r>
        <w:rPr>
          <w:rFonts w:ascii="Times New Roman" w:hAnsi="Times New Roman"/>
          <w:smallCaps/>
          <w:color w:val="000000"/>
          <w:sz w:val="22"/>
        </w:rPr>
        <w:br/>
        <w:br/>
      </w: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 xml:space="preserve">Name: Steve Filton </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OKLAHOMA CITY LLC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UHS OF SPRINGWOODS, L.L.C.</w:t>
        <w:br/>
        <w:br/>
        <w:t>By: UHS of New Orleans, LLC</w:t>
        <w:br/>
        <w:t>Its sole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of Delaware, Inc.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br/>
        <w:t>Title: Executive Vice President and Chief Financial Officer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UHS OF SUMMITRIDGE, L.L.C.</w:t>
        <w:br/>
        <w:br/>
        <w:t>By: UHS of Peachford, L.P.</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UHS of Georgia, Inc.</w:t>
        <w:br/>
        <w:t>Its general partner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PSYCHIATRIC SOLUTIONS HOSPITALS, LLC</w:t>
        <w:br/>
        <w:br/>
        <w:t xml:space="preserve">By: Psychiatric Solutions, Inc. </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DIAMOND GROVE CENTER, LLC</w:t>
      </w:r>
    </w:p>
    <w:p>
      <w:pPr>
        <w:pStyle w:val="TextBody"/>
        <w:bidi w:val="0"/>
        <w:jc w:val="left"/>
        <w:rPr>
          <w:rFonts w:ascii="Times New Roman" w:hAnsi="Times New Roman"/>
          <w:color w:val="000000"/>
          <w:sz w:val="22"/>
        </w:rPr>
      </w:pPr>
      <w:r>
        <w:rPr>
          <w:rFonts w:ascii="Times New Roman" w:hAnsi="Times New Roman"/>
          <w:color w:val="000000"/>
          <w:sz w:val="22"/>
        </w:rPr>
        <w:t xml:space="preserve">KMI ACQUISITION, LLC </w:t>
        <w:br/>
        <w:t>LIBERTY POINT BEHAVIORAL HEALTHCARE, LLC</w:t>
      </w:r>
    </w:p>
    <w:p>
      <w:pPr>
        <w:pStyle w:val="TextBody"/>
        <w:bidi w:val="0"/>
        <w:jc w:val="left"/>
        <w:rPr>
          <w:rFonts w:ascii="Times New Roman" w:hAnsi="Times New Roman"/>
          <w:color w:val="000000"/>
          <w:sz w:val="22"/>
        </w:rPr>
      </w:pPr>
      <w:r>
        <w:rPr>
          <w:rFonts w:ascii="Times New Roman" w:hAnsi="Times New Roman"/>
          <w:color w:val="000000"/>
          <w:sz w:val="22"/>
        </w:rPr>
        <w:t>PSJ ACQUISITION, LLC</w:t>
        <w:br/>
        <w:t>SHADOW MOUNTAIN BEHAVIORAL HEALTH SYSTEM, LLC</w:t>
      </w:r>
    </w:p>
    <w:p>
      <w:pPr>
        <w:pStyle w:val="TextBody"/>
        <w:bidi w:val="0"/>
        <w:jc w:val="left"/>
        <w:rPr>
          <w:rFonts w:ascii="Times New Roman" w:hAnsi="Times New Roman"/>
          <w:color w:val="000000"/>
          <w:sz w:val="22"/>
        </w:rPr>
      </w:pPr>
      <w:r>
        <w:rPr>
          <w:rFonts w:ascii="Times New Roman" w:hAnsi="Times New Roman"/>
          <w:color w:val="000000"/>
          <w:sz w:val="22"/>
        </w:rPr>
        <w:t>SUNSTONE BEHAVIORAL HEALTH, LLC</w:t>
      </w:r>
    </w:p>
    <w:p>
      <w:pPr>
        <w:pStyle w:val="TextBody"/>
        <w:bidi w:val="0"/>
        <w:jc w:val="left"/>
        <w:rPr>
          <w:rFonts w:ascii="Times New Roman" w:hAnsi="Times New Roman"/>
          <w:color w:val="000000"/>
          <w:sz w:val="22"/>
        </w:rPr>
      </w:pPr>
      <w:r>
        <w:rPr>
          <w:rFonts w:ascii="Times New Roman" w:hAnsi="Times New Roman"/>
          <w:color w:val="000000"/>
          <w:sz w:val="22"/>
        </w:rPr>
        <w:t>TBD ACQUISITION, LLC</w:t>
        <w:br/>
        <w:br/>
        <w:t>By: Psychiatric Solutions Hospitals,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Psychiatric Solutions,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ATLANTIC SHORES HOSPITAL, LLC</w:t>
        <w:br/>
        <w:t>EMERALD COAST BEHAVIORAL HOSPITAL, LLC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OCALA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PALMETTO BEHAVIORAL HEALTH HOLDINGS, LLC</w:t>
      </w:r>
    </w:p>
    <w:p>
      <w:pPr>
        <w:pStyle w:val="TextBody"/>
        <w:bidi w:val="0"/>
        <w:jc w:val="left"/>
        <w:rPr>
          <w:rFonts w:ascii="Times New Roman" w:hAnsi="Times New Roman"/>
          <w:color w:val="000000"/>
          <w:sz w:val="22"/>
        </w:rPr>
      </w:pPr>
      <w:r>
        <w:rPr>
          <w:rFonts w:ascii="Times New Roman" w:hAnsi="Times New Roman"/>
          <w:color w:val="000000"/>
          <w:sz w:val="22"/>
        </w:rPr>
        <w:t xml:space="preserve">RAMSAY MANAGED CARE, LLC </w:t>
        <w:br/>
        <w:t xml:space="preserve">SAMSON PROPERTIES, LLC </w:t>
        <w:br/>
        <w:t xml:space="preserve">TBJ BEHAVIORAL CENTER, LLC </w:t>
        <w:br/>
        <w:t xml:space="preserve">THREE RIVERS HEALTHCARE GROUP, LLC </w:t>
        <w:br/>
        <w:t>WEKIVA SPRINGS CENTER, LLC</w:t>
      </w:r>
    </w:p>
    <w:p>
      <w:pPr>
        <w:pStyle w:val="TextBody"/>
        <w:bidi w:val="0"/>
        <w:jc w:val="left"/>
        <w:rPr>
          <w:rFonts w:ascii="Times New Roman" w:hAnsi="Times New Roman"/>
          <w:color w:val="000000"/>
          <w:sz w:val="22"/>
        </w:rPr>
      </w:pPr>
      <w:r>
        <w:rPr>
          <w:rFonts w:ascii="Times New Roman" w:hAnsi="Times New Roman"/>
          <w:color w:val="000000"/>
          <w:sz w:val="22"/>
        </w:rPr>
        <w:t>ZEUS ENDEAVORS, LLC</w:t>
      </w:r>
    </w:p>
    <w:p>
      <w:pPr>
        <w:pStyle w:val="TextBody"/>
        <w:bidi w:val="0"/>
        <w:jc w:val="left"/>
        <w:rPr>
          <w:rFonts w:ascii="Times New Roman" w:hAnsi="Times New Roman"/>
          <w:sz w:val="20"/>
        </w:rPr>
      </w:pPr>
      <w:r>
        <w:rPr>
          <w:rFonts w:ascii="Times New Roman" w:hAnsi="Times New Roman"/>
          <w:color w:val="000000"/>
          <w:sz w:val="22"/>
        </w:rPr>
        <w:br/>
        <w:t>By: Premier Behavioral Solutions,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PALMETTO BEHAVIORAL HEALTH SYSTEM, L.L.C.</w:t>
      </w:r>
    </w:p>
    <w:p>
      <w:pPr>
        <w:pStyle w:val="TextBody"/>
        <w:bidi w:val="0"/>
        <w:jc w:val="left"/>
        <w:rPr>
          <w:rFonts w:ascii="Times New Roman" w:hAnsi="Times New Roman"/>
          <w:color w:val="000000"/>
          <w:sz w:val="22"/>
        </w:rPr>
      </w:pPr>
      <w:r>
        <w:rPr>
          <w:rFonts w:ascii="Times New Roman" w:hAnsi="Times New Roman"/>
          <w:color w:val="000000"/>
          <w:sz w:val="22"/>
        </w:rPr>
        <w:br/>
        <w:t>By: Palmetto Behavioral Health Holdings, LLC</w:t>
        <w:br/>
        <w:t>Its Sole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Premier Behavioral Solutions, Inc.</w:t>
        <w:br/>
        <w:t>Its Sole Member</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PALMETTO LOWCOUNTRY BEHAVIORAL HEALTH, L.L.C.</w:t>
      </w:r>
    </w:p>
    <w:p>
      <w:pPr>
        <w:pStyle w:val="TextBody"/>
        <w:bidi w:val="0"/>
        <w:jc w:val="left"/>
        <w:rPr>
          <w:rFonts w:ascii="Times New Roman" w:hAnsi="Times New Roman"/>
          <w:color w:val="000000"/>
          <w:sz w:val="22"/>
        </w:rPr>
      </w:pPr>
      <w:r>
        <w:rPr>
          <w:rFonts w:ascii="Times New Roman" w:hAnsi="Times New Roman"/>
          <w:color w:val="000000"/>
          <w:sz w:val="22"/>
        </w:rPr>
        <w:br/>
        <w:t>By: Palmetto Behavioral Health System,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Palmetto Behavioral Health Holdings,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Premier Behavioral Solutions,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SP BEHAVIORAL, LLC</w:t>
        <w:br/>
        <w:t>UNIVERSITY BEHAVIORAL, LLC</w:t>
      </w:r>
    </w:p>
    <w:p>
      <w:pPr>
        <w:pStyle w:val="TextBody"/>
        <w:bidi w:val="0"/>
        <w:jc w:val="left"/>
        <w:rPr>
          <w:rFonts w:ascii="Times New Roman" w:hAnsi="Times New Roman"/>
          <w:color w:val="000000"/>
          <w:sz w:val="22"/>
        </w:rPr>
      </w:pPr>
      <w:r>
        <w:rPr>
          <w:rFonts w:ascii="Times New Roman" w:hAnsi="Times New Roman"/>
          <w:color w:val="000000"/>
          <w:sz w:val="22"/>
        </w:rPr>
        <w:br/>
        <w:t>By: Ramsay Managed Care,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Premier Behavioral Solutions,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THREE RIVERS BEHAVIORAL HEALTH, LLC</w:t>
      </w:r>
    </w:p>
    <w:p>
      <w:pPr>
        <w:pStyle w:val="TextBody"/>
        <w:bidi w:val="0"/>
        <w:jc w:val="left"/>
        <w:rPr>
          <w:rFonts w:ascii="Times New Roman" w:hAnsi="Times New Roman"/>
          <w:color w:val="000000"/>
          <w:sz w:val="22"/>
        </w:rPr>
      </w:pPr>
      <w:r>
        <w:rPr>
          <w:rFonts w:ascii="Times New Roman" w:hAnsi="Times New Roman"/>
          <w:color w:val="000000"/>
          <w:sz w:val="22"/>
        </w:rPr>
        <w:br/>
        <w:t>By: Three Rivers Healthcare Group,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Premier Behavioral Solutions,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NATIONAL DEAF ACADEMY, LLC</w:t>
        <w:br/>
        <w:br/>
        <w:t>By: Zeus Endeavors,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Premier Behavioral Solutions, Inc.</w:t>
        <w:br/>
        <w:t>Its Sole Member</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WILLOW SPRINGS, LLC</w:t>
        <w:br/>
        <w:br/>
        <w:t>By: BHC Health Services of Nevada,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BEHAVIORAL HEALTHCARE LLC</w:t>
        <w:br/>
      </w:r>
      <w:r>
        <w:rPr>
          <w:rFonts w:ascii="Times New Roman" w:hAnsi="Times New Roman"/>
          <w:color w:val="000000"/>
          <w:sz w:val="20"/>
        </w:rPr>
        <w:t> </w:t>
      </w:r>
    </w:p>
    <w:p>
      <w:pPr>
        <w:pStyle w:val="TextBody"/>
        <w:bidi w:val="0"/>
        <w:jc w:val="left"/>
        <w:rPr>
          <w:rFonts w:ascii="Times New Roman" w:hAnsi="Times New Roman"/>
          <w:color w:val="000000"/>
          <w:sz w:val="22"/>
        </w:rPr>
      </w:pPr>
      <w:r>
        <w:rPr>
          <w:rFonts w:ascii="Times New Roman" w:hAnsi="Times New Roman"/>
          <w:color w:val="000000"/>
          <w:sz w:val="22"/>
        </w:rP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BHC PINNACLE POINTE HOSPITAL, LLC</w:t>
      </w:r>
    </w:p>
    <w:p>
      <w:pPr>
        <w:pStyle w:val="TextBody"/>
        <w:bidi w:val="0"/>
        <w:jc w:val="left"/>
        <w:rPr>
          <w:rFonts w:ascii="Times New Roman" w:hAnsi="Times New Roman"/>
          <w:color w:val="000000"/>
          <w:sz w:val="22"/>
        </w:rPr>
      </w:pPr>
      <w:r>
        <w:rPr>
          <w:rFonts w:ascii="Times New Roman" w:hAnsi="Times New Roman"/>
          <w:color w:val="000000"/>
          <w:sz w:val="22"/>
        </w:rPr>
        <w:t>BHC PROPERTIES, LLC</w:t>
      </w:r>
    </w:p>
    <w:p>
      <w:pPr>
        <w:pStyle w:val="TextBody"/>
        <w:bidi w:val="0"/>
        <w:jc w:val="left"/>
        <w:rPr>
          <w:rFonts w:ascii="Times New Roman" w:hAnsi="Times New Roman"/>
          <w:color w:val="000000"/>
          <w:sz w:val="22"/>
        </w:rPr>
      </w:pPr>
      <w:r>
        <w:rPr>
          <w:rFonts w:ascii="Times New Roman" w:hAnsi="Times New Roman"/>
          <w:color w:val="000000"/>
          <w:sz w:val="22"/>
        </w:rPr>
        <w:t>COLUMBUS HOSPITAL PARTNERS, LLC</w:t>
      </w:r>
    </w:p>
    <w:p>
      <w:pPr>
        <w:pStyle w:val="TextBody"/>
        <w:bidi w:val="0"/>
        <w:jc w:val="left"/>
        <w:rPr>
          <w:rFonts w:ascii="Times New Roman" w:hAnsi="Times New Roman"/>
          <w:color w:val="000000"/>
          <w:sz w:val="22"/>
        </w:rPr>
      </w:pPr>
      <w:r>
        <w:rPr>
          <w:rFonts w:ascii="Times New Roman" w:hAnsi="Times New Roman"/>
          <w:color w:val="000000"/>
          <w:sz w:val="22"/>
        </w:rPr>
        <w:t>HOLLY HILL HOSPITAL, LLC</w:t>
        <w:br/>
        <w:t>LEBANON HOSPITAL PARTNERS, LLC</w:t>
        <w:br/>
        <w:t>NORTHERN INDIANA PARTNERS, LLC</w:t>
      </w:r>
    </w:p>
    <w:p>
      <w:pPr>
        <w:pStyle w:val="TextBody"/>
        <w:bidi w:val="0"/>
        <w:jc w:val="left"/>
        <w:rPr>
          <w:rFonts w:ascii="Times New Roman" w:hAnsi="Times New Roman"/>
          <w:color w:val="000000"/>
          <w:sz w:val="22"/>
        </w:rPr>
      </w:pPr>
      <w:r>
        <w:rPr>
          <w:rFonts w:ascii="Times New Roman" w:hAnsi="Times New Roman"/>
          <w:color w:val="000000"/>
          <w:sz w:val="22"/>
        </w:rPr>
        <w:t>ROLLING HILLS HOSPITAL, LLC</w:t>
        <w:br/>
        <w:t>VALLE VISTA HOSPITAL PARTNERS, LLC</w:t>
        <w:br/>
        <w:br/>
        <w:t>By: Behavioral Healthcare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BHC MESILLA VALLEY HOSPITAL, LLC</w:t>
      </w:r>
    </w:p>
    <w:p>
      <w:pPr>
        <w:pStyle w:val="TextBody"/>
        <w:bidi w:val="0"/>
        <w:jc w:val="left"/>
        <w:rPr>
          <w:rFonts w:ascii="Times New Roman" w:hAnsi="Times New Roman"/>
          <w:color w:val="000000"/>
          <w:sz w:val="22"/>
        </w:rPr>
      </w:pPr>
      <w:r>
        <w:rPr>
          <w:rFonts w:ascii="Times New Roman" w:hAnsi="Times New Roman"/>
          <w:color w:val="000000"/>
          <w:sz w:val="22"/>
        </w:rPr>
        <w:t>BHC NORTHWEST PSYCHIATRIC HOSPITAL, LLC</w:t>
      </w:r>
    </w:p>
    <w:p>
      <w:pPr>
        <w:pStyle w:val="TextBody"/>
        <w:bidi w:val="0"/>
        <w:jc w:val="left"/>
        <w:rPr>
          <w:rFonts w:ascii="Times New Roman" w:hAnsi="Times New Roman"/>
          <w:color w:val="000000"/>
          <w:sz w:val="22"/>
        </w:rPr>
      </w:pPr>
      <w:r>
        <w:rPr>
          <w:rFonts w:ascii="Times New Roman" w:hAnsi="Times New Roman"/>
          <w:color w:val="000000"/>
          <w:sz w:val="22"/>
        </w:rPr>
        <w:t>CUMBERLAND HOSPITAL PARTNERS, LLC</w:t>
      </w:r>
    </w:p>
    <w:p>
      <w:pPr>
        <w:pStyle w:val="TextBody"/>
        <w:bidi w:val="0"/>
        <w:jc w:val="left"/>
        <w:rPr>
          <w:rFonts w:ascii="Times New Roman" w:hAnsi="Times New Roman"/>
          <w:color w:val="000000"/>
          <w:sz w:val="22"/>
        </w:rPr>
      </w:pPr>
      <w:r>
        <w:rPr>
          <w:rFonts w:ascii="Times New Roman" w:hAnsi="Times New Roman"/>
          <w:color w:val="000000"/>
          <w:sz w:val="22"/>
        </w:rPr>
        <w:br/>
        <w:t>By: BHC Properties,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Behavioral Healthcare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 xml:space="preserve">By: BHC Holdings, Inc. </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CUMBERLAND HOSPITAL, LLC</w:t>
      </w:r>
    </w:p>
    <w:p>
      <w:pPr>
        <w:pStyle w:val="TextBody"/>
        <w:bidi w:val="0"/>
        <w:jc w:val="left"/>
        <w:rPr>
          <w:rFonts w:ascii="Times New Roman" w:hAnsi="Times New Roman"/>
          <w:color w:val="000000"/>
          <w:sz w:val="22"/>
        </w:rPr>
      </w:pPr>
      <w:r>
        <w:rPr>
          <w:rFonts w:ascii="Times New Roman" w:hAnsi="Times New Roman"/>
          <w:color w:val="000000"/>
          <w:sz w:val="22"/>
        </w:rPr>
        <w:br/>
        <w:t>By: Cumberland Hospital Partners, LLC</w:t>
        <w:br/>
        <w:t>Its Managing Member</w:t>
      </w:r>
    </w:p>
    <w:p>
      <w:pPr>
        <w:pStyle w:val="TextBody"/>
        <w:bidi w:val="0"/>
        <w:jc w:val="left"/>
        <w:rPr>
          <w:rFonts w:ascii="Times New Roman" w:hAnsi="Times New Roman"/>
          <w:color w:val="000000"/>
          <w:sz w:val="22"/>
        </w:rPr>
      </w:pPr>
      <w:r>
        <w:rPr>
          <w:rFonts w:ascii="Times New Roman" w:hAnsi="Times New Roman"/>
          <w:color w:val="000000"/>
          <w:sz w:val="22"/>
        </w:rPr>
        <w:br/>
        <w:t>By: BHC Properties, LLC</w:t>
        <w:br/>
        <w:t>Its Minority Member and Sole Member of the Managing Member</w:t>
      </w:r>
    </w:p>
    <w:p>
      <w:pPr>
        <w:pStyle w:val="TextBody"/>
        <w:bidi w:val="0"/>
        <w:jc w:val="left"/>
        <w:rPr>
          <w:rFonts w:ascii="Times New Roman" w:hAnsi="Times New Roman"/>
          <w:color w:val="000000"/>
          <w:sz w:val="22"/>
        </w:rPr>
      </w:pPr>
      <w:r>
        <w:rPr>
          <w:rFonts w:ascii="Times New Roman" w:hAnsi="Times New Roman"/>
          <w:color w:val="000000"/>
          <w:sz w:val="22"/>
        </w:rPr>
        <w:br/>
        <w:t>By: Behavioral Healthcare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br/>
        <w:t>Title: Vice President</w:t>
        <w:br/>
      </w:r>
      <w:r>
        <w:rPr>
          <w:rFonts w:ascii="Times New Roman" w:hAnsi="Times New Roman"/>
          <w:color w:val="000000"/>
          <w:sz w:val="20"/>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VALLE VISTA, LLC</w:t>
        <w:br/>
        <w:br/>
        <w:t>By: BHC of Indiana, General Partnership</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Columbus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Lebanon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Northern Indiana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Valle Vista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Behavioral Healthcare LLC</w:t>
        <w:br/>
        <w:t>The Sole Member of each of the above General Partners</w:t>
      </w:r>
    </w:p>
    <w:p>
      <w:pPr>
        <w:pStyle w:val="TextBody"/>
        <w:bidi w:val="0"/>
        <w:jc w:val="left"/>
        <w:rPr>
          <w:rFonts w:ascii="Times New Roman" w:hAnsi="Times New Roman"/>
          <w:color w:val="000000"/>
          <w:sz w:val="22"/>
        </w:rPr>
      </w:pPr>
      <w:r>
        <w:rPr>
          <w:rFonts w:ascii="Times New Roman" w:hAnsi="Times New Roman"/>
          <w:color w:val="000000"/>
          <w:sz w:val="22"/>
        </w:rPr>
        <w:b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 xml:space="preserve">Name: Steve Filton </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WELLSTONE REGIONAL HOSPITAL ACQUISITION, LLC</w:t>
        <w:br/>
        <w:br/>
        <w:t>By: Wellstone Holdings, Inc.</w:t>
        <w:br/>
        <w:t>Its Minority Member</w:t>
      </w:r>
    </w:p>
    <w:p>
      <w:pPr>
        <w:pStyle w:val="TextBody"/>
        <w:bidi w:val="0"/>
        <w:jc w:val="left"/>
        <w:rPr>
          <w:rFonts w:ascii="Times New Roman" w:hAnsi="Times New Roman"/>
          <w:color w:val="000000"/>
          <w:sz w:val="22"/>
        </w:rPr>
      </w:pPr>
      <w:r>
        <w:rPr>
          <w:rFonts w:ascii="Times New Roman" w:hAnsi="Times New Roman"/>
          <w:color w:val="000000"/>
          <w:sz w:val="22"/>
        </w:rPr>
        <w:br/>
        <w:t>By: Behavioral Healthcare LLC</w:t>
        <w:br/>
        <w:t>Its Managing Member and Sole Member of the Minority Member</w:t>
      </w:r>
    </w:p>
    <w:p>
      <w:pPr>
        <w:pStyle w:val="TextBody"/>
        <w:bidi w:val="0"/>
        <w:jc w:val="left"/>
        <w:rPr>
          <w:rFonts w:ascii="Times New Roman" w:hAnsi="Times New Roman"/>
          <w:color w:val="000000"/>
          <w:sz w:val="22"/>
        </w:rPr>
      </w:pPr>
      <w:r>
        <w:rPr>
          <w:rFonts w:ascii="Times New Roman" w:hAnsi="Times New Roman"/>
          <w:color w:val="000000"/>
          <w:sz w:val="22"/>
        </w:rPr>
        <w:b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HORIZON HEALTH HOSPITAL SERVICES, LLC</w:t>
        <w:br/>
        <w:t xml:space="preserve">HORIZON MENTAL HEALTH MANAGEMENT, LLC </w:t>
        <w:br/>
        <w:br/>
        <w:t>By: Horizon Health Corporation</w:t>
        <w:br/>
        <w:t>Its Sole Member</w:t>
      </w:r>
    </w:p>
    <w:p>
      <w:pPr>
        <w:pStyle w:val="TextBody"/>
        <w:bidi w:val="0"/>
        <w:jc w:val="left"/>
        <w:rPr>
          <w:rFonts w:ascii="Times New Roman" w:hAnsi="Times New Roman"/>
          <w:sz w:val="20"/>
        </w:rPr>
      </w:pPr>
      <w:r>
        <w:rPr>
          <w:rFonts w:ascii="Times New Roman" w:hAnsi="Times New Roman"/>
          <w:b/>
          <w:color w:val="000000"/>
          <w:sz w:val="22"/>
        </w:rPr>
        <w:br/>
      </w: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 xml:space="preserve">Name: Steve Filton </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HHC PENNSYLVANIA, LLC</w:t>
      </w:r>
    </w:p>
    <w:p>
      <w:pPr>
        <w:pStyle w:val="TextBody"/>
        <w:bidi w:val="0"/>
        <w:jc w:val="left"/>
        <w:rPr>
          <w:rFonts w:ascii="Times New Roman" w:hAnsi="Times New Roman"/>
          <w:color w:val="000000"/>
          <w:sz w:val="22"/>
        </w:rPr>
      </w:pPr>
      <w:r>
        <w:rPr>
          <w:rFonts w:ascii="Times New Roman" w:hAnsi="Times New Roman"/>
          <w:color w:val="000000"/>
          <w:sz w:val="22"/>
        </w:rPr>
        <w:t>HHC POPLAR SPRINGS, LLC</w:t>
      </w:r>
    </w:p>
    <w:p>
      <w:pPr>
        <w:pStyle w:val="TextBody"/>
        <w:bidi w:val="0"/>
        <w:jc w:val="left"/>
        <w:rPr>
          <w:rFonts w:ascii="Times New Roman" w:hAnsi="Times New Roman"/>
          <w:color w:val="000000"/>
          <w:sz w:val="22"/>
        </w:rPr>
      </w:pPr>
      <w:r>
        <w:rPr>
          <w:rFonts w:ascii="Times New Roman" w:hAnsi="Times New Roman"/>
          <w:color w:val="000000"/>
          <w:sz w:val="22"/>
        </w:rPr>
        <w:t>KINGWOOD PINES HOSPITAL, LLC</w:t>
        <w:br/>
        <w:t>SCHICK SHADEL OF FLORIDA, LLC</w:t>
      </w:r>
    </w:p>
    <w:p>
      <w:pPr>
        <w:pStyle w:val="TextBody"/>
        <w:bidi w:val="0"/>
        <w:jc w:val="left"/>
        <w:rPr>
          <w:rFonts w:ascii="Times New Roman" w:hAnsi="Times New Roman"/>
          <w:color w:val="000000"/>
          <w:sz w:val="22"/>
        </w:rPr>
      </w:pPr>
      <w:r>
        <w:rPr>
          <w:rFonts w:ascii="Times New Roman" w:hAnsi="Times New Roman"/>
          <w:color w:val="000000"/>
          <w:sz w:val="22"/>
        </w:rPr>
        <w:t>TOLEDO HOLDING CO., LLC</w:t>
        <w:br/>
        <w:br/>
        <w:t>By: Horizon Health Hospital Services,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Horizon Health Corporation</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HICKORY TRAIL HOSPITAL, L.P.</w:t>
        <w:br/>
        <w:t>MILLWOOD HOSPITAL, L.P.</w:t>
      </w:r>
    </w:p>
    <w:p>
      <w:pPr>
        <w:pStyle w:val="TextBody"/>
        <w:bidi w:val="0"/>
        <w:jc w:val="left"/>
        <w:rPr>
          <w:rFonts w:ascii="Times New Roman" w:hAnsi="Times New Roman"/>
          <w:color w:val="000000"/>
          <w:sz w:val="22"/>
        </w:rPr>
      </w:pPr>
      <w:r>
        <w:rPr>
          <w:rFonts w:ascii="Times New Roman" w:hAnsi="Times New Roman"/>
          <w:color w:val="000000"/>
          <w:sz w:val="22"/>
        </w:rPr>
        <w:t>NEURO INSTITUTE OF AUSTIN, L.P.</w:t>
        <w:br/>
        <w:t>TEXAS CYPRESS CREEK HOSPITAL, L.P.</w:t>
        <w:br/>
        <w:t>TEXAS LAUREL RIDGE HOSPITAL, L.P.</w:t>
        <w:br/>
        <w:t>TEXAS OAKS PSYCHIATRIC HOSPITAL, L.P.</w:t>
      </w:r>
    </w:p>
    <w:p>
      <w:pPr>
        <w:pStyle w:val="TextBody"/>
        <w:bidi w:val="0"/>
        <w:jc w:val="left"/>
        <w:rPr>
          <w:rFonts w:ascii="Times New Roman" w:hAnsi="Times New Roman"/>
          <w:sz w:val="20"/>
        </w:rPr>
      </w:pPr>
      <w:r>
        <w:rPr>
          <w:rFonts w:ascii="Times New Roman" w:hAnsi="Times New Roman"/>
          <w:color w:val="000000"/>
          <w:sz w:val="22"/>
        </w:rPr>
        <w:t>TEXAS SAN MARCOS TREATMENT CENTER, L.P.</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TEXAS WEST OAKS HOSPITAL, L.P.</w:t>
        <w:br/>
        <w:br/>
        <w:t>By: Texas Hospital Holdings,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Psychiatric Solutions Hospitals, LLC</w:t>
        <w:br/>
        <w:t>Its Sole Member</w:t>
      </w:r>
    </w:p>
    <w:p>
      <w:pPr>
        <w:pStyle w:val="TextBody"/>
        <w:bidi w:val="0"/>
        <w:jc w:val="left"/>
        <w:rPr>
          <w:rFonts w:ascii="Times New Roman" w:hAnsi="Times New Roman"/>
          <w:color w:val="000000"/>
          <w:sz w:val="22"/>
        </w:rPr>
      </w:pPr>
      <w:r>
        <w:rPr>
          <w:rFonts w:ascii="Times New Roman" w:hAnsi="Times New Roman"/>
          <w:color w:val="000000"/>
          <w:sz w:val="22"/>
        </w:rPr>
        <w:br/>
        <w:t>By: Psychiatric Solutions,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SHC-KPH, LP</w:t>
        <w:br/>
        <w:br/>
        <w:t>By: HHC Kingwood Investment,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 xml:space="preserve">By: Horizon Health Hospital Services, LLC </w:t>
        <w:br/>
        <w:t>Sole member of the General Partner</w:t>
      </w:r>
    </w:p>
    <w:p>
      <w:pPr>
        <w:pStyle w:val="TextBody"/>
        <w:bidi w:val="0"/>
        <w:jc w:val="left"/>
        <w:rPr>
          <w:rFonts w:ascii="Times New Roman" w:hAnsi="Times New Roman"/>
          <w:color w:val="000000"/>
          <w:sz w:val="22"/>
        </w:rPr>
      </w:pPr>
      <w:r>
        <w:rPr>
          <w:rFonts w:ascii="Times New Roman" w:hAnsi="Times New Roman"/>
          <w:color w:val="000000"/>
          <w:sz w:val="22"/>
        </w:rPr>
        <w:br/>
        <w:t>By: Horizon Health Corporation</w:t>
        <w:br/>
        <w:t>Its sole member</w:t>
      </w:r>
    </w:p>
    <w:p>
      <w:pPr>
        <w:pStyle w:val="TextBody"/>
        <w:bidi w:val="0"/>
        <w:jc w:val="left"/>
        <w:rPr>
          <w:rFonts w:ascii="Times New Roman" w:hAnsi="Times New Roman"/>
          <w:sz w:val="20"/>
        </w:rPr>
      </w:pPr>
      <w:r>
        <w:rPr>
          <w:rFonts w:ascii="Times New Roman" w:hAnsi="Times New Roman"/>
          <w:color w:val="000000"/>
          <w:sz w:val="22"/>
        </w:rPr>
        <w:br/>
        <w:br/>
        <w:t>By:</w:t>
      </w:r>
      <w:r>
        <w:rPr>
          <w:rFonts w:ascii="Times New Roman" w:hAnsi="Times New Roman"/>
          <w:color w:val="000000"/>
          <w:sz w:val="20"/>
        </w:rPr>
        <w:t xml:space="preserve">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H.C. PARTNERSHIP</w:t>
        <w:br/>
        <w:br/>
        <w:t>By: H. C. Corporation</w:t>
        <w:br/>
        <w:t>Its General Partner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rFonts w:ascii="Times New Roman" w:hAnsi="Times New Roman"/>
          <w:sz w:val="20"/>
        </w:rPr>
      </w:pPr>
      <w:r>
        <w:rPr>
          <w:rFonts w:ascii="Times New Roman" w:hAnsi="Times New Roman"/>
          <w:color w:val="000000"/>
          <w:sz w:val="22"/>
        </w:rPr>
        <w:br/>
        <w:t>By: HSA Hill Crest Corporation</w:t>
        <w:br/>
        <w:t>Its General Partner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BHC OF INDIANA, GENERAL PARTNERSHIP</w:t>
        <w:br/>
        <w:br/>
        <w:t>By: Columbus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Lebanon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Northern Indiana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Valle Vista Hospital Partners,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br/>
        <w:t>By: Behavioral Healthcare LLC</w:t>
        <w:br/>
        <w:t>The Sole Member of each of the above General Partners</w:t>
      </w:r>
    </w:p>
    <w:p>
      <w:pPr>
        <w:pStyle w:val="TextBody"/>
        <w:bidi w:val="0"/>
        <w:jc w:val="left"/>
        <w:rPr>
          <w:rFonts w:ascii="Times New Roman" w:hAnsi="Times New Roman"/>
          <w:color w:val="000000"/>
          <w:sz w:val="22"/>
        </w:rPr>
      </w:pPr>
      <w:r>
        <w:rPr>
          <w:rFonts w:ascii="Times New Roman" w:hAnsi="Times New Roman"/>
          <w:color w:val="000000"/>
          <w:sz w:val="22"/>
        </w:rPr>
        <w:br/>
        <w:t>By: BHC Holdings, Inc.</w:t>
        <w:br/>
        <w:t>Its Sole Member</w:t>
      </w:r>
    </w:p>
    <w:p>
      <w:pPr>
        <w:pStyle w:val="TextBody"/>
        <w:bidi w:val="0"/>
        <w:jc w:val="left"/>
        <w:rPr>
          <w:rFonts w:ascii="Times New Roman" w:hAnsi="Times New Roman"/>
          <w:sz w:val="20"/>
        </w:rPr>
      </w:pPr>
      <w:r>
        <w:rPr>
          <w:rFonts w:ascii="Times New Roman" w:hAnsi="Times New Roman"/>
          <w:color w:val="000000"/>
          <w:sz w:val="22"/>
        </w:rP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INDEPENDENCE PHYSICIAN MANAGEMENT, LLC</w:t>
        <w:br/>
        <w:br/>
        <w:t>By: UHS of Fairmount,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aps/>
          <w:color w:val="000000"/>
          <w:sz w:val="22"/>
        </w:rPr>
      </w:pPr>
      <w:r>
        <w:rPr>
          <w:rFonts w:ascii="Times New Roman" w:hAnsi="Times New Roman"/>
          <w:caps/>
          <w:color w:val="000000"/>
          <w:sz w:val="22"/>
        </w:rPr>
        <w:t>Behavioral Health Management, LLC</w:t>
      </w:r>
    </w:p>
    <w:p>
      <w:pPr>
        <w:pStyle w:val="TextBody"/>
        <w:bidi w:val="0"/>
        <w:jc w:val="left"/>
        <w:rPr>
          <w:rFonts w:ascii="Times New Roman" w:hAnsi="Times New Roman"/>
          <w:caps/>
          <w:color w:val="000000"/>
          <w:sz w:val="22"/>
        </w:rPr>
      </w:pPr>
      <w:r>
        <w:rPr>
          <w:rFonts w:ascii="Times New Roman" w:hAnsi="Times New Roman"/>
          <w:caps/>
          <w:color w:val="000000"/>
          <w:sz w:val="22"/>
        </w:rPr>
        <w:t>Behavioral Health Realty, LLC</w:t>
      </w:r>
    </w:p>
    <w:p>
      <w:pPr>
        <w:pStyle w:val="TextBody"/>
        <w:bidi w:val="0"/>
        <w:jc w:val="left"/>
        <w:rPr>
          <w:rFonts w:ascii="Times New Roman" w:hAnsi="Times New Roman"/>
          <w:caps/>
          <w:color w:val="000000"/>
          <w:sz w:val="22"/>
        </w:rPr>
      </w:pPr>
      <w:r>
        <w:rPr>
          <w:rFonts w:ascii="Times New Roman" w:hAnsi="Times New Roman"/>
          <w:caps/>
          <w:color w:val="000000"/>
          <w:sz w:val="22"/>
        </w:rPr>
        <w:t>CAT Realty, LLC</w:t>
      </w:r>
    </w:p>
    <w:p>
      <w:pPr>
        <w:pStyle w:val="TextBody"/>
        <w:bidi w:val="0"/>
        <w:jc w:val="left"/>
        <w:rPr>
          <w:rFonts w:ascii="Times New Roman" w:hAnsi="Times New Roman"/>
          <w:caps/>
          <w:color w:val="000000"/>
          <w:sz w:val="22"/>
        </w:rPr>
      </w:pPr>
      <w:r>
        <w:rPr>
          <w:rFonts w:ascii="Times New Roman" w:hAnsi="Times New Roman"/>
          <w:caps/>
          <w:color w:val="000000"/>
          <w:sz w:val="22"/>
        </w:rPr>
        <w:t>CAT Seattle, LLC</w:t>
      </w:r>
    </w:p>
    <w:p>
      <w:pPr>
        <w:pStyle w:val="TextBody"/>
        <w:bidi w:val="0"/>
        <w:jc w:val="left"/>
        <w:rPr>
          <w:rFonts w:ascii="Times New Roman" w:hAnsi="Times New Roman"/>
          <w:color w:val="000000"/>
          <w:sz w:val="22"/>
        </w:rPr>
      </w:pPr>
      <w:r>
        <w:rPr>
          <w:rFonts w:ascii="Times New Roman" w:hAnsi="Times New Roman"/>
          <w:color w:val="000000"/>
          <w:sz w:val="22"/>
        </w:rPr>
        <w:t>MAYHILL BEHAVIORAL HEALTH, LLC</w:t>
      </w:r>
    </w:p>
    <w:p>
      <w:pPr>
        <w:pStyle w:val="TextBody"/>
        <w:bidi w:val="0"/>
        <w:jc w:val="left"/>
        <w:rPr>
          <w:rFonts w:ascii="Times New Roman" w:hAnsi="Times New Roman"/>
          <w:caps/>
          <w:color w:val="000000"/>
          <w:sz w:val="22"/>
        </w:rPr>
      </w:pPr>
      <w:r>
        <w:rPr>
          <w:rFonts w:ascii="Times New Roman" w:hAnsi="Times New Roman"/>
          <w:caps/>
          <w:color w:val="000000"/>
          <w:sz w:val="22"/>
        </w:rPr>
        <w:t>Psychiatric Realty, LLC</w:t>
      </w:r>
    </w:p>
    <w:p>
      <w:pPr>
        <w:pStyle w:val="TextBody"/>
        <w:bidi w:val="0"/>
        <w:jc w:val="left"/>
        <w:rPr>
          <w:rFonts w:ascii="Times New Roman" w:hAnsi="Times New Roman"/>
          <w:color w:val="000000"/>
          <w:sz w:val="22"/>
        </w:rPr>
      </w:pPr>
      <w:r>
        <w:rPr>
          <w:rFonts w:ascii="Times New Roman" w:hAnsi="Times New Roman"/>
          <w:color w:val="000000"/>
          <w:sz w:val="22"/>
        </w:rPr>
        <w:t>RR RECOVERY, LLC</w:t>
      </w:r>
    </w:p>
    <w:p>
      <w:pPr>
        <w:pStyle w:val="TextBody"/>
        <w:bidi w:val="0"/>
        <w:jc w:val="left"/>
        <w:rPr>
          <w:rFonts w:ascii="Times New Roman" w:hAnsi="Times New Roman"/>
          <w:caps/>
          <w:color w:val="000000"/>
          <w:sz w:val="22"/>
        </w:rPr>
      </w:pPr>
      <w:r>
        <w:rPr>
          <w:rFonts w:ascii="Times New Roman" w:hAnsi="Times New Roman"/>
          <w:caps/>
          <w:color w:val="000000"/>
          <w:sz w:val="22"/>
        </w:rPr>
        <w:t>Salt Lake Behavioral Health, LLC</w:t>
      </w:r>
    </w:p>
    <w:p>
      <w:pPr>
        <w:pStyle w:val="TextBody"/>
        <w:bidi w:val="0"/>
        <w:jc w:val="left"/>
        <w:rPr>
          <w:rFonts w:ascii="Times New Roman" w:hAnsi="Times New Roman"/>
          <w:caps/>
          <w:color w:val="000000"/>
          <w:sz w:val="22"/>
        </w:rPr>
      </w:pPr>
      <w:r>
        <w:rPr>
          <w:rFonts w:ascii="Times New Roman" w:hAnsi="Times New Roman"/>
          <w:caps/>
          <w:color w:val="000000"/>
          <w:sz w:val="22"/>
        </w:rPr>
        <w:t>Salt Lake Psychiatric Realty, LLC</w:t>
      </w:r>
    </w:p>
    <w:p>
      <w:pPr>
        <w:pStyle w:val="TextBody"/>
        <w:bidi w:val="0"/>
        <w:jc w:val="left"/>
        <w:rPr>
          <w:rFonts w:ascii="Times New Roman" w:hAnsi="Times New Roman"/>
          <w:color w:val="000000"/>
          <w:sz w:val="22"/>
        </w:rPr>
      </w:pPr>
      <w:r>
        <w:rPr>
          <w:rFonts w:ascii="Times New Roman" w:hAnsi="Times New Roman"/>
          <w:color w:val="000000"/>
          <w:sz w:val="22"/>
        </w:rPr>
        <w:t>UBH OF OREGON, LLC</w:t>
      </w:r>
    </w:p>
    <w:p>
      <w:pPr>
        <w:pStyle w:val="TextBody"/>
        <w:bidi w:val="0"/>
        <w:jc w:val="left"/>
        <w:rPr>
          <w:rFonts w:ascii="Times New Roman" w:hAnsi="Times New Roman"/>
          <w:caps/>
          <w:color w:val="000000"/>
          <w:sz w:val="22"/>
        </w:rPr>
      </w:pPr>
      <w:r>
        <w:rPr>
          <w:rFonts w:ascii="Times New Roman" w:hAnsi="Times New Roman"/>
          <w:caps/>
          <w:color w:val="000000"/>
          <w:sz w:val="22"/>
        </w:rPr>
        <w:t>UBH of Phoenix, LLC</w:t>
      </w:r>
    </w:p>
    <w:p>
      <w:pPr>
        <w:pStyle w:val="TextBody"/>
        <w:bidi w:val="0"/>
        <w:jc w:val="left"/>
        <w:rPr>
          <w:rFonts w:ascii="Times New Roman" w:hAnsi="Times New Roman"/>
          <w:caps/>
          <w:color w:val="000000"/>
          <w:sz w:val="22"/>
        </w:rPr>
      </w:pPr>
      <w:r>
        <w:rPr>
          <w:rFonts w:ascii="Times New Roman" w:hAnsi="Times New Roman"/>
          <w:caps/>
          <w:color w:val="000000"/>
          <w:sz w:val="22"/>
        </w:rPr>
        <w:t>UBH of Phoenix Realty, LLC</w:t>
      </w:r>
    </w:p>
    <w:p>
      <w:pPr>
        <w:pStyle w:val="TextBody"/>
        <w:bidi w:val="0"/>
        <w:jc w:val="left"/>
        <w:rPr>
          <w:rFonts w:ascii="Times New Roman" w:hAnsi="Times New Roman"/>
          <w:sz w:val="20"/>
        </w:rPr>
      </w:pPr>
      <w:r>
        <w:rPr>
          <w:rFonts w:ascii="Times New Roman" w:hAnsi="Times New Roman"/>
          <w:caps/>
          <w:color w:val="000000"/>
          <w:sz w:val="22"/>
        </w:rPr>
        <w:t>University Behavioral Health of El Paso, LLC</w:t>
      </w:r>
      <w:r>
        <w:rPr>
          <w:rFonts w:ascii="Times New Roman" w:hAnsi="Times New Roman"/>
          <w:color w:val="000000"/>
          <w:sz w:val="22"/>
        </w:rPr>
        <w:br/>
        <w:br/>
        <w:t>By: Ascend Health Corporation</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aps/>
          <w:color w:val="000000"/>
          <w:sz w:val="22"/>
        </w:rPr>
        <w:t>GARFIELD PARK HOSPITAL, LLC</w:t>
      </w:r>
      <w:r>
        <w:rPr>
          <w:rFonts w:ascii="Times New Roman" w:hAnsi="Times New Roman"/>
          <w:color w:val="000000"/>
          <w:sz w:val="22"/>
        </w:rPr>
        <w:br/>
        <w:br/>
        <w:t>By: UHS of Hartgrove,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aps/>
          <w:color w:val="000000"/>
          <w:sz w:val="22"/>
        </w:rPr>
        <w:t>abs lincs ky, llc</w:t>
      </w:r>
      <w:r>
        <w:rPr>
          <w:rFonts w:ascii="Times New Roman" w:hAnsi="Times New Roman"/>
          <w:color w:val="000000"/>
          <w:sz w:val="22"/>
        </w:rPr>
        <w:br/>
        <w:t>HUGHES CENTER, LLC</w:t>
      </w:r>
    </w:p>
    <w:p>
      <w:pPr>
        <w:pStyle w:val="TextBody"/>
        <w:bidi w:val="0"/>
        <w:jc w:val="left"/>
        <w:rPr>
          <w:rFonts w:ascii="Times New Roman" w:hAnsi="Times New Roman"/>
          <w:sz w:val="20"/>
        </w:rPr>
      </w:pPr>
      <w:r>
        <w:rPr>
          <w:rFonts w:ascii="Times New Roman" w:hAnsi="Times New Roman"/>
          <w:color w:val="000000"/>
          <w:sz w:val="22"/>
        </w:rPr>
        <w:br/>
        <w:t>By: Alternative Behavioral Services,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VALLEY HEALTH SYSTEM LLC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Valley Hospital Medical Center, Inc.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UHP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Island 77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Ascend Health Corporation</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BEACH 77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2026 W. University Properties,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Ascend Health Corporation</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CORAL SHORES BEHAVIORAL HEALTH, LLC</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Children’s Comprehensive Services,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DVH HOSPITAL ALLIANCE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UHS Holding Company, Inc.</w:t>
        <w:br/>
        <w:t>Its sole member</w:t>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DHP 2131 K ST, LLC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District Hospital Partners, L.P.</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of D.C., Inc.</w:t>
        <w:b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UHS FUNDING, LLC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of Delaware, Inc.</w:t>
      </w:r>
    </w:p>
    <w:p>
      <w:pPr>
        <w:pStyle w:val="TextBody"/>
        <w:bidi w:val="0"/>
        <w:jc w:val="left"/>
        <w:rPr>
          <w:rFonts w:ascii="Times New Roman" w:hAnsi="Times New Roman"/>
          <w:color w:val="000000"/>
          <w:sz w:val="22"/>
        </w:rPr>
      </w:pPr>
      <w:r>
        <w:rPr>
          <w:rFonts w:ascii="Times New Roman" w:hAnsi="Times New Roman"/>
          <w:color w:val="000000"/>
          <w:sz w:val="22"/>
        </w:rPr>
        <w:t>Its majority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Executive Vice President and Chief Financial Officer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Universal Health Services, Inc.</w:t>
      </w:r>
    </w:p>
    <w:p>
      <w:pPr>
        <w:pStyle w:val="TextBody"/>
        <w:bidi w:val="0"/>
        <w:jc w:val="left"/>
        <w:rPr>
          <w:rFonts w:ascii="Times New Roman" w:hAnsi="Times New Roman"/>
          <w:color w:val="000000"/>
          <w:sz w:val="22"/>
        </w:rPr>
      </w:pPr>
      <w:r>
        <w:rPr>
          <w:rFonts w:ascii="Times New Roman" w:hAnsi="Times New Roman"/>
          <w:color w:val="000000"/>
          <w:sz w:val="22"/>
        </w:rPr>
        <w:t>Its minority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Executive Vice President, Chief Financial Officer and Secretary</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MILWAUKEE BEHAVIORAL HEALTH, LLC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of Delaware, Inc.</w:t>
      </w:r>
    </w:p>
    <w:p>
      <w:pPr>
        <w:pStyle w:val="TextBody"/>
        <w:bidi w:val="0"/>
        <w:jc w:val="left"/>
        <w:rPr>
          <w:rFonts w:ascii="Times New Roman" w:hAnsi="Times New Roman"/>
          <w:color w:val="000000"/>
          <w:sz w:val="22"/>
        </w:rPr>
      </w:pPr>
      <w:r>
        <w:rPr>
          <w:rFonts w:ascii="Times New Roman" w:hAnsi="Times New Roman"/>
          <w:color w:val="000000"/>
          <w:sz w:val="22"/>
        </w:rPr>
        <w:t>Its minority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Executive Vice President and Chief Financial Officer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Funding, LLC</w:t>
      </w:r>
    </w:p>
    <w:p>
      <w:pPr>
        <w:pStyle w:val="TextBody"/>
        <w:bidi w:val="0"/>
        <w:jc w:val="left"/>
        <w:rPr>
          <w:rFonts w:ascii="Times New Roman" w:hAnsi="Times New Roman"/>
          <w:color w:val="000000"/>
          <w:sz w:val="22"/>
        </w:rPr>
      </w:pPr>
      <w:r>
        <w:rPr>
          <w:rFonts w:ascii="Times New Roman" w:hAnsi="Times New Roman"/>
          <w:color w:val="000000"/>
          <w:sz w:val="22"/>
        </w:rPr>
        <w:t>Its majority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UHS of Delaware, Inc.</w:t>
      </w:r>
    </w:p>
    <w:p>
      <w:pPr>
        <w:pStyle w:val="TextBody"/>
        <w:bidi w:val="0"/>
        <w:jc w:val="left"/>
        <w:rPr>
          <w:rFonts w:ascii="Times New Roman" w:hAnsi="Times New Roman"/>
          <w:color w:val="000000"/>
          <w:sz w:val="22"/>
        </w:rPr>
      </w:pPr>
      <w:r>
        <w:rPr>
          <w:rFonts w:ascii="Times New Roman" w:hAnsi="Times New Roman"/>
          <w:color w:val="000000"/>
          <w:sz w:val="22"/>
        </w:rPr>
        <w:t>Its majority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Executive Vice President and Chief Financial Officer</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FANNIN MANAGEMENT SERVICES, LLC</w:t>
        <w:br/>
        <w:br/>
        <w:t>By: UHS of Texoma, Inc.</w:t>
        <w:br/>
        <w:t>Its sole member</w:t>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RIDGE OUTPATIENT COUNSELING, L.L.C.</w:t>
        <w:br/>
        <w:br/>
        <w:t>By: UHS of Ridge, LLC</w:t>
        <w:br/>
        <w:t>Its sole member</w:t>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BLOOMINGTON MEADOWS, GENERAL PARTNERSHIP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BHC of Indiana, General Partnership,</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Columbus Hospital Partners,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Lebanon Hospital Partners,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Northern Indiana Partners,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Valle Vista Hospital Partners,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Behavioral Healthcare LLC,</w:t>
      </w:r>
    </w:p>
    <w:p>
      <w:pPr>
        <w:pStyle w:val="TextBody"/>
        <w:bidi w:val="0"/>
        <w:jc w:val="left"/>
        <w:rPr>
          <w:rFonts w:ascii="Times New Roman" w:hAnsi="Times New Roman"/>
          <w:sz w:val="20"/>
        </w:rPr>
      </w:pPr>
      <w:r>
        <w:rPr>
          <w:rFonts w:ascii="Times New Roman" w:hAnsi="Times New Roman"/>
          <w:color w:val="000000"/>
          <w:sz w:val="22"/>
        </w:rPr>
        <w:t>the Sole Member of each of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above General Partners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BHC Holdings, Inc.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Indiana Psychiatric Institutes,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BHC Healthcare, LLC,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BHC Holdings, Inc.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DISTRICT HOSPITAL PARTNERS, L.P.</w:t>
        <w:br/>
        <w:br/>
        <w:t>By: UHS of D.C., Inc.</w:t>
        <w:br/>
        <w:t>Its general partner</w:t>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UHS OF KANSAS CITY, LLC</w:t>
        <w:br/>
        <w:br/>
        <w:t>By: Great Plains Hospital, Inc.</w:t>
        <w:br/>
        <w:t>Its Sole Member</w:t>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UHS EAST END SUB, LLC</w:t>
        <w:br/>
        <w:br/>
        <w:t>By: UHS East End Corporation</w:t>
        <w:br/>
        <w:t>Its Sole Member</w:t>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color w:val="000000"/>
          <w:sz w:val="22"/>
        </w:rPr>
      </w:pPr>
      <w:r>
        <w:rPr>
          <w:rFonts w:ascii="Times New Roman" w:hAnsi="Times New Roman"/>
          <w:color w:val="000000"/>
          <w:sz w:val="22"/>
        </w:rPr>
        <w:t>Name: Steve Filton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UHS EAST END CORPORATION</w:t>
        <w:br/>
        <w:br/>
        <w:br/>
        <w:br/>
        <w:br/>
        <w:t xml:space="preserve">By: </w:t>
      </w:r>
      <w:r>
        <w:rPr>
          <w:rFonts w:ascii="Times New Roman" w:hAnsi="Times New Roman"/>
          <w:color w:val="000000"/>
          <w:sz w:val="22"/>
          <w:u w:val="single"/>
        </w:rPr>
        <w:t xml:space="preserve">/s/ Steve Filton </w:t>
      </w:r>
    </w:p>
    <w:p>
      <w:pPr>
        <w:pStyle w:val="TextBody"/>
        <w:bidi w:val="0"/>
        <w:jc w:val="left"/>
        <w:rPr>
          <w:rFonts w:ascii="Times New Roman" w:hAnsi="Times New Roman"/>
          <w:sz w:val="20"/>
        </w:rPr>
      </w:pPr>
      <w:r>
        <w:rPr>
          <w:rFonts w:ascii="Times New Roman" w:hAnsi="Times New Roman"/>
          <w:color w:val="000000"/>
          <w:sz w:val="22"/>
        </w:rPr>
        <w:t>Name: Steve Filton</w:t>
        <w:br/>
        <w:t>Title: Vice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JPMORGAN CHASE BANK, N.A., as Administrative Agent, an Existing Lender and a 2026-2 Delayed Draw Term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Sebastian Leszczuk</w:t>
      </w:r>
      <w:r>
        <w:rPr>
          <w:rFonts w:ascii="Times New Roman" w:hAnsi="Times New Roman"/>
          <w:color w:val="000000"/>
          <w:sz w:val="22"/>
        </w:rPr>
        <w:br/>
        <w:t>Name: Sebastian Leszczuk</w:t>
        <w:br/>
        <w:t>Title: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BANK OF AMERICA, N.A., as an Existing Lender and a 2026-2 Delayed Draw Term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Grant Griffith</w:t>
      </w:r>
      <w:r>
        <w:rPr>
          <w:rFonts w:ascii="Times New Roman" w:hAnsi="Times New Roman"/>
          <w:color w:val="000000"/>
          <w:sz w:val="20"/>
        </w:rPr>
        <w:br/>
        <w:t>Name: Grant Griffith</w:t>
        <w:br/>
        <w:t xml:space="preserve">Title: </w:t>
      </w:r>
      <w:r>
        <w:rPr>
          <w:rFonts w:ascii="Times New Roman" w:hAnsi="Times New Roman"/>
          <w:color w:val="000000"/>
          <w:sz w:val="22"/>
        </w:rPr>
        <w:t>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Truist Bank,</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 and a 2026-2 Delayed Draw Term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Anton Brykalin</w:t>
      </w:r>
      <w:r>
        <w:rPr>
          <w:rFonts w:ascii="Times New Roman" w:hAnsi="Times New Roman"/>
          <w:color w:val="000000"/>
          <w:sz w:val="20"/>
        </w:rPr>
        <w:br/>
        <w:t>Name: Anton Brykalin</w:t>
        <w:br/>
        <w:t xml:space="preserve">Title: </w:t>
      </w:r>
      <w:r>
        <w:rPr>
          <w:rFonts w:ascii="Times New Roman" w:hAnsi="Times New Roman"/>
          <w:color w:val="000000"/>
          <w:sz w:val="22"/>
        </w:rPr>
        <w:t>Director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U.S BANK NATIONAL ASSOCIATION, as an Existing Lender and a 2026-2 Delayed Draw Term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Heidi Barta</w:t>
      </w:r>
      <w:r>
        <w:rPr>
          <w:rFonts w:ascii="Times New Roman" w:hAnsi="Times New Roman"/>
          <w:color w:val="000000"/>
          <w:sz w:val="22"/>
        </w:rPr>
        <w:br/>
        <w:t>Name: Heidi Barta</w:t>
        <w:br/>
        <w:t>Title: Vice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WELLS FARGO BANK, NATIONAL ASSOCIATION as an Existing Lender and a 2026-2 Delayed Draw Term Lender</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Eugene Stunson </w:t>
      </w:r>
      <w:r>
        <w:rPr>
          <w:rFonts w:ascii="Times New Roman" w:hAnsi="Times New Roman"/>
          <w:color w:val="000000"/>
          <w:sz w:val="22"/>
        </w:rPr>
        <w:br/>
        <w:t>Name: Eugene Stunson</w:t>
      </w:r>
    </w:p>
    <w:p>
      <w:pPr>
        <w:pStyle w:val="TextBody"/>
        <w:bidi w:val="0"/>
        <w:jc w:val="center"/>
        <w:rPr>
          <w:rFonts w:ascii="Times New Roman" w:hAnsi="Times New Roman"/>
          <w:sz w:val="20"/>
        </w:rPr>
      </w:pPr>
      <w:r>
        <w:rPr>
          <w:rFonts w:ascii="Times New Roman" w:hAnsi="Times New Roman"/>
          <w:color w:val="000000"/>
          <w:sz w:val="22"/>
        </w:rPr>
        <w:t>Title: Executive Director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National Westminster Bank plc,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Jonathan Eady </w:t>
      </w:r>
    </w:p>
    <w:p>
      <w:pPr>
        <w:pStyle w:val="TextBody"/>
        <w:bidi w:val="0"/>
        <w:jc w:val="center"/>
        <w:rPr>
          <w:rFonts w:ascii="Times New Roman" w:hAnsi="Times New Roman"/>
          <w:sz w:val="20"/>
        </w:rPr>
      </w:pPr>
      <w:r>
        <w:rPr>
          <w:rFonts w:ascii="Times New Roman" w:hAnsi="Times New Roman"/>
          <w:color w:val="000000"/>
          <w:sz w:val="22"/>
        </w:rPr>
        <w:t>Name: Jonathan Eady</w:t>
        <w:br/>
        <w:t>Title: Director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PNC Bank, National Association,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as an Existing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Emad Antoan </w:t>
      </w:r>
      <w:r>
        <w:rPr>
          <w:rFonts w:ascii="Times New Roman" w:hAnsi="Times New Roman"/>
          <w:color w:val="000000"/>
          <w:sz w:val="22"/>
        </w:rPr>
        <w:br/>
        <w:t>Name: Emad Antoan</w:t>
        <w:br/>
        <w:t>Title: Senior Vice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THE TORONTO-DOMINION BANK, NEW YORK BRANCH,</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Mike Tkach </w:t>
      </w:r>
      <w:r>
        <w:rPr>
          <w:rFonts w:ascii="Times New Roman" w:hAnsi="Times New Roman"/>
          <w:color w:val="000000"/>
          <w:sz w:val="22"/>
        </w:rPr>
        <w:br/>
        <w:t>Name: Mike Tkach</w:t>
        <w:br/>
        <w:t>Title: Authorized Signatory</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MIZUHO BANK, LTD.,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as an Existing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Tracy Rahn </w:t>
      </w:r>
      <w:r>
        <w:rPr>
          <w:rFonts w:ascii="Times New Roman" w:hAnsi="Times New Roman"/>
          <w:color w:val="000000"/>
          <w:sz w:val="22"/>
        </w:rPr>
        <w:br/>
        <w:t>Name: Tracy Rahn</w:t>
        <w:br/>
        <w:t>Title: Managing Director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KEYBANK NATIONAL ASSOCIATION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as an Existing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Shibani Faehnle </w:t>
      </w:r>
      <w:r>
        <w:rPr>
          <w:rFonts w:ascii="Times New Roman" w:hAnsi="Times New Roman"/>
          <w:color w:val="000000"/>
          <w:sz w:val="22"/>
        </w:rPr>
        <w:br/>
        <w:t>Name: Shibani Faehnle</w:t>
        <w:br/>
        <w:t>Title: Senior Vice President</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GOLDMAN SACHS BANK USA,</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Elizabeth Tobin </w:t>
      </w:r>
      <w:r>
        <w:rPr>
          <w:rFonts w:ascii="Times New Roman" w:hAnsi="Times New Roman"/>
          <w:color w:val="000000"/>
          <w:sz w:val="22"/>
        </w:rPr>
        <w:br/>
        <w:t>Name: Elizabeth Tobin</w:t>
        <w:br/>
        <w:t>Title: Authorized Signatory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Fifth Third Bank, National Association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as an Existing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Peter Spruill </w:t>
      </w:r>
      <w:r>
        <w:rPr>
          <w:rFonts w:ascii="Times New Roman" w:hAnsi="Times New Roman"/>
          <w:color w:val="000000"/>
          <w:sz w:val="22"/>
        </w:rPr>
        <w:br/>
        <w:t>Name: Peter Spruill</w:t>
        <w:br/>
        <w:t>Title: Officer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Sumitomo Mitsui Banking Corporation,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Khrystyna Manko </w:t>
      </w:r>
      <w:r>
        <w:rPr>
          <w:rFonts w:ascii="Times New Roman" w:hAnsi="Times New Roman"/>
          <w:color w:val="000000"/>
          <w:sz w:val="22"/>
        </w:rPr>
        <w:br/>
        <w:t>Name: Khrystyna Manko</w:t>
        <w:br/>
        <w:t>Title: Director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THE BANK OF EAST ASIA, LIMITED, NEW YORK BRANCH,</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James Hua </w:t>
      </w:r>
      <w:r>
        <w:rPr>
          <w:rFonts w:ascii="Times New Roman" w:hAnsi="Times New Roman"/>
          <w:color w:val="000000"/>
          <w:sz w:val="22"/>
        </w:rPr>
        <w:br/>
        <w:t>Name: James Hua</w:t>
        <w:br/>
        <w:t>Title: DGM &amp; Head of Corporate Banking</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Daniel Liao </w:t>
      </w:r>
      <w:r>
        <w:rPr>
          <w:rFonts w:ascii="Times New Roman" w:hAnsi="Times New Roman"/>
          <w:color w:val="000000"/>
          <w:sz w:val="22"/>
        </w:rPr>
        <w:br/>
        <w:t>Name: Daniel Liao</w:t>
        <w:br/>
        <w:t>Title: SVP &amp; Head of Risk Management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BOKF, NA dba BOK FINANCIAL</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an Existing Lender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Rhett Wallis</w:t>
      </w:r>
      <w:r>
        <w:rPr>
          <w:rFonts w:ascii="Times New Roman" w:hAnsi="Times New Roman"/>
          <w:color w:val="000000"/>
          <w:sz w:val="20"/>
          <w:u w:val="single"/>
        </w:rPr>
        <w:t xml:space="preserve"> </w:t>
      </w:r>
      <w:r>
        <w:rPr>
          <w:rFonts w:ascii="Times New Roman" w:hAnsi="Times New Roman"/>
          <w:color w:val="000000"/>
          <w:sz w:val="22"/>
        </w:rPr>
        <w:br/>
        <w:t>Name: Rhett Wallis</w:t>
        <w:br/>
        <w:t>Title: Vice President and Authorized Signer</w:t>
      </w:r>
    </w:p>
    <w:p>
      <w:pPr>
        <w:pStyle w:val="TextBody"/>
        <w:bidi w:val="0"/>
        <w:jc w:val="center"/>
        <w:rPr>
          <w:rFonts w:ascii="Times New Roman" w:hAnsi="Times New Roman"/>
          <w:color w:val="000000"/>
          <w:sz w:val="22"/>
        </w:rPr>
      </w:pPr>
      <w:r>
        <w:rPr>
          <w:rFonts w:ascii="Times New Roman" w:hAnsi="Times New Roman"/>
          <w:color w:val="000000"/>
          <w:sz w:val="22"/>
        </w:rPr>
        <w:t>[Signature Page to the Twelfth Amendment to the UHS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1</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2"/>
          <w:u w:val="single"/>
        </w:rPr>
      </w:pPr>
      <w:r>
        <w:rPr>
          <w:rFonts w:ascii="Times New Roman" w:hAnsi="Times New Roman"/>
          <w:b/>
          <w:color w:val="000000"/>
          <w:sz w:val="22"/>
          <w:u w:val="single"/>
        </w:rPr>
        <w:t>Schedule 1.1A</w:t>
      </w:r>
    </w:p>
    <w:p>
      <w:pPr>
        <w:pStyle w:val="TextBody"/>
        <w:bidi w:val="0"/>
        <w:jc w:val="center"/>
        <w:rPr>
          <w:rFonts w:ascii="Times New Roman" w:hAnsi="Times New Roman"/>
          <w:b/>
          <w:color w:val="000000"/>
          <w:sz w:val="22"/>
        </w:rPr>
      </w:pPr>
      <w:r>
        <w:rPr>
          <w:rFonts w:ascii="Times New Roman" w:hAnsi="Times New Roman"/>
          <w:b/>
          <w:color w:val="000000"/>
          <w:sz w:val="22"/>
        </w:rPr>
        <w:t>2026-2 Delayed Draw Term Loan Commitments</w:t>
      </w:r>
    </w:p>
    <w:p>
      <w:pPr>
        <w:pStyle w:val="TextBody"/>
        <w:bidi w:val="0"/>
        <w:jc w:val="center"/>
        <w:rPr/>
      </w:pPr>
      <w:r>
        <w:rPr/>
        <w:t> </w:t>
      </w:r>
    </w:p>
    <w:tbl>
      <w:tblPr>
        <w:tblW w:w="7607" w:type="dxa"/>
        <w:jc w:val="left"/>
        <w:tblInd w:w="0" w:type="dxa"/>
        <w:tblLayout w:type="fixed"/>
        <w:tblCellMar>
          <w:top w:w="28" w:type="dxa"/>
          <w:left w:w="28" w:type="dxa"/>
          <w:bottom w:w="28" w:type="dxa"/>
          <w:right w:w="28" w:type="dxa"/>
        </w:tblCellMar>
      </w:tblPr>
      <w:tblGrid>
        <w:gridCol w:w="3376"/>
        <w:gridCol w:w="4231"/>
      </w:tblGrid>
      <w:tr>
        <w:trPr/>
        <w:tc>
          <w:tcPr>
            <w:tcW w:w="337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Lender</w:t>
            </w:r>
          </w:p>
        </w:tc>
        <w:tc>
          <w:tcPr>
            <w:tcW w:w="4231"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 Delayed Draw Term Loan Commitments</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JPMorgan Chase Bank, N.A.</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$160,000,000</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Bank of America, N.A.</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$135,000,000</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Truist Bank</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$135,000,000</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U.S. Bank National Association</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$135,000,000</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Wells Fargo Bank, National Association</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$135,000,000</w:t>
            </w:r>
          </w:p>
        </w:tc>
      </w:tr>
      <w:tr>
        <w:trPr/>
        <w:tc>
          <w:tcPr>
            <w:tcW w:w="33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TOTAL</w:t>
            </w:r>
          </w:p>
        </w:tc>
        <w:tc>
          <w:tcPr>
            <w:tcW w:w="4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right"/>
              <w:rPr>
                <w:rFonts w:ascii="Times New Roman" w:hAnsi="Times New Roman"/>
                <w:b/>
                <w:color w:val="000000"/>
                <w:sz w:val="20"/>
              </w:rPr>
            </w:pPr>
            <w:r>
              <w:rPr>
                <w:rFonts w:ascii="Times New Roman" w:hAnsi="Times New Roman"/>
                <w:b/>
                <w:color w:val="000000"/>
                <w:sz w:val="20"/>
              </w:rPr>
              <w:t>$700,000,000</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AMENDED CREDIT AGREEMENT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4" w:space="1" w:color="000000"/>
        </w:pBdr>
        <w:bidi w:val="0"/>
        <w:jc w:val="both"/>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among</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UNIVERSAL HEALTH SERVICES, INC.,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Borrower,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Several Lenders from Time to Time Parties Hereto,</w:t>
      </w:r>
    </w:p>
    <w:p>
      <w:pPr>
        <w:pStyle w:val="TextBody"/>
        <w:bidi w:val="0"/>
        <w:jc w:val="center"/>
        <w:rPr>
          <w:rFonts w:ascii="Times New Roman" w:hAnsi="Times New Roman"/>
          <w:sz w:val="20"/>
        </w:rPr>
      </w:pPr>
      <w:r>
        <w:rPr>
          <w:rFonts w:ascii="Times New Roman" w:hAnsi="Times New Roman"/>
          <w:color w:val="000000"/>
          <w:sz w:val="22"/>
        </w:rPr>
        <w:br/>
        <w:t>FIFTH THIRD BANK, NATIONAL ASSOCIATION and</w:t>
        <w:br/>
        <w:t>SUMITOMO MITSUI BANKING CORPORATION,</w:t>
        <w:br/>
        <w:t>as Co-Documentation Agents</w:t>
      </w:r>
      <w:r>
        <w:rPr>
          <w:rFonts w:ascii="Times New Roman" w:hAnsi="Times New Roman"/>
          <w:color w:val="000000"/>
          <w:sz w:val="15"/>
        </w:rPr>
        <w:t>[1]</w:t>
      </w:r>
      <w:r>
        <w:rPr>
          <w:rFonts w:ascii="Times New Roman" w:hAnsi="Times New Roman"/>
          <w:color w:val="000000"/>
          <w:sz w:val="22"/>
        </w:rPr>
        <w: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BOFA SECURITIES, INC.,</w:t>
        <w:br/>
        <w:t>TRUIST BANK, GOLDMAN SACHS BANK USA,</w:t>
        <w:br/>
        <w:t>MIZUHO BANK, LTD.,</w:t>
        <w:br/>
        <w:t xml:space="preserve">NATIONAL WESTMINSTER BANK PLC, </w:t>
        <w:br/>
        <w:t>PNC BANK NATIONAL ASSOCIATION,</w:t>
        <w:br/>
        <w:t>THE TORONTO-DOMINION BANK, NEW YORK BRANCH</w:t>
      </w:r>
    </w:p>
    <w:p>
      <w:pPr>
        <w:pStyle w:val="TextBody"/>
        <w:bidi w:val="0"/>
        <w:jc w:val="center"/>
        <w:rPr>
          <w:rFonts w:ascii="Times New Roman" w:hAnsi="Times New Roman"/>
          <w:color w:val="000000"/>
          <w:sz w:val="22"/>
        </w:rPr>
      </w:pPr>
      <w:r>
        <w:rPr>
          <w:rFonts w:ascii="Times New Roman" w:hAnsi="Times New Roman"/>
          <w:color w:val="000000"/>
          <w:sz w:val="22"/>
        </w:rPr>
        <w:t>U.S. BANK NATIONAL ASSOCIATION AND</w:t>
        <w:br/>
        <w:t>WELLS FARGO BANK, NATIONAL ASSOCIATION</w:t>
        <w:br/>
        <w:t>as Co-Syndication Agents,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JPMORGAN CHASE BANK, N.A.,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Administrative Agent</w:t>
      </w:r>
    </w:p>
    <w:p>
      <w:pPr>
        <w:pStyle w:val="TextBody"/>
        <w:bidi w:val="0"/>
        <w:jc w:val="center"/>
        <w:rPr>
          <w:rFonts w:ascii="Times New Roman" w:hAnsi="Times New Roman"/>
          <w:sz w:val="20"/>
        </w:rPr>
      </w:pPr>
      <w:r>
        <w:rPr>
          <w:rFonts w:ascii="Times New Roman" w:hAnsi="Times New Roman"/>
          <w:color w:val="000000"/>
          <w:sz w:val="22"/>
        </w:rPr>
        <w:t xml:space="preserve">Dated as of November 15, 2010 and amended and restated as of September 21, 2012, August 7, 2014, </w:t>
        <w:br/>
      </w:r>
      <w:r>
        <w:rPr>
          <w:rFonts w:ascii="Times New Roman" w:hAnsi="Times New Roman"/>
          <w:strike/>
          <w:color w:val="FF0000"/>
          <w:sz w:val="22"/>
        </w:rPr>
        <w:br/>
      </w:r>
      <w:r>
        <w:rPr>
          <w:rFonts w:ascii="Times New Roman" w:hAnsi="Times New Roman"/>
          <w:color w:val="000000"/>
          <w:sz w:val="22"/>
        </w:rPr>
        <w:t>October 23, 2018, August 24, 2021</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2"/>
        </w:rPr>
        <w:t>September 26, 2024</w:t>
      </w:r>
      <w:r>
        <w:rPr>
          <w:rFonts w:ascii="Times New Roman" w:hAnsi="Times New Roman"/>
          <w:color w:val="0000FF"/>
          <w:sz w:val="20"/>
          <w:u w:val="single"/>
        </w:rPr>
        <w:t xml:space="preserve"> </w:t>
      </w:r>
      <w:r>
        <w:rPr>
          <w:rFonts w:ascii="Times New Roman" w:hAnsi="Times New Roman"/>
          <w:color w:val="0000FF"/>
          <w:sz w:val="22"/>
          <w:u w:val="single"/>
        </w:rPr>
        <w:t>and April 22, 2026</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BOFA SECURITIES, INC.,</w:t>
      </w:r>
    </w:p>
    <w:p>
      <w:pPr>
        <w:pStyle w:val="TextBody"/>
        <w:bidi w:val="0"/>
        <w:jc w:val="center"/>
        <w:rPr>
          <w:rFonts w:ascii="Times New Roman" w:hAnsi="Times New Roman"/>
          <w:sz w:val="20"/>
        </w:rPr>
      </w:pPr>
      <w:r>
        <w:rPr>
          <w:rFonts w:ascii="Times New Roman" w:hAnsi="Times New Roman"/>
          <w:color w:val="000000"/>
          <w:sz w:val="22"/>
        </w:rPr>
        <w:t xml:space="preserve">JPMORGAN </w:t>
      </w:r>
      <w:r>
        <w:rPr>
          <w:rFonts w:ascii="Times New Roman" w:hAnsi="Times New Roman"/>
          <w:caps/>
          <w:color w:val="000000"/>
          <w:sz w:val="22"/>
        </w:rPr>
        <w:t>CHASE BANK, N.A.</w:t>
      </w:r>
    </w:p>
    <w:p>
      <w:pPr>
        <w:pStyle w:val="TextBody"/>
        <w:bidi w:val="0"/>
        <w:jc w:val="center"/>
        <w:rPr>
          <w:rFonts w:ascii="Times New Roman" w:hAnsi="Times New Roman"/>
          <w:caps/>
          <w:color w:val="000000"/>
          <w:sz w:val="22"/>
        </w:rPr>
      </w:pPr>
      <w:r>
        <w:rPr>
          <w:rFonts w:ascii="Times New Roman" w:hAnsi="Times New Roman"/>
          <w:caps/>
          <w:color w:val="000000"/>
          <w:sz w:val="22"/>
        </w:rPr>
        <w:t>TRUIST SECURITIES, INC.</w:t>
      </w:r>
    </w:p>
    <w:p>
      <w:pPr>
        <w:pStyle w:val="TextBody"/>
        <w:bidi w:val="0"/>
        <w:jc w:val="center"/>
        <w:rPr>
          <w:rFonts w:ascii="Times New Roman" w:hAnsi="Times New Roman"/>
          <w:color w:val="000000"/>
          <w:sz w:val="22"/>
        </w:rPr>
      </w:pPr>
      <w:r>
        <w:rPr>
          <w:rFonts w:ascii="Times New Roman" w:hAnsi="Times New Roman"/>
          <w:color w:val="000000"/>
          <w:sz w:val="22"/>
        </w:rPr>
        <w:t>U.S. BANK NATIONAL ASSOCIATION and</w:t>
      </w:r>
    </w:p>
    <w:p>
      <w:pPr>
        <w:pStyle w:val="TextBody"/>
        <w:bidi w:val="0"/>
        <w:jc w:val="center"/>
        <w:rPr>
          <w:rFonts w:ascii="Times New Roman" w:hAnsi="Times New Roman"/>
          <w:color w:val="000000"/>
          <w:sz w:val="22"/>
        </w:rPr>
      </w:pPr>
      <w:r>
        <w:rPr>
          <w:rFonts w:ascii="Times New Roman" w:hAnsi="Times New Roman"/>
          <w:color w:val="000000"/>
          <w:sz w:val="22"/>
        </w:rPr>
        <w:t>WELLS FARGO BANK, NATIONAL ASSOCIATION</w:t>
      </w:r>
    </w:p>
    <w:p>
      <w:pPr>
        <w:pStyle w:val="TextBody"/>
        <w:bidi w:val="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bidi w:val="0"/>
        <w:spacing w:before="0" w:after="240"/>
        <w:jc w:val="center"/>
        <w:rPr>
          <w:rFonts w:ascii="Times New Roman" w:hAnsi="Times New Roman"/>
          <w:sz w:val="20"/>
        </w:rPr>
      </w:pPr>
      <w:r>
        <w:rPr>
          <w:rFonts w:ascii="Times New Roman" w:hAnsi="Times New Roman"/>
          <w:color w:val="000000"/>
          <w:sz w:val="22"/>
        </w:rPr>
        <w:t>with respect to the Revolving Facility, the Tranche A Term Facility</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the 2026 Incremental Term Facility</w:t>
      </w:r>
      <w:r>
        <w:rPr>
          <w:rFonts w:ascii="Times New Roman" w:hAnsi="Times New Roman"/>
          <w:color w:val="0000FF"/>
          <w:sz w:val="20"/>
          <w:u w:val="single"/>
        </w:rPr>
        <w:t xml:space="preserve"> </w:t>
      </w:r>
      <w:r>
        <w:rPr>
          <w:rFonts w:ascii="Times New Roman" w:hAnsi="Times New Roman"/>
          <w:color w:val="0000FF"/>
          <w:sz w:val="22"/>
          <w:u w:val="single"/>
        </w:rPr>
        <w:t>and the 2026-2 Delayed Draw Term Loan Facility</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12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With respect to the 2026 Incremental Revolving Commitments to the Revolving Facility and 2026 Incremental Term Facility, (i) Key Bank National Association shall be the Co-Documentation Agent and (ii) BoA Securities, Inc., Truist Bank, Goldman Sachs Bank USA, National Westminster Bank PLC, PNC Bank National Association, The Toronto-Dominion Bank, New York Branch, U.S. Bank National Association and Wells Fargo Bank, National Association shall be the Co-Syndication Agents.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jc w:val="right"/>
        <w:rPr>
          <w:rFonts w:ascii="Times New Roman" w:hAnsi="Times New Roman"/>
          <w:sz w:val="20"/>
        </w:rPr>
      </w:pPr>
      <w:r>
        <w:rPr>
          <w:rFonts w:ascii="Times New Roman" w:hAnsi="Times New Roman"/>
          <w:color w:val="000000"/>
          <w:sz w:val="22"/>
        </w:rPr>
        <w:t>Page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179"/>
        <w:gridCol w:w="8394"/>
        <w:gridCol w:w="632"/>
      </w:tblGrid>
      <w:tr>
        <w:trPr/>
        <w:tc>
          <w:tcPr>
            <w:tcW w:w="1179" w:type="dxa"/>
            <w:tcBorders/>
            <w:vAlign w:val="center"/>
          </w:tcPr>
          <w:p>
            <w:pPr>
              <w:pStyle w:val="TableContents"/>
              <w:bidi w:val="0"/>
              <w:spacing w:before="0" w:after="283"/>
              <w:jc w:val="left"/>
              <w:rPr>
                <w:sz w:val="4"/>
                <w:szCs w:val="4"/>
              </w:rPr>
            </w:pPr>
            <w:r>
              <w:rPr>
                <w:sz w:val="4"/>
                <w:szCs w:val="4"/>
              </w:rPr>
            </w:r>
          </w:p>
        </w:tc>
        <w:tc>
          <w:tcPr>
            <w:tcW w:w="839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1.</w:t>
            </w:r>
          </w:p>
        </w:tc>
        <w:tc>
          <w:tcPr>
            <w:tcW w:w="8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1.1</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Defined Terms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2"/>
              </w:rPr>
            </w:pPr>
            <w:r>
              <w:rPr>
                <w:rFonts w:ascii="Times New Roman" w:hAnsi="Times New Roman"/>
                <w:color w:val="000000"/>
                <w:sz w:val="22"/>
              </w:rPr>
              <w:t>1</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1.2</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Other Definitional Provisions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37</w:t>
            </w:r>
            <w:r>
              <w:rPr>
                <w:rFonts w:ascii="Times New Roman" w:hAnsi="Times New Roman"/>
                <w:color w:val="0000FF"/>
                <w:sz w:val="22"/>
                <w:u w:val="single"/>
              </w:rPr>
              <w:t>39</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1.3</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Interest Rates; Benchmark Notification</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38</w:t>
            </w:r>
            <w:r>
              <w:rPr>
                <w:rFonts w:ascii="Times New Roman" w:hAnsi="Times New Roman"/>
                <w:color w:val="0000FF"/>
                <w:sz w:val="22"/>
                <w:u w:val="single"/>
              </w:rPr>
              <w:t>39</w:t>
            </w:r>
          </w:p>
        </w:tc>
      </w:tr>
      <w:tr>
        <w:trPr/>
        <w:tc>
          <w:tcPr>
            <w:tcW w:w="1179" w:type="dxa"/>
            <w:tcBorders/>
            <w:tcMar>
              <w:top w:w="0" w:type="dxa"/>
              <w:left w:w="0" w:type="dxa"/>
              <w:bottom w:w="0" w:type="dxa"/>
              <w:right w:w="0" w:type="dxa"/>
            </w:tcMar>
            <w:vAlign w:val="center"/>
          </w:tcPr>
          <w:p>
            <w:pPr>
              <w:pStyle w:val="TableContents"/>
              <w:bidi w:val="0"/>
              <w:spacing w:before="0" w:after="283"/>
              <w:jc w:val="left"/>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2.</w:t>
            </w:r>
          </w:p>
        </w:tc>
        <w:tc>
          <w:tcPr>
            <w:tcW w:w="8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AMOUNT AND TERMS OF COMMITMENTS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38</w:t>
            </w:r>
            <w:r>
              <w:rPr>
                <w:rFonts w:ascii="Times New Roman" w:hAnsi="Times New Roman"/>
                <w:color w:val="0000FF"/>
                <w:sz w:val="22"/>
                <w:u w:val="single"/>
              </w:rPr>
              <w:t>40</w:t>
            </w:r>
          </w:p>
        </w:tc>
      </w:tr>
      <w:tr>
        <w:trPr/>
        <w:tc>
          <w:tcPr>
            <w:tcW w:w="1179" w:type="dxa"/>
            <w:tcBorders/>
            <w:tcMar>
              <w:top w:w="0" w:type="dxa"/>
              <w:left w:w="0" w:type="dxa"/>
              <w:bottom w:w="0" w:type="dxa"/>
              <w:right w:w="0" w:type="dxa"/>
            </w:tcMar>
            <w:vAlign w:val="center"/>
          </w:tcPr>
          <w:p>
            <w:pPr>
              <w:pStyle w:val="TableContents"/>
              <w:bidi w:val="0"/>
              <w:spacing w:before="0" w:after="283"/>
              <w:jc w:val="left"/>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Term Commitments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38</w:t>
            </w:r>
            <w:r>
              <w:rPr>
                <w:rFonts w:ascii="Times New Roman" w:hAnsi="Times New Roman"/>
                <w:color w:val="0000FF"/>
                <w:sz w:val="22"/>
                <w:u w:val="single"/>
              </w:rPr>
              <w:t>40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Procedure for Term Loan Borrowing</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39</w:t>
            </w:r>
            <w:r>
              <w:rPr>
                <w:rFonts w:ascii="Times New Roman" w:hAnsi="Times New Roman"/>
                <w:color w:val="0000FF"/>
                <w:sz w:val="22"/>
                <w:u w:val="single"/>
              </w:rPr>
              <w:t>40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2.3</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Repayment of Term Loans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40</w:t>
            </w:r>
            <w:r>
              <w:rPr>
                <w:rFonts w:ascii="Times New Roman" w:hAnsi="Times New Roman"/>
                <w:color w:val="0000FF"/>
                <w:sz w:val="22"/>
                <w:u w:val="single"/>
              </w:rPr>
              <w:t>42</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2.4</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Revolving Commitments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40</w:t>
            </w:r>
            <w:r>
              <w:rPr>
                <w:rFonts w:ascii="Times New Roman" w:hAnsi="Times New Roman"/>
                <w:color w:val="0000FF"/>
                <w:sz w:val="22"/>
                <w:u w:val="single"/>
              </w:rPr>
              <w:t>42</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2.5</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Procedure for Revolving Loan Borrowing</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41</w:t>
            </w:r>
            <w:r>
              <w:rPr>
                <w:rFonts w:ascii="Times New Roman" w:hAnsi="Times New Roman"/>
                <w:color w:val="0000FF"/>
                <w:sz w:val="22"/>
                <w:u w:val="single"/>
              </w:rPr>
              <w:t>43</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2.6</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Swingline Commitment</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41</w:t>
            </w:r>
            <w:r>
              <w:rPr>
                <w:rFonts w:ascii="Times New Roman" w:hAnsi="Times New Roman"/>
                <w:color w:val="0000FF"/>
                <w:sz w:val="22"/>
                <w:u w:val="single"/>
              </w:rPr>
              <w:t>43</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2.7</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Procedure for Swingline Borrowing; Refunding of Swingline Loans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42</w:t>
            </w:r>
            <w:r>
              <w:rPr>
                <w:rFonts w:ascii="Times New Roman" w:hAnsi="Times New Roman"/>
                <w:color w:val="0000FF"/>
                <w:sz w:val="22"/>
                <w:u w:val="single"/>
              </w:rPr>
              <w:t>44</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2.8</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Commitment Fees, etc</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43</w:t>
            </w:r>
            <w:r>
              <w:rPr>
                <w:rFonts w:ascii="Times New Roman" w:hAnsi="Times New Roman"/>
                <w:color w:val="0000FF"/>
                <w:sz w:val="22"/>
                <w:u w:val="single"/>
              </w:rPr>
              <w:t>45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2.9</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sz w:val="22"/>
              </w:rPr>
            </w:pPr>
            <w:r>
              <w:rPr>
                <w:rFonts w:ascii="Times New Roman" w:hAnsi="Times New Roman"/>
                <w:color w:val="000000"/>
                <w:sz w:val="22"/>
              </w:rPr>
              <w:t>Termination or Reduction of Revolving Commitments</w:t>
            </w:r>
            <w:r>
              <w:rPr>
                <w:rFonts w:ascii="Times New Roman" w:hAnsi="Times New Roman"/>
                <w:strike/>
                <w:color w:val="FF0000"/>
                <w:sz w:val="22"/>
              </w:rPr>
              <w:t> and</w:t>
            </w:r>
            <w:r>
              <w:rPr>
                <w:rFonts w:ascii="Times New Roman" w:hAnsi="Times New Roman"/>
                <w:color w:val="0000FF"/>
                <w:sz w:val="22"/>
                <w:u w:val="single"/>
              </w:rPr>
              <w:t>,</w:t>
            </w:r>
            <w:r>
              <w:rPr>
                <w:rFonts w:ascii="Times New Roman" w:hAnsi="Times New Roman"/>
                <w:color w:val="000000"/>
                <w:sz w:val="22"/>
              </w:rPr>
              <w:t xml:space="preserve"> 2026 Delayed Draw Term Loan Commitments </w:t>
            </w:r>
            <w:r>
              <w:rPr>
                <w:rFonts w:ascii="Times New Roman" w:hAnsi="Times New Roman"/>
                <w:color w:val="0000FF"/>
                <w:sz w:val="22"/>
                <w:u w:val="single"/>
              </w:rPr>
              <w:t>and 2026-2 Delayed Draw Term Loan Commitments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43</w:t>
            </w:r>
            <w:r>
              <w:rPr>
                <w:rFonts w:ascii="Times New Roman" w:hAnsi="Times New Roman"/>
                <w:color w:val="0000FF"/>
                <w:sz w:val="22"/>
                <w:u w:val="single"/>
              </w:rPr>
              <w:t>45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2.10</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Optional Prepayments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44</w:t>
            </w:r>
            <w:r>
              <w:rPr>
                <w:rFonts w:ascii="Times New Roman" w:hAnsi="Times New Roman"/>
                <w:color w:val="0000FF"/>
                <w:sz w:val="22"/>
                <w:u w:val="single"/>
              </w:rPr>
              <w:t>46</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2.11</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Mandatory Prepayments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45</w:t>
            </w:r>
            <w:r>
              <w:rPr>
                <w:rFonts w:ascii="Times New Roman" w:hAnsi="Times New Roman"/>
                <w:color w:val="0000FF"/>
                <w:sz w:val="22"/>
                <w:u w:val="single"/>
              </w:rPr>
              <w:t>48</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2.12</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Conversion and Continuation Options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46</w:t>
            </w:r>
            <w:r>
              <w:rPr>
                <w:rFonts w:ascii="Times New Roman" w:hAnsi="Times New Roman"/>
                <w:color w:val="0000FF"/>
                <w:sz w:val="22"/>
                <w:u w:val="single"/>
              </w:rPr>
              <w:t>49</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2.13</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Limitations on Term Benchmark Tranches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47</w:t>
            </w:r>
            <w:r>
              <w:rPr>
                <w:rFonts w:ascii="Times New Roman" w:hAnsi="Times New Roman"/>
                <w:color w:val="0000FF"/>
                <w:sz w:val="22"/>
                <w:u w:val="single"/>
              </w:rPr>
              <w:t>50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2.14</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Interest Rates and Payment Dates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47</w:t>
            </w:r>
            <w:r>
              <w:rPr>
                <w:rFonts w:ascii="Times New Roman" w:hAnsi="Times New Roman"/>
                <w:color w:val="0000FF"/>
                <w:sz w:val="22"/>
                <w:u w:val="single"/>
              </w:rPr>
              <w:t>50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2.15</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Computation of Interest and Fees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48</w:t>
            </w:r>
            <w:r>
              <w:rPr>
                <w:rFonts w:ascii="Times New Roman" w:hAnsi="Times New Roman"/>
                <w:color w:val="0000FF"/>
                <w:sz w:val="22"/>
                <w:u w:val="single"/>
              </w:rPr>
              <w:t>50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2.16</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Inability to Determine Interest Rate</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48</w:t>
            </w:r>
            <w:r>
              <w:rPr>
                <w:rFonts w:ascii="Times New Roman" w:hAnsi="Times New Roman"/>
                <w:color w:val="0000FF"/>
                <w:sz w:val="22"/>
                <w:u w:val="single"/>
              </w:rPr>
              <w:t>51</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2.17</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Pro Rata Treatment and Payments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50</w:t>
            </w:r>
            <w:r>
              <w:rPr>
                <w:rFonts w:ascii="Times New Roman" w:hAnsi="Times New Roman"/>
                <w:color w:val="0000FF"/>
                <w:sz w:val="22"/>
                <w:u w:val="single"/>
              </w:rPr>
              <w:t>53</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2.18</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Requirements of Law</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52</w:t>
            </w:r>
            <w:r>
              <w:rPr>
                <w:rFonts w:ascii="Times New Roman" w:hAnsi="Times New Roman"/>
                <w:color w:val="0000FF"/>
                <w:sz w:val="22"/>
                <w:u w:val="single"/>
              </w:rPr>
              <w:t>55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2.19</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Taxes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53</w:t>
            </w:r>
            <w:r>
              <w:rPr>
                <w:rFonts w:ascii="Times New Roman" w:hAnsi="Times New Roman"/>
                <w:color w:val="0000FF"/>
                <w:sz w:val="22"/>
                <w:u w:val="single"/>
              </w:rPr>
              <w:t>56</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2.20</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Indemnity</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56</w:t>
            </w:r>
            <w:r>
              <w:rPr>
                <w:rFonts w:ascii="Times New Roman" w:hAnsi="Times New Roman"/>
                <w:color w:val="0000FF"/>
                <w:sz w:val="22"/>
                <w:u w:val="single"/>
              </w:rPr>
              <w:t>59</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2.21</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Change of Lending Office</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56</w:t>
            </w:r>
            <w:r>
              <w:rPr>
                <w:rFonts w:ascii="Times New Roman" w:hAnsi="Times New Roman"/>
                <w:color w:val="0000FF"/>
                <w:sz w:val="22"/>
                <w:u w:val="single"/>
              </w:rPr>
              <w:t>59</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2.22</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Replacement of Lenders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57</w:t>
            </w:r>
            <w:r>
              <w:rPr>
                <w:rFonts w:ascii="Times New Roman" w:hAnsi="Times New Roman"/>
                <w:color w:val="0000FF"/>
                <w:sz w:val="22"/>
                <w:u w:val="single"/>
              </w:rPr>
              <w:t>59</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2.23</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Defaulting Lenders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57</w:t>
            </w:r>
            <w:r>
              <w:rPr>
                <w:rFonts w:ascii="Times New Roman" w:hAnsi="Times New Roman"/>
                <w:color w:val="0000FF"/>
                <w:sz w:val="22"/>
                <w:u w:val="single"/>
              </w:rPr>
              <w:t>60</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2.24</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Incremental Facilities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59</w:t>
            </w:r>
            <w:r>
              <w:rPr>
                <w:rFonts w:ascii="Times New Roman" w:hAnsi="Times New Roman"/>
                <w:color w:val="0000FF"/>
                <w:sz w:val="22"/>
                <w:u w:val="single"/>
              </w:rPr>
              <w:t>62</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2.25</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Illegality</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61</w:t>
            </w:r>
            <w:r>
              <w:rPr>
                <w:rFonts w:ascii="Times New Roman" w:hAnsi="Times New Roman"/>
                <w:color w:val="0000FF"/>
                <w:sz w:val="22"/>
                <w:u w:val="single"/>
              </w:rPr>
              <w:t>64</w:t>
            </w:r>
          </w:p>
        </w:tc>
      </w:tr>
      <w:tr>
        <w:trPr/>
        <w:tc>
          <w:tcPr>
            <w:tcW w:w="1179" w:type="dxa"/>
            <w:tcBorders/>
            <w:tcMar>
              <w:top w:w="0" w:type="dxa"/>
              <w:left w:w="0" w:type="dxa"/>
              <w:bottom w:w="0" w:type="dxa"/>
              <w:right w:w="0" w:type="dxa"/>
            </w:tcMar>
            <w:vAlign w:val="center"/>
          </w:tcPr>
          <w:p>
            <w:pPr>
              <w:pStyle w:val="TableContents"/>
              <w:bidi w:val="0"/>
              <w:spacing w:before="0" w:after="283"/>
              <w:jc w:val="left"/>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3.</w:t>
            </w:r>
          </w:p>
        </w:tc>
        <w:tc>
          <w:tcPr>
            <w:tcW w:w="8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LETTERS OF CREDIT</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61</w:t>
            </w:r>
            <w:r>
              <w:rPr>
                <w:rFonts w:ascii="Times New Roman" w:hAnsi="Times New Roman"/>
                <w:color w:val="0000FF"/>
                <w:sz w:val="22"/>
                <w:u w:val="single"/>
              </w:rPr>
              <w:t>64</w:t>
            </w:r>
          </w:p>
        </w:tc>
      </w:tr>
      <w:tr>
        <w:trPr/>
        <w:tc>
          <w:tcPr>
            <w:tcW w:w="1179" w:type="dxa"/>
            <w:tcBorders/>
            <w:tcMar>
              <w:top w:w="0" w:type="dxa"/>
              <w:left w:w="0" w:type="dxa"/>
              <w:bottom w:w="0" w:type="dxa"/>
              <w:right w:w="0" w:type="dxa"/>
            </w:tcMar>
            <w:vAlign w:val="center"/>
          </w:tcPr>
          <w:p>
            <w:pPr>
              <w:pStyle w:val="TableContents"/>
              <w:bidi w:val="0"/>
              <w:spacing w:before="0" w:after="283"/>
              <w:jc w:val="left"/>
              <w:rPr/>
            </w:pPr>
            <w:r>
              <w:rPr/>
              <w:t> </w:t>
            </w:r>
          </w:p>
        </w:tc>
        <w:tc>
          <w:tcPr>
            <w:tcW w:w="83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3.1</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L/C Commitment</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61</w:t>
            </w:r>
            <w:r>
              <w:rPr>
                <w:rFonts w:ascii="Times New Roman" w:hAnsi="Times New Roman"/>
                <w:color w:val="0000FF"/>
                <w:sz w:val="22"/>
                <w:u w:val="single"/>
              </w:rPr>
              <w:t>64</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3.2</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Procedure for Issuance of Letter of Credit</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62</w:t>
            </w:r>
            <w:r>
              <w:rPr>
                <w:rFonts w:ascii="Times New Roman" w:hAnsi="Times New Roman"/>
                <w:color w:val="0000FF"/>
                <w:sz w:val="22"/>
                <w:u w:val="single"/>
              </w:rPr>
              <w:t>65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3.3</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Fees and Other Charges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62</w:t>
            </w:r>
            <w:r>
              <w:rPr>
                <w:rFonts w:ascii="Times New Roman" w:hAnsi="Times New Roman"/>
                <w:color w:val="0000FF"/>
                <w:sz w:val="22"/>
                <w:u w:val="single"/>
              </w:rPr>
              <w:t>65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3.4</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L/C Participations</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62</w:t>
            </w:r>
            <w:r>
              <w:rPr>
                <w:rFonts w:ascii="Times New Roman" w:hAnsi="Times New Roman"/>
                <w:color w:val="0000FF"/>
                <w:sz w:val="22"/>
                <w:u w:val="single"/>
              </w:rPr>
              <w:t>65</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3.5</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Reimbursement Obligation of the Borrower</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63</w:t>
            </w:r>
            <w:r>
              <w:rPr>
                <w:rFonts w:ascii="Times New Roman" w:hAnsi="Times New Roman"/>
                <w:color w:val="0000FF"/>
                <w:sz w:val="22"/>
                <w:u w:val="single"/>
              </w:rPr>
              <w:t>66</w:t>
            </w:r>
          </w:p>
        </w:tc>
      </w:tr>
      <w:tr>
        <w:trPr/>
        <w:tc>
          <w:tcPr>
            <w:tcW w:w="1179"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3.6</w:t>
            </w:r>
          </w:p>
        </w:tc>
        <w:tc>
          <w:tcPr>
            <w:tcW w:w="8394"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Obligations Absolute</w:t>
            </w:r>
          </w:p>
        </w:tc>
        <w:tc>
          <w:tcPr>
            <w:tcW w:w="632"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64</w:t>
            </w:r>
            <w:r>
              <w:rPr>
                <w:rFonts w:ascii="Times New Roman" w:hAnsi="Times New Roman"/>
                <w:color w:val="0000FF"/>
                <w:sz w:val="22"/>
                <w:u w:val="single"/>
              </w:rPr>
              <w:t>66</w:t>
            </w:r>
          </w:p>
        </w:tc>
      </w:tr>
    </w:tbl>
    <w:p>
      <w:pPr>
        <w:pStyle w:val="TextBody"/>
        <w:bidi w:val="0"/>
        <w:jc w:val="center"/>
        <w:rPr/>
      </w:pPr>
      <w:r>
        <w:rPr/>
        <w:t> </w:t>
      </w:r>
    </w:p>
    <w:p>
      <w:pPr>
        <w:pStyle w:val="HorizontalLine"/>
        <w:pBdr>
          <w:bottom w:val="double" w:sz="2" w:space="0" w:color="808080"/>
        </w:pBdr>
        <w:bidi w:val="0"/>
        <w:spacing w:before="0" w:after="283"/>
        <w:jc w:val="left"/>
        <w:rPr/>
      </w:pPr>
      <w:r>
        <w:rPr/>
      </w:r>
    </w:p>
    <w:tbl>
      <w:tblPr>
        <w:tblW w:w="7308" w:type="dxa"/>
        <w:jc w:val="left"/>
        <w:tblInd w:w="0" w:type="dxa"/>
        <w:tblLayout w:type="fixed"/>
        <w:tblCellMar>
          <w:top w:w="28" w:type="dxa"/>
          <w:left w:w="28" w:type="dxa"/>
          <w:bottom w:w="28" w:type="dxa"/>
          <w:right w:w="28" w:type="dxa"/>
        </w:tblCellMar>
      </w:tblPr>
      <w:tblGrid>
        <w:gridCol w:w="1306"/>
        <w:gridCol w:w="5371"/>
        <w:gridCol w:w="631"/>
      </w:tblGrid>
      <w:tr>
        <w:trPr/>
        <w:tc>
          <w:tcPr>
            <w:tcW w:w="13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3.7</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Letter of Credit Payments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64</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3.8</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Applications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64</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3.9</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Existing Letters of Credit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64</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3.10</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Reallocation Procedures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64</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4.</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REPRESENTATIONS AND WARRANTIES</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Financial Condition</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67</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4.2</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 Change</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68</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4.3</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Existence; Compliance with Law</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68</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4.4</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Power; Authorization; Enforceable Obligations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68</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4.5</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 Legal Bar</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4.6</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Litigation</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4.7</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 Default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4.8</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Ownership of Property; Liens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4.9</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Intellectual Property</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4.10</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Taxes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66</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4.11</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Federal Regulations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69</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4.12</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Labor Matters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70</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4.13</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ERISA</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70</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4.14</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Investment Company Act; Other Regulations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70</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4.15</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Subsidiaries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70</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4.16</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Use of Proceeds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68</w:t>
            </w:r>
            <w:r>
              <w:rPr>
                <w:rFonts w:ascii="Times New Roman" w:hAnsi="Times New Roman"/>
                <w:color w:val="0000FF"/>
                <w:sz w:val="22"/>
                <w:u w:val="single"/>
              </w:rPr>
              <w:t>70</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4.17</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Environmental Matters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68</w:t>
            </w:r>
            <w:r>
              <w:rPr>
                <w:rFonts w:ascii="Times New Roman" w:hAnsi="Times New Roman"/>
                <w:color w:val="0000FF"/>
                <w:sz w:val="22"/>
                <w:u w:val="single"/>
              </w:rPr>
              <w:t>71</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4.18</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Accuracy of Information, etc</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71</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4.19</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Security Documents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4.20</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Solvency</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4.21</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Senior Indebtedness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4.22</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Anti-Corruption Laws and Sanctions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4.23</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Affected Financial Institutions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5.</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CONDITIONS PRECEDENT</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5.1</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[Reserved]</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72</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5.2</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Conditions to Each Extension of Credit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73</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6.</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AFFIRMATIVE COVENANTS</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73</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6.1</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Financial Statements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71</w:t>
            </w:r>
            <w:r>
              <w:rPr>
                <w:rFonts w:ascii="Times New Roman" w:hAnsi="Times New Roman"/>
                <w:color w:val="0000FF"/>
                <w:sz w:val="22"/>
                <w:u w:val="single"/>
              </w:rPr>
              <w:t>73</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6.2</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Certificates; Other Information</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71</w:t>
            </w:r>
            <w:r>
              <w:rPr>
                <w:rFonts w:ascii="Times New Roman" w:hAnsi="Times New Roman"/>
                <w:color w:val="0000FF"/>
                <w:sz w:val="22"/>
                <w:u w:val="single"/>
              </w:rPr>
              <w:t>74</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6.3</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Payment of Obligations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75</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6.4</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Maintenance of Existence; Compliance</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76</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6.5</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Maintenance of Property; Insurance</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76</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6.6</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Inspection of Property; Books and Records; Discussions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76</w:t>
            </w:r>
          </w:p>
        </w:tc>
      </w:tr>
      <w:tr>
        <w:trPr/>
        <w:tc>
          <w:tcPr>
            <w:tcW w:w="13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6.7</w:t>
            </w:r>
          </w:p>
        </w:tc>
        <w:tc>
          <w:tcPr>
            <w:tcW w:w="537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Notices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76</w:t>
            </w:r>
          </w:p>
        </w:tc>
      </w:tr>
    </w:tbl>
    <w:p>
      <w:pPr>
        <w:pStyle w:val="TextBody"/>
        <w:bidi w:val="0"/>
        <w:jc w:val="center"/>
        <w:rPr/>
      </w:pPr>
      <w:r>
        <w:rPr/>
        <w:t> </w:t>
      </w:r>
    </w:p>
    <w:p>
      <w:pPr>
        <w:pStyle w:val="HorizontalLine"/>
        <w:pBdr>
          <w:bottom w:val="double" w:sz="2" w:space="0" w:color="808080"/>
        </w:pBdr>
        <w:bidi w:val="0"/>
        <w:spacing w:before="0" w:after="283"/>
        <w:jc w:val="left"/>
        <w:rPr/>
      </w:pPr>
      <w:r>
        <w:rPr/>
      </w:r>
    </w:p>
    <w:tbl>
      <w:tblPr>
        <w:tblW w:w="9393" w:type="dxa"/>
        <w:jc w:val="left"/>
        <w:tblInd w:w="0" w:type="dxa"/>
        <w:tblLayout w:type="fixed"/>
        <w:tblCellMar>
          <w:top w:w="28" w:type="dxa"/>
          <w:left w:w="28" w:type="dxa"/>
          <w:bottom w:w="28" w:type="dxa"/>
          <w:right w:w="28" w:type="dxa"/>
        </w:tblCellMar>
      </w:tblPr>
      <w:tblGrid>
        <w:gridCol w:w="1426"/>
        <w:gridCol w:w="7336"/>
        <w:gridCol w:w="631"/>
      </w:tblGrid>
      <w:tr>
        <w:trPr/>
        <w:tc>
          <w:tcPr>
            <w:tcW w:w="142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6.8</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Environmental Laws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74</w:t>
            </w:r>
            <w:r>
              <w:rPr>
                <w:rFonts w:ascii="Times New Roman" w:hAnsi="Times New Roman"/>
                <w:color w:val="0000FF"/>
                <w:sz w:val="22"/>
                <w:u w:val="single"/>
              </w:rPr>
              <w:t>77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6.9</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[Reserved]</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74</w:t>
            </w:r>
            <w:r>
              <w:rPr>
                <w:rFonts w:ascii="Times New Roman" w:hAnsi="Times New Roman"/>
                <w:color w:val="0000FF"/>
                <w:sz w:val="22"/>
                <w:u w:val="single"/>
              </w:rPr>
              <w:t>77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6.10</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Additional Collateral, etc</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74</w:t>
            </w:r>
            <w:r>
              <w:rPr>
                <w:rFonts w:ascii="Times New Roman" w:hAnsi="Times New Roman"/>
                <w:color w:val="0000FF"/>
                <w:sz w:val="22"/>
                <w:u w:val="single"/>
              </w:rPr>
              <w:t>77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6.11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Maintenance of Ratings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76</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6.12</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ERISA Compliance</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76</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6.13</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Post-Closing Covenants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76</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7.</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NEGATIVE COVENANTS</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76</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Financial Condition Covenants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76</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7.2</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Indebtedness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77</w:t>
            </w:r>
            <w:r>
              <w:rPr>
                <w:rFonts w:ascii="Times New Roman" w:hAnsi="Times New Roman"/>
                <w:color w:val="0000FF"/>
                <w:sz w:val="22"/>
                <w:u w:val="single"/>
              </w:rPr>
              <w:t>79</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7.3</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Liens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79</w:t>
            </w:r>
            <w:r>
              <w:rPr>
                <w:rFonts w:ascii="Times New Roman" w:hAnsi="Times New Roman"/>
                <w:color w:val="0000FF"/>
                <w:sz w:val="22"/>
                <w:u w:val="single"/>
              </w:rPr>
              <w:t>82</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7.4</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Fundamental Changes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80</w:t>
            </w:r>
            <w:r>
              <w:rPr>
                <w:rFonts w:ascii="Times New Roman" w:hAnsi="Times New Roman"/>
                <w:color w:val="0000FF"/>
                <w:sz w:val="22"/>
                <w:u w:val="single"/>
              </w:rPr>
              <w:t>83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7.5</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Disposition of Property</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80</w:t>
            </w:r>
            <w:r>
              <w:rPr>
                <w:rFonts w:ascii="Times New Roman" w:hAnsi="Times New Roman"/>
                <w:color w:val="0000FF"/>
                <w:sz w:val="22"/>
                <w:u w:val="single"/>
              </w:rPr>
              <w:t>83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7.6</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Restricted Payments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81</w:t>
            </w:r>
            <w:r>
              <w:rPr>
                <w:rFonts w:ascii="Times New Roman" w:hAnsi="Times New Roman"/>
                <w:color w:val="0000FF"/>
                <w:sz w:val="22"/>
                <w:u w:val="single"/>
              </w:rPr>
              <w:t>84</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7.7</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[Reserved]</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82</w:t>
            </w:r>
            <w:r>
              <w:rPr>
                <w:rFonts w:ascii="Times New Roman" w:hAnsi="Times New Roman"/>
                <w:color w:val="0000FF"/>
                <w:sz w:val="22"/>
                <w:u w:val="single"/>
              </w:rPr>
              <w:t>85</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7.8</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Investments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82</w:t>
            </w:r>
            <w:r>
              <w:rPr>
                <w:rFonts w:ascii="Times New Roman" w:hAnsi="Times New Roman"/>
                <w:color w:val="0000FF"/>
                <w:sz w:val="22"/>
                <w:u w:val="single"/>
              </w:rPr>
              <w:t>85</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7.9</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Optional Payments and Modifications of Certain Debt Instruments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83</w:t>
            </w:r>
            <w:r>
              <w:rPr>
                <w:rFonts w:ascii="Times New Roman" w:hAnsi="Times New Roman"/>
                <w:color w:val="0000FF"/>
                <w:sz w:val="22"/>
                <w:u w:val="single"/>
              </w:rPr>
              <w:t>86</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7.10</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Transactions with Affiliates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83</w:t>
            </w:r>
            <w:r>
              <w:rPr>
                <w:rFonts w:ascii="Times New Roman" w:hAnsi="Times New Roman"/>
                <w:color w:val="0000FF"/>
                <w:sz w:val="22"/>
                <w:u w:val="single"/>
              </w:rPr>
              <w:t>86</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Sales and Leasebacks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84</w:t>
            </w:r>
            <w:r>
              <w:rPr>
                <w:rFonts w:ascii="Times New Roman" w:hAnsi="Times New Roman"/>
                <w:color w:val="0000FF"/>
                <w:sz w:val="22"/>
                <w:u w:val="single"/>
              </w:rPr>
              <w:t>86</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7.12</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Swap Agreements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84</w:t>
            </w:r>
            <w:r>
              <w:rPr>
                <w:rFonts w:ascii="Times New Roman" w:hAnsi="Times New Roman"/>
                <w:color w:val="0000FF"/>
                <w:sz w:val="22"/>
                <w:u w:val="single"/>
              </w:rPr>
              <w:t>87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7.13</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Changes in Fiscal Periods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84</w:t>
            </w:r>
            <w:r>
              <w:rPr>
                <w:rFonts w:ascii="Times New Roman" w:hAnsi="Times New Roman"/>
                <w:color w:val="0000FF"/>
                <w:sz w:val="22"/>
                <w:u w:val="single"/>
              </w:rPr>
              <w:t>87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7.14</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Negative Pledge Clauses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84</w:t>
            </w:r>
            <w:r>
              <w:rPr>
                <w:rFonts w:ascii="Times New Roman" w:hAnsi="Times New Roman"/>
                <w:color w:val="0000FF"/>
                <w:sz w:val="22"/>
                <w:u w:val="single"/>
              </w:rPr>
              <w:t>87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7.15</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Clauses Restricting Subsidiary Distributions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84</w:t>
            </w:r>
            <w:r>
              <w:rPr>
                <w:rFonts w:ascii="Times New Roman" w:hAnsi="Times New Roman"/>
                <w:color w:val="0000FF"/>
                <w:sz w:val="22"/>
                <w:u w:val="single"/>
              </w:rPr>
              <w:t>87</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7.16</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Lines of Business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85</w:t>
            </w:r>
            <w:r>
              <w:rPr>
                <w:rFonts w:ascii="Times New Roman" w:hAnsi="Times New Roman"/>
                <w:color w:val="0000FF"/>
                <w:sz w:val="22"/>
                <w:u w:val="single"/>
              </w:rPr>
              <w:t>88</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8.</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EVENTS OF DEFAULT</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85</w:t>
            </w:r>
            <w:r>
              <w:rPr>
                <w:rFonts w:ascii="Times New Roman" w:hAnsi="Times New Roman"/>
                <w:color w:val="0000FF"/>
                <w:sz w:val="22"/>
                <w:u w:val="single"/>
              </w:rPr>
              <w:t>88</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9.</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AGENTS</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87</w:t>
            </w:r>
            <w:r>
              <w:rPr>
                <w:rFonts w:ascii="Times New Roman" w:hAnsi="Times New Roman"/>
                <w:color w:val="0000FF"/>
                <w:sz w:val="22"/>
                <w:u w:val="single"/>
              </w:rPr>
              <w:t>90</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Appointment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87</w:t>
            </w:r>
            <w:r>
              <w:rPr>
                <w:rFonts w:ascii="Times New Roman" w:hAnsi="Times New Roman"/>
                <w:color w:val="0000FF"/>
                <w:sz w:val="22"/>
                <w:u w:val="single"/>
              </w:rPr>
              <w:t>90</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9.2</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Delegation of Duties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88</w:t>
            </w:r>
            <w:r>
              <w:rPr>
                <w:rFonts w:ascii="Times New Roman" w:hAnsi="Times New Roman"/>
                <w:color w:val="0000FF"/>
                <w:sz w:val="22"/>
                <w:u w:val="single"/>
              </w:rPr>
              <w:t>91</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9.3</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Exculpatory Provisions; Limitation of Liability</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88</w:t>
            </w:r>
            <w:r>
              <w:rPr>
                <w:rFonts w:ascii="Times New Roman" w:hAnsi="Times New Roman"/>
                <w:color w:val="0000FF"/>
                <w:sz w:val="22"/>
                <w:u w:val="single"/>
              </w:rPr>
              <w:t>91</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9.4</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Reliance by Administrative Agent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89</w:t>
            </w:r>
            <w:r>
              <w:rPr>
                <w:rFonts w:ascii="Times New Roman" w:hAnsi="Times New Roman"/>
                <w:color w:val="0000FF"/>
                <w:sz w:val="22"/>
                <w:u w:val="single"/>
              </w:rPr>
              <w:t>91</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9.5</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Notice of Default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89</w:t>
            </w:r>
            <w:r>
              <w:rPr>
                <w:rFonts w:ascii="Times New Roman" w:hAnsi="Times New Roman"/>
                <w:color w:val="0000FF"/>
                <w:sz w:val="22"/>
                <w:u w:val="single"/>
              </w:rPr>
              <w:t>92</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9.6</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Non-Reliance on Agents and Other Lenders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89</w:t>
            </w:r>
            <w:r>
              <w:rPr>
                <w:rFonts w:ascii="Times New Roman" w:hAnsi="Times New Roman"/>
                <w:color w:val="0000FF"/>
                <w:sz w:val="22"/>
                <w:u w:val="single"/>
              </w:rPr>
              <w:t>92</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9.7</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Indemnification</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90</w:t>
            </w:r>
            <w:r>
              <w:rPr>
                <w:rFonts w:ascii="Times New Roman" w:hAnsi="Times New Roman"/>
                <w:color w:val="0000FF"/>
                <w:sz w:val="22"/>
                <w:u w:val="single"/>
              </w:rPr>
              <w:t>92</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9.8</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Agent in Its Individual Capacity</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90</w:t>
            </w:r>
            <w:r>
              <w:rPr>
                <w:rFonts w:ascii="Times New Roman" w:hAnsi="Times New Roman"/>
                <w:color w:val="0000FF"/>
                <w:sz w:val="22"/>
                <w:u w:val="single"/>
              </w:rPr>
              <w:t>93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9.9</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Successor Administrative Agent</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90</w:t>
            </w:r>
            <w:r>
              <w:rPr>
                <w:rFonts w:ascii="Times New Roman" w:hAnsi="Times New Roman"/>
                <w:color w:val="0000FF"/>
                <w:sz w:val="22"/>
                <w:u w:val="single"/>
              </w:rPr>
              <w:t>93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9.10</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Co-Documentation Agents, Co-Syndication Agents and Joint Lead Arrangers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90</w:t>
            </w:r>
            <w:r>
              <w:rPr>
                <w:rFonts w:ascii="Times New Roman" w:hAnsi="Times New Roman"/>
                <w:color w:val="0000FF"/>
                <w:sz w:val="22"/>
                <w:u w:val="single"/>
              </w:rPr>
              <w:t>93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9.11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Certain ERISA Matters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91</w:t>
            </w:r>
            <w:r>
              <w:rPr>
                <w:rFonts w:ascii="Times New Roman" w:hAnsi="Times New Roman"/>
                <w:color w:val="0000FF"/>
                <w:sz w:val="22"/>
                <w:u w:val="single"/>
              </w:rPr>
              <w:t>93</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9.12</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Erroneous Payments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92</w:t>
            </w:r>
            <w:r>
              <w:rPr>
                <w:rFonts w:ascii="Times New Roman" w:hAnsi="Times New Roman"/>
                <w:color w:val="0000FF"/>
                <w:sz w:val="22"/>
                <w:u w:val="single"/>
              </w:rPr>
              <w:t>95</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2"/>
              </w:rPr>
            </w:pPr>
            <w:r>
              <w:rPr>
                <w:rFonts w:ascii="Times New Roman" w:hAnsi="Times New Roman"/>
                <w:caps/>
                <w:color w:val="000000"/>
                <w:sz w:val="22"/>
              </w:rPr>
              <w:t>Section 10.</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MISCELLANEOUS</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93</w:t>
            </w:r>
            <w:r>
              <w:rPr>
                <w:rFonts w:ascii="Times New Roman" w:hAnsi="Times New Roman"/>
                <w:color w:val="0000FF"/>
                <w:sz w:val="22"/>
                <w:u w:val="single"/>
              </w:rPr>
              <w:t>96</w:t>
            </w:r>
          </w:p>
        </w:tc>
      </w:tr>
      <w:tr>
        <w:trPr/>
        <w:tc>
          <w:tcPr>
            <w:tcW w:w="142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w:t>
            </w:r>
          </w:p>
        </w:tc>
        <w:tc>
          <w:tcPr>
            <w:tcW w:w="733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Amendments and Waivers</w:t>
            </w:r>
          </w:p>
        </w:tc>
        <w:tc>
          <w:tcPr>
            <w:tcW w:w="63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93</w:t>
            </w:r>
            <w:r>
              <w:rPr>
                <w:rFonts w:ascii="Times New Roman" w:hAnsi="Times New Roman"/>
                <w:color w:val="0000FF"/>
                <w:sz w:val="22"/>
                <w:u w:val="single"/>
              </w:rPr>
              <w:t>96</w:t>
            </w:r>
          </w:p>
        </w:tc>
      </w:tr>
    </w:tbl>
    <w:p>
      <w:pPr>
        <w:pStyle w:val="TextBody"/>
        <w:bidi w:val="0"/>
        <w:jc w:val="center"/>
        <w:rPr/>
      </w:pPr>
      <w:r>
        <w:rPr/>
        <w:t> </w:t>
      </w:r>
    </w:p>
    <w:p>
      <w:pPr>
        <w:pStyle w:val="HorizontalLine"/>
        <w:pBdr>
          <w:bottom w:val="double" w:sz="2" w:space="0" w:color="808080"/>
        </w:pBdr>
        <w:bidi w:val="0"/>
        <w:spacing w:before="0" w:after="283"/>
        <w:jc w:val="left"/>
        <w:rPr/>
      </w:pPr>
      <w:r>
        <w:rPr/>
      </w:r>
    </w:p>
    <w:tbl>
      <w:tblPr>
        <w:tblW w:w="8298" w:type="dxa"/>
        <w:jc w:val="left"/>
        <w:tblInd w:w="0" w:type="dxa"/>
        <w:tblLayout w:type="fixed"/>
        <w:tblCellMar>
          <w:top w:w="28" w:type="dxa"/>
          <w:left w:w="28" w:type="dxa"/>
          <w:bottom w:w="28" w:type="dxa"/>
          <w:right w:w="28" w:type="dxa"/>
        </w:tblCellMar>
      </w:tblPr>
      <w:tblGrid>
        <w:gridCol w:w="661"/>
        <w:gridCol w:w="6766"/>
        <w:gridCol w:w="871"/>
      </w:tblGrid>
      <w:tr>
        <w:trPr/>
        <w:tc>
          <w:tcPr>
            <w:tcW w:w="661"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10.2</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Notices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95</w:t>
            </w:r>
            <w:r>
              <w:rPr>
                <w:rFonts w:ascii="Times New Roman" w:hAnsi="Times New Roman"/>
                <w:color w:val="0000FF"/>
                <w:sz w:val="22"/>
                <w:u w:val="single"/>
              </w:rPr>
              <w:t>98</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10.3</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No Waiver; Cumulative Remedies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96</w:t>
            </w:r>
            <w:r>
              <w:rPr>
                <w:rFonts w:ascii="Times New Roman" w:hAnsi="Times New Roman"/>
                <w:color w:val="0000FF"/>
                <w:sz w:val="22"/>
                <w:u w:val="single"/>
              </w:rPr>
              <w:t>99</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10.4</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Survival of Representations and Warranties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96</w:t>
            </w:r>
            <w:r>
              <w:rPr>
                <w:rFonts w:ascii="Times New Roman" w:hAnsi="Times New Roman"/>
                <w:color w:val="0000FF"/>
                <w:sz w:val="22"/>
                <w:u w:val="single"/>
              </w:rPr>
              <w:t>99</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10.5</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Payment of Expenses and Taxes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96</w:t>
            </w:r>
            <w:r>
              <w:rPr>
                <w:rFonts w:ascii="Times New Roman" w:hAnsi="Times New Roman"/>
                <w:color w:val="0000FF"/>
                <w:sz w:val="22"/>
                <w:u w:val="single"/>
              </w:rPr>
              <w:t>99</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10.6</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Successors and Assigns; Participations and Assignments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97</w:t>
            </w:r>
            <w:r>
              <w:rPr>
                <w:rFonts w:ascii="Times New Roman" w:hAnsi="Times New Roman"/>
                <w:color w:val="000000"/>
                <w:sz w:val="22"/>
                <w:u w:val="single"/>
              </w:rPr>
              <w:t>100</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10.7</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Adjustments; Set</w:t>
              <w:noBreakHyphen/>
              <w:t>off</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100</w:t>
            </w:r>
            <w:r>
              <w:rPr>
                <w:rFonts w:ascii="Times New Roman" w:hAnsi="Times New Roman"/>
                <w:color w:val="0000FF"/>
                <w:sz w:val="22"/>
                <w:u w:val="single"/>
              </w:rPr>
              <w:t>103</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10.8</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Counterparts; Electronic Signatures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101</w:t>
            </w:r>
            <w:r>
              <w:rPr>
                <w:rFonts w:ascii="Times New Roman" w:hAnsi="Times New Roman"/>
                <w:color w:val="0000FF"/>
                <w:sz w:val="22"/>
                <w:u w:val="single"/>
              </w:rPr>
              <w:t>104</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10.9</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Severability</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105</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10.10</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Integration</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105</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10.11</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Governing Law</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105</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10.12</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Submission To Jurisdiction; Waivers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105</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10.13</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Acknowledgements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w:t>
            </w:r>
            <w:r>
              <w:rPr>
                <w:rFonts w:ascii="Times New Roman" w:hAnsi="Times New Roman"/>
                <w:strike/>
                <w:color w:val="000000"/>
                <w:sz w:val="22"/>
              </w:rPr>
              <w:t>3</w:t>
            </w:r>
            <w:r>
              <w:rPr>
                <w:rFonts w:ascii="Times New Roman" w:hAnsi="Times New Roman"/>
                <w:color w:val="0000FF"/>
                <w:sz w:val="22"/>
                <w:u w:val="single"/>
              </w:rPr>
              <w:t>106</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10.14</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Releases of Guarantees and Liens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103</w:t>
            </w:r>
            <w:r>
              <w:rPr>
                <w:rFonts w:ascii="Times New Roman" w:hAnsi="Times New Roman"/>
                <w:color w:val="0000FF"/>
                <w:sz w:val="22"/>
                <w:u w:val="single"/>
              </w:rPr>
              <w:t>106</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10.15</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Confidentiality</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104</w:t>
            </w:r>
            <w:r>
              <w:rPr>
                <w:rFonts w:ascii="Times New Roman" w:hAnsi="Times New Roman"/>
                <w:color w:val="0000FF"/>
                <w:sz w:val="22"/>
                <w:u w:val="single"/>
              </w:rPr>
              <w:t>107</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10.16</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WAIVERS OF JURY TRIAL</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108</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10.17</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USA Patriot Act</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108</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10.18</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Acknowledgement and Consent to Bail-In of EEA Affected Institutions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108</w:t>
            </w:r>
          </w:p>
        </w:tc>
      </w:tr>
      <w:tr>
        <w:trPr/>
        <w:tc>
          <w:tcPr>
            <w:tcW w:w="6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10.19</w:t>
            </w:r>
          </w:p>
        </w:tc>
        <w:tc>
          <w:tcPr>
            <w:tcW w:w="67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87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109</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SCHEDULES</w:t>
      </w:r>
      <w:r>
        <w:rPr>
          <w:rFonts w:ascii="Times New Roman" w:hAnsi="Times New Roman"/>
          <w:color w:val="000000"/>
          <w:sz w:val="22"/>
        </w:rPr>
        <w:t>:</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796"/>
        <w:gridCol w:w="5251"/>
      </w:tblGrid>
      <w:tr>
        <w:trPr/>
        <w:tc>
          <w:tcPr>
            <w:tcW w:w="79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1.1A</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1.1B</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1.1C</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Non-Material Subsidiaries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1.1D</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Specified Receivables Subsidiaries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1.1E</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Letters of Credit</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Letters of Credit</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4.2</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4.4(a)</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Consents, Authorizations, Filings and Notices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4.4(b)</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Pending Consents, Authorizations, Filings and Notices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4.6</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Litigation</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4.15</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4.19(a)</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UCC Filing Jurisdictions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6.13</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Post-Closing Covenants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7.2(d)</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Indebtedness</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7.3(f)</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Liens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CREDIT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dated as of November 15, 2010 and amended and restated as of September 21, 2012, August 7, 2014, October 23, 2018, August 24, 2021</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September 26, 2024</w:t>
      </w:r>
      <w:r>
        <w:rPr>
          <w:rFonts w:ascii="Times New Roman" w:hAnsi="Times New Roman"/>
          <w:color w:val="0000FF"/>
          <w:sz w:val="20"/>
          <w:u w:val="single"/>
        </w:rPr>
        <w:t xml:space="preserve"> </w:t>
      </w:r>
      <w:r>
        <w:rPr>
          <w:rFonts w:ascii="Times New Roman" w:hAnsi="Times New Roman"/>
          <w:color w:val="0000FF"/>
          <w:sz w:val="22"/>
          <w:u w:val="single"/>
        </w:rPr>
        <w:t>and April 22, 2026</w:t>
      </w:r>
      <w:r>
        <w:rPr>
          <w:rFonts w:ascii="Times New Roman" w:hAnsi="Times New Roman"/>
          <w:color w:val="000000"/>
          <w:sz w:val="22"/>
        </w:rPr>
        <w:t>, among UNIVERSAL HEALTH SERVICES, INC.,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this Agreement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FIFTH THIRD BANK, NATIONAL ASSOCIATION, KEY BANK NATIONAL ASSOCIATION and SUMITOMO MITSUI BANKING CORPORATION, as co-documentation agents (in such capacity, the “</w:t>
      </w:r>
      <w:r>
        <w:rPr>
          <w:rFonts w:ascii="Times New Roman" w:hAnsi="Times New Roman"/>
          <w:color w:val="000000"/>
          <w:sz w:val="22"/>
          <w:u w:val="single"/>
        </w:rPr>
        <w:t>Co-Documentation Agents</w:t>
      </w:r>
      <w:r>
        <w:rPr>
          <w:rFonts w:ascii="Times New Roman" w:hAnsi="Times New Roman"/>
          <w:color w:val="000000"/>
          <w:sz w:val="20"/>
        </w:rPr>
        <w:t>”</w:t>
      </w:r>
      <w:r>
        <w:rPr>
          <w:rFonts w:ascii="Times New Roman" w:hAnsi="Times New Roman"/>
          <w:color w:val="000000"/>
          <w:sz w:val="22"/>
        </w:rPr>
        <w:t>), BOFA SECURITIES, INC., TRUIST BANK, GOLDMAN SACHS BANK USA, MIZUHO BANK, LTD., NATIONAL WESTMINSTER BANK PLC, PNC BANK NATIONAL ASSOCIATION, THE TORONTO-DOMINION BANK, NEW YORK BRANCH, U.S. BANK NATIONAL ASSOCIATION and WELLS FARGO BANK, NATIONAL ASSOCIATION as co-syndication agents (in such capacity, the “</w:t>
      </w:r>
      <w:r>
        <w:rPr>
          <w:rFonts w:ascii="Times New Roman" w:hAnsi="Times New Roman"/>
          <w:color w:val="000000"/>
          <w:sz w:val="22"/>
          <w:u w:val="single"/>
        </w:rPr>
        <w:t>Co-Syndication Agents</w:t>
      </w:r>
      <w:r>
        <w:rPr>
          <w:rFonts w:ascii="Times New Roman" w:hAnsi="Times New Roman"/>
          <w:color w:val="000000"/>
          <w:sz w:val="20"/>
        </w:rPr>
        <w:t>”</w:t>
      </w:r>
      <w:r>
        <w:rPr>
          <w:rFonts w:ascii="Times New Roman" w:hAnsi="Times New Roman"/>
          <w:color w:val="000000"/>
          <w:sz w:val="22"/>
        </w:rPr>
        <w:t>), and JPMORGAN CHASE BANK, N.A., as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hereto hereby agree as follows:</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1.</w:t>
      </w:r>
      <w:r>
        <w:rPr>
          <w:rFonts w:ascii="Times New Roman" w:hAnsi="Times New Roman"/>
          <w:color w:val="000000"/>
          <w:sz w:val="20"/>
        </w:rPr>
        <w:t xml:space="preserve"> </w:t>
      </w:r>
      <w:r>
        <w:rPr>
          <w:rFonts w:ascii="Times New Roman" w:hAnsi="Times New Roman"/>
          <w:color w:val="000000"/>
          <w:sz w:val="22"/>
        </w:rP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1.1</w:t>
      </w:r>
      <w:r>
        <w:rPr>
          <w:rFonts w:ascii="Times New Roman" w:hAnsi="Times New Roman"/>
          <w:color w:val="000000"/>
          <w:sz w:val="20"/>
          <w:u w:val="single"/>
        </w:rPr>
        <w:t xml:space="preserve"> </w:t>
      </w:r>
      <w:r>
        <w:rPr>
          <w:rFonts w:ascii="Times New Roman" w:hAnsi="Times New Roman"/>
          <w:color w:val="000000"/>
          <w:sz w:val="22"/>
          <w:u w:val="single"/>
        </w:rPr>
        <w:t>Defined Terms</w:t>
      </w:r>
      <w:r>
        <w:rPr>
          <w:rFonts w:ascii="Times New Roman" w:hAnsi="Times New Roman"/>
          <w:color w:val="000000"/>
          <w:sz w:val="22"/>
        </w:rPr>
        <w:t>. As used in this Agreement, the terms listed in this Section 1.1 shall have the respective meanings set forth in this Section 1.1.</w:t>
      </w:r>
    </w:p>
    <w:p>
      <w:pPr>
        <w:pStyle w:val="TextBody"/>
        <w:bidi w:val="0"/>
        <w:spacing w:before="0" w:after="240"/>
        <w:jc w:val="both"/>
        <w:rPr/>
      </w:pPr>
      <w:r>
        <w:rPr>
          <w:color w:val="000000"/>
        </w:rPr>
        <w:t>“</w:t>
      </w:r>
      <w:r>
        <w:rPr>
          <w:rFonts w:ascii="Times New Roman" w:hAnsi="Times New Roman"/>
          <w:color w:val="000000"/>
          <w:sz w:val="22"/>
          <w:u w:val="single"/>
        </w:rPr>
        <w:t>2020 Indenture</w:t>
      </w:r>
      <w:r>
        <w:rPr>
          <w:rFonts w:ascii="Times New Roman" w:hAnsi="Times New Roman"/>
          <w:color w:val="000000"/>
          <w:sz w:val="20"/>
        </w:rPr>
        <w:t>”</w:t>
      </w:r>
      <w:r>
        <w:rPr>
          <w:rFonts w:ascii="Times New Roman" w:hAnsi="Times New Roman"/>
          <w:color w:val="000000"/>
          <w:sz w:val="22"/>
        </w:rPr>
        <w:t>: the Indenture entered into by the Borrower and certain of its Subsidiaries in connection with the issuance of the 2.65% 2030 Secured Senior Notes together with all instruments and other agreements entered into by the Borrower or such Subsidiaries in connection therewith.</w:t>
      </w:r>
    </w:p>
    <w:p>
      <w:pPr>
        <w:pStyle w:val="TextBody"/>
        <w:bidi w:val="0"/>
        <w:spacing w:before="0" w:after="240"/>
        <w:jc w:val="both"/>
        <w:rPr/>
      </w:pPr>
      <w:r>
        <w:rPr>
          <w:color w:val="000000"/>
        </w:rPr>
        <w:t>“</w:t>
      </w:r>
      <w:r>
        <w:rPr>
          <w:rFonts w:ascii="Times New Roman" w:hAnsi="Times New Roman"/>
          <w:color w:val="000000"/>
          <w:sz w:val="22"/>
          <w:u w:val="single"/>
        </w:rPr>
        <w:t>2021 Indenture</w:t>
      </w:r>
      <w:r>
        <w:rPr>
          <w:rFonts w:ascii="Times New Roman" w:hAnsi="Times New Roman"/>
          <w:color w:val="000000"/>
          <w:sz w:val="20"/>
        </w:rPr>
        <w:t>”</w:t>
      </w:r>
      <w:r>
        <w:rPr>
          <w:rFonts w:ascii="Times New Roman" w:hAnsi="Times New Roman"/>
          <w:color w:val="000000"/>
          <w:sz w:val="22"/>
        </w:rPr>
        <w:t>: the Indenture entered into by the Borrower and certain of its Subsidiaries in connection with the issuance of the 1.65% 2026 Secured Senior Notes and 2.65% 2032 Secured Senior Notes together with all instruments and other agreements entered into by the Borrower or such Subsidiaries in connection therewith.</w:t>
      </w:r>
    </w:p>
    <w:p>
      <w:pPr>
        <w:pStyle w:val="TextBody"/>
        <w:bidi w:val="0"/>
        <w:spacing w:before="0" w:after="240"/>
        <w:jc w:val="both"/>
        <w:rPr/>
      </w:pPr>
      <w:r>
        <w:rPr>
          <w:color w:val="000000"/>
        </w:rPr>
        <w:t>“</w:t>
      </w:r>
      <w:r>
        <w:rPr>
          <w:rFonts w:ascii="Times New Roman" w:hAnsi="Times New Roman"/>
          <w:color w:val="000000"/>
          <w:sz w:val="22"/>
          <w:u w:val="single"/>
        </w:rPr>
        <w:t>2024 Indenture</w:t>
      </w:r>
      <w:r>
        <w:rPr>
          <w:rFonts w:ascii="Times New Roman" w:hAnsi="Times New Roman"/>
          <w:color w:val="000000"/>
          <w:sz w:val="20"/>
        </w:rPr>
        <w:t>”</w:t>
      </w:r>
      <w:r>
        <w:rPr>
          <w:rFonts w:ascii="Times New Roman" w:hAnsi="Times New Roman"/>
          <w:color w:val="000000"/>
          <w:sz w:val="22"/>
        </w:rPr>
        <w:t>: the Indenture, as supplemented, entered into by the Borrower and certain of its Subsidiaries in connection with the issuance of the 4.625% Secured Senior Notes and 5.050% Secured Senior Notes together with all instruments and other agreements entered into by the Borrower or such Subsidiaries in connection therewith.</w:t>
      </w:r>
    </w:p>
    <w:p>
      <w:pPr>
        <w:pStyle w:val="TextBody"/>
        <w:bidi w:val="0"/>
        <w:spacing w:before="0" w:after="240"/>
        <w:jc w:val="both"/>
        <w:rPr/>
      </w:pPr>
      <w:r>
        <w:rPr>
          <w:color w:val="000000"/>
        </w:rPr>
        <w:t>“</w:t>
      </w:r>
      <w:r>
        <w:rPr>
          <w:rFonts w:ascii="Times New Roman" w:hAnsi="Times New Roman"/>
          <w:color w:val="000000"/>
          <w:sz w:val="22"/>
          <w:u w:val="single"/>
        </w:rPr>
        <w:t>2024 Transactions</w:t>
      </w:r>
      <w:r>
        <w:rPr>
          <w:rFonts w:ascii="Times New Roman" w:hAnsi="Times New Roman"/>
          <w:color w:val="000000"/>
          <w:sz w:val="20"/>
        </w:rPr>
        <w:t>”</w:t>
      </w:r>
      <w:r>
        <w:rPr>
          <w:rFonts w:ascii="Times New Roman" w:hAnsi="Times New Roman"/>
          <w:color w:val="000000"/>
          <w:sz w:val="22"/>
        </w:rPr>
        <w:t>: (i) the Loans to be made on the Tenth Amendment Effective Date and the use of proceeds thereof, (ii) the offering and closing of the transactions related to the 2024 Indenture, including the issuance of the 4.625% Secured Senior Notes and the 5.050% Secured Senior Notes and the use of proceeds thereof, and (iii) the payment of fees and expenses in connection with the foregoing.</w:t>
      </w:r>
    </w:p>
    <w:p>
      <w:pPr>
        <w:pStyle w:val="TextBody"/>
        <w:bidi w:val="0"/>
        <w:spacing w:before="0" w:after="240"/>
        <w:jc w:val="both"/>
        <w:rPr/>
      </w:pPr>
      <w:r>
        <w:rPr>
          <w:color w:val="000000"/>
        </w:rPr>
        <w:t>“</w:t>
      </w:r>
      <w:r>
        <w:rPr>
          <w:rFonts w:ascii="Times New Roman" w:hAnsi="Times New Roman"/>
          <w:color w:val="000000"/>
          <w:sz w:val="22"/>
          <w:u w:val="single"/>
        </w:rPr>
        <w:t>2026 Delayed Draw Commitment Period</w:t>
      </w:r>
      <w:r>
        <w:rPr>
          <w:rFonts w:ascii="Times New Roman" w:hAnsi="Times New Roman"/>
          <w:color w:val="000000"/>
          <w:sz w:val="20"/>
        </w:rPr>
        <w:t>”</w:t>
      </w:r>
      <w:r>
        <w:rPr>
          <w:rFonts w:ascii="Times New Roman" w:hAnsi="Times New Roman"/>
          <w:color w:val="000000"/>
          <w:sz w:val="22"/>
        </w:rPr>
        <w:t>: the period from the Eleventh Amendment Effective Date to and including the 2026 Delayed Draw Commitment Termination Date.</w:t>
      </w:r>
    </w:p>
    <w:p>
      <w:pPr>
        <w:pStyle w:val="TextBody"/>
        <w:bidi w:val="0"/>
        <w:spacing w:before="0" w:after="240"/>
        <w:jc w:val="both"/>
        <w:rPr/>
      </w:pPr>
      <w:r>
        <w:rPr>
          <w:color w:val="000000"/>
        </w:rPr>
        <w:t>“</w:t>
      </w:r>
      <w:r>
        <w:rPr>
          <w:rFonts w:ascii="Times New Roman" w:hAnsi="Times New Roman"/>
          <w:color w:val="000000"/>
          <w:sz w:val="22"/>
          <w:u w:val="single"/>
        </w:rPr>
        <w:t>2026 Delayed Draw Commitment Termination Date</w:t>
      </w:r>
      <w:r>
        <w:rPr>
          <w:rFonts w:ascii="Times New Roman" w:hAnsi="Times New Roman"/>
          <w:color w:val="000000"/>
          <w:sz w:val="20"/>
        </w:rPr>
        <w:t>”</w:t>
      </w:r>
      <w:r>
        <w:rPr>
          <w:rFonts w:ascii="Times New Roman" w:hAnsi="Times New Roman"/>
          <w:color w:val="000000"/>
          <w:sz w:val="22"/>
        </w:rPr>
        <w:t>: the earliest to occur of (i) the 2026 Delayed Draw Scheduled Commitment Termination Date, (ii) the date the 2026 Delayed Draw Term Loan Commitments are permanently reduced to zero pursuant to Section 2.9 and (iii) the date of the acceleration of the Loans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2026 Delayed Draw Scheduled Commitment Termination Date</w:t>
      </w:r>
      <w:r>
        <w:rPr>
          <w:rFonts w:ascii="Times New Roman" w:hAnsi="Times New Roman"/>
          <w:color w:val="000000"/>
          <w:sz w:val="20"/>
        </w:rPr>
        <w:t>”</w:t>
      </w:r>
      <w:r>
        <w:rPr>
          <w:rFonts w:ascii="Times New Roman" w:hAnsi="Times New Roman"/>
          <w:color w:val="000000"/>
          <w:sz w:val="22"/>
        </w:rPr>
        <w:t>: September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2026 Delayed Draw Term Lender</w:t>
      </w:r>
      <w:r>
        <w:rPr>
          <w:rFonts w:ascii="Times New Roman" w:hAnsi="Times New Roman"/>
          <w:color w:val="000000"/>
          <w:sz w:val="20"/>
        </w:rPr>
        <w:t>”</w:t>
      </w:r>
      <w:r>
        <w:rPr>
          <w:rFonts w:ascii="Times New Roman" w:hAnsi="Times New Roman"/>
          <w:color w:val="000000"/>
          <w:sz w:val="22"/>
        </w:rPr>
        <w:t>: a Lender holding 2026 Delayed Draw Term Loan Commitments or 2026 Delayed Draw Term Loans.</w:t>
      </w:r>
    </w:p>
    <w:p>
      <w:pPr>
        <w:pStyle w:val="TextBody"/>
        <w:bidi w:val="0"/>
        <w:spacing w:before="0" w:after="240"/>
        <w:jc w:val="both"/>
        <w:rPr/>
      </w:pPr>
      <w:r>
        <w:rPr>
          <w:color w:val="000000"/>
        </w:rPr>
        <w:t>“</w:t>
      </w:r>
      <w:r>
        <w:rPr>
          <w:rFonts w:ascii="Times New Roman" w:hAnsi="Times New Roman"/>
          <w:color w:val="000000"/>
          <w:sz w:val="22"/>
          <w:u w:val="single"/>
        </w:rPr>
        <w:t>2026 Delayed Draw Term Loan Commitments</w:t>
      </w:r>
      <w:r>
        <w:rPr>
          <w:rFonts w:ascii="Times New Roman" w:hAnsi="Times New Roman"/>
          <w:color w:val="000000"/>
          <w:sz w:val="20"/>
        </w:rPr>
        <w:t>”</w:t>
      </w:r>
      <w:r>
        <w:rPr>
          <w:rFonts w:ascii="Times New Roman" w:hAnsi="Times New Roman"/>
          <w:color w:val="000000"/>
          <w:sz w:val="22"/>
        </w:rPr>
        <w:t>: the commitment of a Lender to make a 2026 Delayed Draw Term Loan to the Borrower pursuant to Section 2.1(c). The aggregate amount of the 2026 Delayed Draw Term Loan Commitments as of the Eleventh Amendment Effective Date is $400,000,000.</w:t>
      </w:r>
    </w:p>
    <w:p>
      <w:pPr>
        <w:pStyle w:val="TextBody"/>
        <w:bidi w:val="0"/>
        <w:spacing w:before="0" w:after="240"/>
        <w:jc w:val="both"/>
        <w:rPr/>
      </w:pPr>
      <w:r>
        <w:rPr>
          <w:color w:val="000000"/>
        </w:rPr>
        <w:t>“</w:t>
      </w:r>
      <w:r>
        <w:rPr>
          <w:rFonts w:ascii="Times New Roman" w:hAnsi="Times New Roman"/>
          <w:color w:val="000000"/>
          <w:sz w:val="22"/>
          <w:u w:val="single"/>
        </w:rPr>
        <w:t>2026 Delayed Draw Term Loan Facility</w:t>
      </w:r>
      <w:r>
        <w:rPr>
          <w:rFonts w:ascii="Times New Roman" w:hAnsi="Times New Roman"/>
          <w:color w:val="000000"/>
          <w:sz w:val="20"/>
        </w:rPr>
        <w:t>”</w:t>
      </w:r>
      <w:r>
        <w:rPr>
          <w:rFonts w:ascii="Times New Roman" w:hAnsi="Times New Roman"/>
          <w:color w:val="000000"/>
          <w:sz w:val="22"/>
        </w:rPr>
        <w:t>: the 2026 Delayed Draw Term Loan Commitments and any extension of credit made thereunder.</w:t>
      </w:r>
    </w:p>
    <w:p>
      <w:pPr>
        <w:pStyle w:val="TextBody"/>
        <w:bidi w:val="0"/>
        <w:spacing w:before="0" w:after="240"/>
        <w:jc w:val="both"/>
        <w:rPr/>
      </w:pPr>
      <w:r>
        <w:rPr>
          <w:color w:val="000000"/>
        </w:rPr>
        <w:t>“</w:t>
      </w:r>
      <w:r>
        <w:rPr>
          <w:rFonts w:ascii="Times New Roman" w:hAnsi="Times New Roman"/>
          <w:color w:val="000000"/>
          <w:sz w:val="22"/>
          <w:u w:val="single"/>
        </w:rPr>
        <w:t>2026 Delayed Draw Term Loan Maturity Date</w:t>
      </w:r>
      <w:r>
        <w:rPr>
          <w:rFonts w:ascii="Times New Roman" w:hAnsi="Times New Roman"/>
          <w:color w:val="000000"/>
          <w:sz w:val="20"/>
        </w:rPr>
        <w:t>”</w:t>
      </w:r>
      <w:r>
        <w:rPr>
          <w:rFonts w:ascii="Times New Roman" w:hAnsi="Times New Roman"/>
          <w:color w:val="000000"/>
          <w:sz w:val="22"/>
        </w:rPr>
        <w:t>: September 26, 2029.</w:t>
      </w:r>
    </w:p>
    <w:p>
      <w:pPr>
        <w:pStyle w:val="TextBody"/>
        <w:bidi w:val="0"/>
        <w:spacing w:before="0" w:after="240"/>
        <w:jc w:val="both"/>
        <w:rPr/>
      </w:pPr>
      <w:r>
        <w:rPr>
          <w:color w:val="000000"/>
        </w:rPr>
        <w:t>“</w:t>
      </w:r>
      <w:r>
        <w:rPr>
          <w:rFonts w:ascii="Times New Roman" w:hAnsi="Times New Roman"/>
          <w:color w:val="000000"/>
          <w:sz w:val="22"/>
          <w:u w:val="single"/>
        </w:rPr>
        <w:t>2026 Delayed Draw Term Loans</w:t>
      </w:r>
      <w:r>
        <w:rPr>
          <w:rFonts w:ascii="Times New Roman" w:hAnsi="Times New Roman"/>
          <w:color w:val="000000"/>
          <w:sz w:val="20"/>
        </w:rPr>
        <w:t>”</w:t>
      </w:r>
      <w:r>
        <w:rPr>
          <w:rFonts w:ascii="Times New Roman" w:hAnsi="Times New Roman"/>
          <w:color w:val="000000"/>
          <w:sz w:val="22"/>
        </w:rPr>
        <w:t>: the Loans made by 2026 Delayed Draw Term Lenders pursuant to Section 2.1(c) utilizing the 2026 Delayed Draw Term Loan Commitments.</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Commitment Period”: the period from the Twelfth Amendment Effective Date to and including the 2026-2 Delayed Draw Commitment Termination Date.</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Commitment Termination Date”: the earliest to occur of (i) the 2026-2 Delayed Draw Scheduled Commitment Termination Date, (ii) the date the 2026-2 Delayed Draw Term Loan Commitments are permanently reduced to zero pursuant to Section 2.9 and (iii) the date of the acceleration of the Loans in accordance with the terms hereof.</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Scheduled Commitment Termination Date”: September 30, 2026.</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Term Lender”: a Lender holding 2026-2 Delayed Draw Term Loan Commitments or 2026-2 Delayed Draw Term Loans.</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Term Loan Commitments”: the commitment of a Lender to make a 2026-2 Delayed Draw Term Loan to the Borrower pursuant to Section 2.1(d). The aggregate amount of the 2026-2 Delayed Draw Term Loan Commitments as of the Twelfth Amendment Effective Date is $700,000,000.</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Term Loan Facility”: the 2026-2 Delayed Draw Term Loan Commitments and any extension of credit made thereunder.</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Term Loan Maturity Date”: the date that is 364 days after the date of funding of the 2026-2 Delayed Draw Term Loans.</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2026-2 Delayed Draw Term Loans”: the Loans made by 2026-2 Delayed Draw Term Lenders pursuant to Section 2.1(d) utilizing the 2026-2 Delayed Draw Term Loan Commitments.</w:t>
      </w:r>
    </w:p>
    <w:p>
      <w:pPr>
        <w:pStyle w:val="TextBody"/>
        <w:bidi w:val="0"/>
        <w:spacing w:before="0" w:after="240"/>
        <w:jc w:val="both"/>
        <w:rPr/>
      </w:pPr>
      <w:r>
        <w:rPr>
          <w:color w:val="000000"/>
        </w:rPr>
        <w:t>“</w:t>
      </w:r>
      <w:r>
        <w:rPr>
          <w:rFonts w:ascii="Times New Roman" w:hAnsi="Times New Roman"/>
          <w:color w:val="000000"/>
          <w:sz w:val="22"/>
          <w:u w:val="single"/>
        </w:rPr>
        <w:t>2026 Incremental Revolving Commitment</w:t>
      </w:r>
      <w:r>
        <w:rPr>
          <w:rFonts w:ascii="Times New Roman" w:hAnsi="Times New Roman"/>
          <w:color w:val="000000"/>
          <w:sz w:val="20"/>
        </w:rPr>
        <w:t>”</w:t>
      </w:r>
      <w:r>
        <w:rPr>
          <w:rFonts w:ascii="Times New Roman" w:hAnsi="Times New Roman"/>
          <w:color w:val="000000"/>
          <w:sz w:val="22"/>
        </w:rPr>
        <w:t>: the commitment of a Lender to make 2026 Incremental Revolving Loans to the Borrower pursuant to Section 2.4. The aggregate amount of the 2026 Incremental Revolving Commitments as of the Eleventh Amendment Effective Date is $200,000,000.</w:t>
      </w:r>
    </w:p>
    <w:p>
      <w:pPr>
        <w:pStyle w:val="TextBody"/>
        <w:bidi w:val="0"/>
        <w:spacing w:before="0" w:after="240"/>
        <w:jc w:val="both"/>
        <w:rPr/>
      </w:pPr>
      <w:r>
        <w:rPr>
          <w:color w:val="000000"/>
        </w:rPr>
        <w:t>“</w:t>
      </w:r>
      <w:r>
        <w:rPr>
          <w:rFonts w:ascii="Times New Roman" w:hAnsi="Times New Roman"/>
          <w:color w:val="000000"/>
          <w:sz w:val="22"/>
          <w:u w:val="single"/>
        </w:rPr>
        <w:t>2026 Incremental Revolving Lender</w:t>
      </w:r>
      <w:r>
        <w:rPr>
          <w:rFonts w:ascii="Times New Roman" w:hAnsi="Times New Roman"/>
          <w:color w:val="000000"/>
          <w:sz w:val="20"/>
        </w:rPr>
        <w:t>”</w:t>
      </w:r>
      <w:r>
        <w:rPr>
          <w:rFonts w:ascii="Times New Roman" w:hAnsi="Times New Roman"/>
          <w:color w:val="000000"/>
          <w:sz w:val="22"/>
        </w:rPr>
        <w:t>: a Lender holding 2026 Incremental Revolving Commitments or 2026 Incremental Revolving Loans.</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2026 Incremental Revolving Loans</w:t>
      </w:r>
      <w:r>
        <w:rPr>
          <w:rFonts w:ascii="Times New Roman" w:hAnsi="Times New Roman"/>
          <w:color w:val="000000"/>
          <w:sz w:val="20"/>
        </w:rPr>
        <w:t>”</w:t>
      </w:r>
      <w:r>
        <w:rPr>
          <w:rFonts w:ascii="Times New Roman" w:hAnsi="Times New Roman"/>
          <w:color w:val="000000"/>
          <w:sz w:val="22"/>
        </w:rPr>
        <w:t>: the Loans made by 2026 Incremental Revolving Lenders pursuant to Section 2.4 utilizing the 2026 Incremental Revolving Commitments.</w:t>
      </w:r>
    </w:p>
    <w:p>
      <w:pPr>
        <w:pStyle w:val="TextBody"/>
        <w:bidi w:val="0"/>
        <w:spacing w:before="0" w:after="240"/>
        <w:jc w:val="both"/>
        <w:rPr/>
      </w:pPr>
      <w:r>
        <w:rPr>
          <w:color w:val="000000"/>
        </w:rPr>
        <w:t>“</w:t>
      </w:r>
      <w:r>
        <w:rPr>
          <w:rFonts w:ascii="Times New Roman" w:hAnsi="Times New Roman"/>
          <w:color w:val="000000"/>
          <w:sz w:val="22"/>
          <w:u w:val="single"/>
        </w:rPr>
        <w:t>2026 Incremental Term Facility</w:t>
      </w:r>
      <w:r>
        <w:rPr>
          <w:rFonts w:ascii="Times New Roman" w:hAnsi="Times New Roman"/>
          <w:color w:val="000000"/>
          <w:sz w:val="20"/>
        </w:rPr>
        <w:t>”</w:t>
      </w:r>
      <w:r>
        <w:rPr>
          <w:rFonts w:ascii="Times New Roman" w:hAnsi="Times New Roman"/>
          <w:color w:val="000000"/>
          <w:sz w:val="22"/>
        </w:rPr>
        <w:t>: the 2026 Incremental Term Loan Commitments and any extension of credit made thereunder.</w:t>
      </w:r>
    </w:p>
    <w:p>
      <w:pPr>
        <w:pStyle w:val="TextBody"/>
        <w:bidi w:val="0"/>
        <w:spacing w:before="0" w:after="240"/>
        <w:jc w:val="both"/>
        <w:rPr/>
      </w:pPr>
      <w:r>
        <w:rPr>
          <w:color w:val="000000"/>
        </w:rPr>
        <w:t>“</w:t>
      </w:r>
      <w:r>
        <w:rPr>
          <w:rFonts w:ascii="Times New Roman" w:hAnsi="Times New Roman"/>
          <w:color w:val="000000"/>
          <w:sz w:val="22"/>
          <w:u w:val="single"/>
        </w:rPr>
        <w:t>2026 Incremental Term Lender</w:t>
      </w:r>
      <w:r>
        <w:rPr>
          <w:rFonts w:ascii="Times New Roman" w:hAnsi="Times New Roman"/>
          <w:color w:val="000000"/>
          <w:sz w:val="20"/>
        </w:rPr>
        <w:t>”</w:t>
      </w:r>
      <w:r>
        <w:rPr>
          <w:rFonts w:ascii="Times New Roman" w:hAnsi="Times New Roman"/>
          <w:color w:val="000000"/>
          <w:sz w:val="22"/>
        </w:rPr>
        <w:t>: a Lender holding 2026 Incremental Term Loan Commitments or 2026 Incremental Term Loans.</w:t>
      </w:r>
    </w:p>
    <w:p>
      <w:pPr>
        <w:pStyle w:val="TextBody"/>
        <w:bidi w:val="0"/>
        <w:spacing w:before="0" w:after="240"/>
        <w:jc w:val="both"/>
        <w:rPr/>
      </w:pPr>
      <w:r>
        <w:rPr>
          <w:color w:val="000000"/>
        </w:rPr>
        <w:t>“</w:t>
      </w:r>
      <w:r>
        <w:rPr>
          <w:rFonts w:ascii="Times New Roman" w:hAnsi="Times New Roman"/>
          <w:color w:val="000000"/>
          <w:sz w:val="22"/>
          <w:u w:val="single"/>
        </w:rPr>
        <w:t>2026 Incremental Term Loan Commitments</w:t>
      </w:r>
      <w:r>
        <w:rPr>
          <w:rFonts w:ascii="Times New Roman" w:hAnsi="Times New Roman"/>
          <w:color w:val="000000"/>
          <w:sz w:val="20"/>
        </w:rPr>
        <w:t>”</w:t>
      </w:r>
      <w:r>
        <w:rPr>
          <w:rFonts w:ascii="Times New Roman" w:hAnsi="Times New Roman"/>
          <w:color w:val="000000"/>
          <w:sz w:val="22"/>
        </w:rPr>
        <w:t>: the commitment of a Lender to make a 2026 Incremental Term Loan to the Borrower pursuant to Section 2.1(b). The aggregate amount of the 2026 Incremental Term Loan Commitments as of the Eleventh Amendment Effective Date is $300,000,000.</w:t>
      </w:r>
    </w:p>
    <w:p>
      <w:pPr>
        <w:pStyle w:val="TextBody"/>
        <w:bidi w:val="0"/>
        <w:spacing w:before="0" w:after="240"/>
        <w:jc w:val="both"/>
        <w:rPr/>
      </w:pPr>
      <w:r>
        <w:rPr>
          <w:color w:val="000000"/>
        </w:rPr>
        <w:t>“</w:t>
      </w:r>
      <w:r>
        <w:rPr>
          <w:rFonts w:ascii="Times New Roman" w:hAnsi="Times New Roman"/>
          <w:color w:val="000000"/>
          <w:sz w:val="22"/>
          <w:u w:val="single"/>
        </w:rPr>
        <w:t>2026 Incremental Term Loan Maturity Date</w:t>
      </w:r>
      <w:r>
        <w:rPr>
          <w:rFonts w:ascii="Times New Roman" w:hAnsi="Times New Roman"/>
          <w:color w:val="000000"/>
          <w:sz w:val="20"/>
        </w:rPr>
        <w:t>”</w:t>
      </w:r>
      <w:r>
        <w:rPr>
          <w:rFonts w:ascii="Times New Roman" w:hAnsi="Times New Roman"/>
          <w:color w:val="000000"/>
          <w:sz w:val="22"/>
        </w:rPr>
        <w:t>: September 26, 2029.</w:t>
      </w:r>
    </w:p>
    <w:p>
      <w:pPr>
        <w:pStyle w:val="TextBody"/>
        <w:bidi w:val="0"/>
        <w:spacing w:before="0" w:after="240"/>
        <w:jc w:val="both"/>
        <w:rPr/>
      </w:pPr>
      <w:r>
        <w:rPr>
          <w:color w:val="000000"/>
        </w:rPr>
        <w:t>“</w:t>
      </w:r>
      <w:r>
        <w:rPr>
          <w:rFonts w:ascii="Times New Roman" w:hAnsi="Times New Roman"/>
          <w:color w:val="000000"/>
          <w:sz w:val="22"/>
          <w:u w:val="single"/>
        </w:rPr>
        <w:t>2026 Incremental Term Loans</w:t>
      </w:r>
      <w:r>
        <w:rPr>
          <w:rFonts w:ascii="Times New Roman" w:hAnsi="Times New Roman"/>
          <w:color w:val="000000"/>
          <w:sz w:val="20"/>
        </w:rPr>
        <w:t>”</w:t>
      </w:r>
      <w:r>
        <w:rPr>
          <w:rFonts w:ascii="Times New Roman" w:hAnsi="Times New Roman"/>
          <w:color w:val="000000"/>
          <w:sz w:val="22"/>
        </w:rPr>
        <w:t>: the Loans made by 2026 Incremental Term Lenders pursuant to Section 2.1(b) utilizing the 2026 Incremental Term Loan Commitments.</w:t>
      </w:r>
    </w:p>
    <w:p>
      <w:pPr>
        <w:pStyle w:val="TextBody"/>
        <w:bidi w:val="0"/>
        <w:spacing w:before="0" w:after="240"/>
        <w:jc w:val="both"/>
        <w:rPr/>
      </w:pPr>
      <w:r>
        <w:rPr>
          <w:color w:val="000000"/>
        </w:rPr>
        <w:t>“</w:t>
      </w:r>
      <w:r>
        <w:rPr>
          <w:rFonts w:ascii="Times New Roman" w:hAnsi="Times New Roman"/>
          <w:color w:val="000000"/>
          <w:sz w:val="22"/>
          <w:u w:val="single"/>
        </w:rPr>
        <w:t>2026 Incremental Term Percentage</w:t>
      </w:r>
      <w:r>
        <w:rPr>
          <w:rFonts w:ascii="Times New Roman" w:hAnsi="Times New Roman"/>
          <w:color w:val="000000"/>
          <w:sz w:val="20"/>
        </w:rPr>
        <w:t>”</w:t>
      </w:r>
      <w:r>
        <w:rPr>
          <w:rFonts w:ascii="Times New Roman" w:hAnsi="Times New Roman"/>
          <w:color w:val="000000"/>
          <w:sz w:val="22"/>
        </w:rPr>
        <w:t>: as to any 2026 Incremental Term Lender at any time, the percentage which such Lender’s 2026 Incremental Term Loan Commitment then constitutes of the aggregate 2026 Incremental Term Loan Commitments (or, at any time after the Eleventh Amendment Effective Date, the percentage which the aggregate principal amount of such Lender’s 2026 Incremental Term Loans then outstanding constitutes of the aggregate principal amount of the 2026 Incremental Term Loans then outstanding).</w:t>
      </w:r>
    </w:p>
    <w:p>
      <w:pPr>
        <w:pStyle w:val="TextBody"/>
        <w:bidi w:val="0"/>
        <w:spacing w:before="0" w:after="240"/>
        <w:jc w:val="both"/>
        <w:rPr/>
      </w:pPr>
      <w:r>
        <w:rPr>
          <w:color w:val="000000"/>
        </w:rPr>
        <w:t>“</w:t>
      </w:r>
      <w:r>
        <w:rPr>
          <w:rFonts w:ascii="Times New Roman" w:hAnsi="Times New Roman"/>
          <w:color w:val="000000"/>
          <w:sz w:val="22"/>
          <w:u w:val="single"/>
        </w:rPr>
        <w:t>2.65% 2030 Secured Senior Notes</w:t>
      </w:r>
      <w:r>
        <w:rPr>
          <w:rFonts w:ascii="Times New Roman" w:hAnsi="Times New Roman"/>
          <w:color w:val="000000"/>
          <w:sz w:val="20"/>
        </w:rPr>
        <w:t>”</w:t>
      </w:r>
      <w:r>
        <w:rPr>
          <w:rFonts w:ascii="Times New Roman" w:hAnsi="Times New Roman"/>
          <w:color w:val="000000"/>
          <w:sz w:val="22"/>
        </w:rPr>
        <w:t>: the senior notes of the Borrower issued pursuant to the 2020 Indenture due 2030.</w:t>
      </w:r>
    </w:p>
    <w:p>
      <w:pPr>
        <w:pStyle w:val="TextBody"/>
        <w:bidi w:val="0"/>
        <w:spacing w:before="0" w:after="240"/>
        <w:jc w:val="both"/>
        <w:rPr/>
      </w:pPr>
      <w:r>
        <w:rPr>
          <w:color w:val="000000"/>
        </w:rPr>
        <w:t>“</w:t>
      </w:r>
      <w:r>
        <w:rPr>
          <w:rFonts w:ascii="Times New Roman" w:hAnsi="Times New Roman"/>
          <w:color w:val="000000"/>
          <w:sz w:val="22"/>
          <w:u w:val="single"/>
        </w:rPr>
        <w:t>1.65% 2026 Secured Senior Notes</w:t>
      </w:r>
      <w:r>
        <w:rPr>
          <w:rFonts w:ascii="Times New Roman" w:hAnsi="Times New Roman"/>
          <w:color w:val="000000"/>
          <w:sz w:val="20"/>
        </w:rPr>
        <w:t>”</w:t>
      </w:r>
      <w:r>
        <w:rPr>
          <w:rFonts w:ascii="Times New Roman" w:hAnsi="Times New Roman"/>
          <w:color w:val="000000"/>
          <w:sz w:val="22"/>
        </w:rPr>
        <w:t>: the senior notes of the Borrower issued pursuant to the 2021 Indenture due 2026.</w:t>
      </w:r>
    </w:p>
    <w:p>
      <w:pPr>
        <w:pStyle w:val="TextBody"/>
        <w:bidi w:val="0"/>
        <w:spacing w:before="0" w:after="240"/>
        <w:jc w:val="both"/>
        <w:rPr/>
      </w:pPr>
      <w:r>
        <w:rPr>
          <w:color w:val="000000"/>
        </w:rPr>
        <w:t>“</w:t>
      </w:r>
      <w:r>
        <w:rPr>
          <w:rFonts w:ascii="Times New Roman" w:hAnsi="Times New Roman"/>
          <w:color w:val="000000"/>
          <w:sz w:val="22"/>
          <w:u w:val="single"/>
        </w:rPr>
        <w:t>2.65% 2032 Secured Senior Notes</w:t>
      </w:r>
      <w:r>
        <w:rPr>
          <w:rFonts w:ascii="Times New Roman" w:hAnsi="Times New Roman"/>
          <w:color w:val="000000"/>
          <w:sz w:val="20"/>
        </w:rPr>
        <w:t>”</w:t>
      </w:r>
      <w:r>
        <w:rPr>
          <w:rFonts w:ascii="Times New Roman" w:hAnsi="Times New Roman"/>
          <w:color w:val="000000"/>
          <w:sz w:val="22"/>
        </w:rPr>
        <w:t>: the senior notes of the Borrower issued pursuant to the 2021 Indenture due 2032.</w:t>
      </w:r>
    </w:p>
    <w:p>
      <w:pPr>
        <w:pStyle w:val="TextBody"/>
        <w:bidi w:val="0"/>
        <w:spacing w:before="0" w:after="240"/>
        <w:jc w:val="both"/>
        <w:rPr/>
      </w:pPr>
      <w:r>
        <w:rPr>
          <w:color w:val="000000"/>
        </w:rPr>
        <w:t>“</w:t>
      </w:r>
      <w:r>
        <w:rPr>
          <w:rFonts w:ascii="Times New Roman" w:hAnsi="Times New Roman"/>
          <w:color w:val="000000"/>
          <w:sz w:val="22"/>
          <w:u w:val="single"/>
        </w:rPr>
        <w:t>4.625% Secured Senior Notes</w:t>
      </w:r>
      <w:r>
        <w:rPr>
          <w:rFonts w:ascii="Times New Roman" w:hAnsi="Times New Roman"/>
          <w:color w:val="000000"/>
          <w:sz w:val="20"/>
        </w:rPr>
        <w:t>”</w:t>
      </w:r>
      <w:r>
        <w:rPr>
          <w:rFonts w:ascii="Times New Roman" w:hAnsi="Times New Roman"/>
          <w:color w:val="000000"/>
          <w:sz w:val="22"/>
        </w:rPr>
        <w:t>: the senior notes of the Borrower issued pursuant to the 2024 Indenture due 2029.</w:t>
      </w:r>
    </w:p>
    <w:p>
      <w:pPr>
        <w:pStyle w:val="TextBody"/>
        <w:bidi w:val="0"/>
        <w:spacing w:before="0" w:after="240"/>
        <w:jc w:val="both"/>
        <w:rPr/>
      </w:pPr>
      <w:r>
        <w:rPr>
          <w:color w:val="000000"/>
        </w:rPr>
        <w:t>“</w:t>
      </w:r>
      <w:r>
        <w:rPr>
          <w:rFonts w:ascii="Times New Roman" w:hAnsi="Times New Roman"/>
          <w:color w:val="000000"/>
          <w:sz w:val="22"/>
          <w:u w:val="single"/>
        </w:rPr>
        <w:t>5.050% Secured Senior Notes</w:t>
      </w:r>
      <w:r>
        <w:rPr>
          <w:rFonts w:ascii="Times New Roman" w:hAnsi="Times New Roman"/>
          <w:color w:val="000000"/>
          <w:sz w:val="20"/>
        </w:rPr>
        <w:t>”</w:t>
      </w:r>
      <w:r>
        <w:rPr>
          <w:rFonts w:ascii="Times New Roman" w:hAnsi="Times New Roman"/>
          <w:color w:val="000000"/>
          <w:sz w:val="22"/>
        </w:rPr>
        <w:t>: the senior notes of the Borrower issued pursuant to the 2024 Indenture due 2034.</w:t>
      </w:r>
    </w:p>
    <w:p>
      <w:pPr>
        <w:pStyle w:val="TextBody"/>
        <w:bidi w:val="0"/>
        <w:spacing w:before="0" w:after="240"/>
        <w:jc w:val="both"/>
        <w:rPr/>
      </w:pPr>
      <w:r>
        <w:rPr>
          <w:color w:val="000000"/>
        </w:rPr>
        <w:t>“</w:t>
      </w:r>
      <w:r>
        <w:rPr>
          <w:rFonts w:ascii="Times New Roman" w:hAnsi="Times New Roman"/>
          <w:color w:val="000000"/>
          <w:sz w:val="22"/>
          <w:u w:val="single"/>
        </w:rPr>
        <w:t>ABR</w:t>
      </w:r>
      <w:r>
        <w:rPr>
          <w:rFonts w:ascii="Times New Roman" w:hAnsi="Times New Roman"/>
          <w:color w:val="000000"/>
          <w:sz w:val="20"/>
        </w:rPr>
        <w:t>”</w:t>
      </w:r>
      <w:r>
        <w:rPr>
          <w:rFonts w:ascii="Times New Roman" w:hAnsi="Times New Roman"/>
          <w:color w:val="000000"/>
          <w:sz w:val="22"/>
        </w:rPr>
        <w:t xml:space="preserve">: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hAnsi="Times New Roman"/>
          <w:color w:val="000000"/>
          <w:sz w:val="22"/>
          <w:u w:val="single"/>
        </w:rPr>
        <w:t xml:space="preserve">provided </w:t>
      </w:r>
      <w:r>
        <w:rPr>
          <w:rFonts w:ascii="Times New Roman" w:hAnsi="Times New Roman"/>
          <w:color w:val="000000"/>
          <w:sz w:val="22"/>
        </w:rPr>
        <w:t>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ABR due to a change in the Prime Rate, the NYFRB Rate or the Adjusted Term SOFR Rate shall be effective from and including the effective date of such change in the Prime Rate, the NYFRB Rate or the Adjusted Term SOFR Rate, respectively. If ABR is being used as an alternate rate of interest pursuant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Section 2.16 (for the avoidance of doubt, only until the Benchmark Replacement has been determined pursuant to Section 2.16(b)), then ABR shall be the greater of clauses (a) and (b) above and shall be determined without reference to clause (c) above. For the avoidance of doubt, if ABR as determined pursuant to the foregoing would be less than 1.0%, such rate shall be deemed to be 1.0%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ABR Loans</w:t>
      </w:r>
      <w:r>
        <w:rPr>
          <w:rFonts w:ascii="Times New Roman" w:hAnsi="Times New Roman"/>
          <w:color w:val="000000"/>
          <w:sz w:val="20"/>
        </w:rPr>
        <w:t>”</w:t>
      </w:r>
      <w:r>
        <w:rPr>
          <w:rFonts w:ascii="Times New Roman" w:hAnsi="Times New Roman"/>
          <w:color w:val="000000"/>
          <w:sz w:val="22"/>
        </w:rPr>
        <w:t>: Loans the rate of interest applicable to which is based upon the ABR.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w:t>
      </w:r>
      <w:r>
        <w:rPr>
          <w:rFonts w:ascii="Times New Roman" w:hAnsi="Times New Roman"/>
          <w:color w:val="000000"/>
          <w:sz w:val="22"/>
        </w:rPr>
        <w:t>: any acquisition by the Borrower or any of its Subsidiaries, whether by purchase, merger or otherwise, of all or substantially all of the assets of, or any business line, unit or division of, any Person (other than an existing Subsidiary) or of a majority of the outstanding Capital Stock of any Person (other than an existing Subsidiary) such that such Person shall become a Subsidiary immediately upon consummation thereof.</w:t>
      </w:r>
    </w:p>
    <w:p>
      <w:pPr>
        <w:pStyle w:val="TextBody"/>
        <w:bidi w:val="0"/>
        <w:spacing w:before="0" w:after="240"/>
        <w:jc w:val="both"/>
        <w:rPr/>
      </w:pPr>
      <w:r>
        <w:rPr>
          <w:color w:val="000000"/>
        </w:rPr>
        <w:t>“</w:t>
      </w:r>
      <w:r>
        <w:rPr>
          <w:rFonts w:ascii="Times New Roman" w:hAnsi="Times New Roman"/>
          <w:color w:val="000000"/>
          <w:sz w:val="22"/>
          <w:u w:val="single"/>
        </w:rPr>
        <w:t>Additional Notes</w:t>
      </w:r>
      <w:r>
        <w:rPr>
          <w:rFonts w:ascii="Times New Roman" w:hAnsi="Times New Roman"/>
          <w:color w:val="000000"/>
          <w:sz w:val="20"/>
        </w:rPr>
        <w:t>”</w:t>
      </w:r>
      <w:r>
        <w:rPr>
          <w:rFonts w:ascii="Times New Roman" w:hAnsi="Times New Roman"/>
          <w:color w:val="000000"/>
          <w:sz w:val="22"/>
        </w:rPr>
        <w:t>: as defined in Section 7.2(j).</w:t>
      </w:r>
    </w:p>
    <w:p>
      <w:pPr>
        <w:pStyle w:val="TextBody"/>
        <w:bidi w:val="0"/>
        <w:spacing w:before="0" w:after="240"/>
        <w:jc w:val="both"/>
        <w:rPr/>
      </w:pPr>
      <w:r>
        <w:rPr>
          <w:color w:val="000000"/>
        </w:rPr>
        <w:t>“</w:t>
      </w:r>
      <w:r>
        <w:rPr>
          <w:rFonts w:ascii="Times New Roman" w:hAnsi="Times New Roman"/>
          <w:color w:val="000000"/>
          <w:sz w:val="22"/>
          <w:u w:val="single"/>
        </w:rPr>
        <w:t>Adjusted Daily Simple SOFR</w:t>
      </w:r>
      <w:r>
        <w:rPr>
          <w:rFonts w:ascii="Times New Roman" w:hAnsi="Times New Roman"/>
          <w:color w:val="000000"/>
          <w:sz w:val="20"/>
        </w:rPr>
        <w:t>”</w:t>
      </w:r>
      <w:r>
        <w:rPr>
          <w:rFonts w:ascii="Times New Roman" w:hAnsi="Times New Roman"/>
          <w:color w:val="000000"/>
          <w:sz w:val="22"/>
        </w:rPr>
        <w:t xml:space="preserve">: an interest rate per annum equal to the Daily Simple SOFR;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Daily Simple SOFR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Adjusted Term SOFR Rate</w:t>
      </w:r>
      <w:r>
        <w:rPr>
          <w:rFonts w:ascii="Times New Roman" w:hAnsi="Times New Roman"/>
          <w:color w:val="000000"/>
          <w:sz w:val="20"/>
        </w:rPr>
        <w:t>”</w:t>
      </w:r>
      <w:r>
        <w:rPr>
          <w:rFonts w:ascii="Times New Roman" w:hAnsi="Times New Roman"/>
          <w:color w:val="000000"/>
          <w:sz w:val="22"/>
        </w:rPr>
        <w:t>: for any Interest Period, an interest rate per annum equal to the Term SOFR Rate for such Interest Period;</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Term SOFR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Adjustment Date</w:t>
      </w:r>
      <w:r>
        <w:rPr>
          <w:rFonts w:ascii="Times New Roman" w:hAnsi="Times New Roman"/>
          <w:color w:val="000000"/>
          <w:sz w:val="20"/>
        </w:rPr>
        <w:t>”</w:t>
      </w:r>
      <w:r>
        <w:rPr>
          <w:rFonts w:ascii="Times New Roman" w:hAnsi="Times New Roman"/>
          <w:color w:val="000000"/>
          <w:sz w:val="22"/>
        </w:rPr>
        <w:t>: as defined in the Applicable Pricing Grid.</w:t>
      </w:r>
    </w:p>
    <w:p>
      <w:pPr>
        <w:pStyle w:val="TextBody"/>
        <w:bidi w:val="0"/>
        <w:spacing w:before="0" w:after="24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JPMorgan Chase Bank, N.A., together with its affiliates, as the arranger of the Commitments and as the administrative agent for the Lenders under this Agreement and the other Loan Documents and, as applicable, as Collateral Agent, together with any of its successors.</w:t>
      </w:r>
    </w:p>
    <w:p>
      <w:pPr>
        <w:pStyle w:val="TextBody"/>
        <w:bidi w:val="0"/>
        <w:spacing w:before="0" w:after="24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w:t>
      </w:r>
      <w:r>
        <w:rPr>
          <w:rFonts w:ascii="Times New Roman" w:hAnsi="Times New Roman"/>
          <w:color w:val="000000"/>
          <w:sz w:val="22"/>
        </w:rPr>
        <w:t>: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w:t>
      </w:r>
      <w:r>
        <w:rPr>
          <w:rFonts w:ascii="Times New Roman" w:hAnsi="Times New Roman"/>
          <w:color w:val="000000"/>
          <w:sz w:val="22"/>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pStyle w:val="TextBody"/>
        <w:bidi w:val="0"/>
        <w:spacing w:before="0" w:after="240"/>
        <w:jc w:val="both"/>
        <w:rPr/>
      </w:pPr>
      <w:r>
        <w:rPr>
          <w:color w:val="000000"/>
        </w:rPr>
        <w:t>“</w:t>
      </w:r>
      <w:r>
        <w:rPr>
          <w:rFonts w:ascii="Times New Roman" w:hAnsi="Times New Roman"/>
          <w:color w:val="000000"/>
          <w:sz w:val="22"/>
          <w:u w:val="single"/>
        </w:rPr>
        <w:t>Agents</w:t>
      </w:r>
      <w:r>
        <w:rPr>
          <w:rFonts w:ascii="Times New Roman" w:hAnsi="Times New Roman"/>
          <w:color w:val="000000"/>
          <w:sz w:val="20"/>
        </w:rPr>
        <w:t>”</w:t>
      </w:r>
      <w:r>
        <w:rPr>
          <w:rFonts w:ascii="Times New Roman" w:hAnsi="Times New Roman"/>
          <w:color w:val="000000"/>
          <w:sz w:val="22"/>
        </w:rPr>
        <w:t>: the collective reference to the Co-Syndication Agents, the Co-Documentation Agents, the Administrative Agent and the Collateral Agent.</w:t>
      </w:r>
    </w:p>
    <w:p>
      <w:pPr>
        <w:pStyle w:val="TextBody"/>
        <w:bidi w:val="0"/>
        <w:spacing w:before="0" w:after="240"/>
        <w:jc w:val="both"/>
        <w:rPr/>
      </w:pPr>
      <w:r>
        <w:rPr>
          <w:color w:val="000000"/>
        </w:rPr>
        <w:t>“</w:t>
      </w:r>
      <w:r>
        <w:rPr>
          <w:rFonts w:ascii="Times New Roman" w:hAnsi="Times New Roman"/>
          <w:color w:val="000000"/>
          <w:sz w:val="22"/>
          <w:u w:val="single"/>
        </w:rPr>
        <w:t>Aggregate Exposure</w:t>
      </w:r>
      <w:r>
        <w:rPr>
          <w:rFonts w:ascii="Times New Roman" w:hAnsi="Times New Roman"/>
          <w:color w:val="000000"/>
          <w:sz w:val="20"/>
        </w:rPr>
        <w:t>”</w:t>
      </w:r>
      <w:r>
        <w:rPr>
          <w:rFonts w:ascii="Times New Roman" w:hAnsi="Times New Roman"/>
          <w:color w:val="000000"/>
          <w:sz w:val="22"/>
        </w:rPr>
        <w:t>: with respect to any Lender at any time, an amount equal to (a) until the Closing Date, the aggregate amount of such Lender’s Commitments at such time and (b) thereafter, the sum of (i) the aggregate then unpaid principal amount of such Lender’s Term Loans, (ii) the amount of such Lender’s Revolving Commitment then in effect or, if any Class of Revolving Commitments of such Lender have been terminated, the amount of such Lender’s Revolving Extensions of Credit then outstanding</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(iii) the amount of such Lender’s 2026 Delayed Draw Term Loan Commitments then in effect</w:t>
      </w:r>
      <w:r>
        <w:rPr>
          <w:rFonts w:ascii="Times New Roman" w:hAnsi="Times New Roman"/>
          <w:color w:val="0000FF"/>
          <w:sz w:val="20"/>
          <w:u w:val="single"/>
        </w:rPr>
        <w:t xml:space="preserve"> </w:t>
      </w:r>
      <w:r>
        <w:rPr>
          <w:rFonts w:ascii="Times New Roman" w:hAnsi="Times New Roman"/>
          <w:color w:val="0000FF"/>
          <w:sz w:val="22"/>
          <w:u w:val="single"/>
        </w:rPr>
        <w:t>and (iv) the amount of such Lender’s 2026-2 Delayed Draw Term Loan Commitments then in effect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Aggregate Exposure Percentage</w:t>
      </w:r>
      <w:r>
        <w:rPr>
          <w:rFonts w:ascii="Times New Roman" w:hAnsi="Times New Roman"/>
          <w:color w:val="000000"/>
          <w:sz w:val="20"/>
        </w:rPr>
        <w:t>”</w:t>
      </w:r>
      <w:r>
        <w:rPr>
          <w:rFonts w:ascii="Times New Roman" w:hAnsi="Times New Roman"/>
          <w:color w:val="000000"/>
          <w:sz w:val="22"/>
        </w:rPr>
        <w:t>: with respect to any Lender at any time, the ratio (expressed as a percentage) of such Lender’s Aggregate Exposure at such time to the Aggregate Exposure of all Lenders at such time.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as defined in the preamble hereto.</w:t>
      </w:r>
    </w:p>
    <w:p>
      <w:pPr>
        <w:pStyle w:val="TextBody"/>
        <w:bidi w:val="0"/>
        <w:spacing w:before="0" w:after="240"/>
        <w:jc w:val="both"/>
        <w:rPr/>
      </w:pPr>
      <w:r>
        <w:rPr>
          <w:color w:val="000000"/>
        </w:rPr>
        <w:t>“</w:t>
      </w:r>
      <w:r>
        <w:rPr>
          <w:rFonts w:ascii="Times New Roman" w:hAnsi="Times New Roman"/>
          <w:color w:val="000000"/>
          <w:sz w:val="22"/>
          <w:u w:val="single"/>
        </w:rPr>
        <w:t>Ancillary Fees</w:t>
      </w:r>
      <w:r>
        <w:rPr>
          <w:rFonts w:ascii="Times New Roman" w:hAnsi="Times New Roman"/>
          <w:color w:val="000000"/>
          <w:sz w:val="20"/>
        </w:rPr>
        <w:t>”</w:t>
      </w:r>
      <w:r>
        <w:rPr>
          <w:rFonts w:ascii="Times New Roman" w:hAnsi="Times New Roman"/>
          <w:color w:val="000000"/>
          <w:sz w:val="22"/>
        </w:rPr>
        <w:t>: as defined in Section 10.1(a)(xi).</w:t>
      </w:r>
    </w:p>
    <w:p>
      <w:pPr>
        <w:pStyle w:val="TextBody"/>
        <w:bidi w:val="0"/>
        <w:spacing w:before="0" w:after="240"/>
        <w:jc w:val="both"/>
        <w:rPr/>
      </w:pPr>
      <w:r>
        <w:rPr>
          <w:color w:val="000000"/>
        </w:rPr>
        <w:t>“</w:t>
      </w:r>
      <w:r>
        <w:rPr>
          <w:rFonts w:ascii="Times New Roman" w:hAnsi="Times New Roman"/>
          <w:color w:val="000000"/>
          <w:sz w:val="22"/>
          <w:u w:val="single"/>
        </w:rPr>
        <w:t>Ancillary Document</w:t>
      </w:r>
      <w:r>
        <w:rPr>
          <w:rFonts w:ascii="Times New Roman" w:hAnsi="Times New Roman"/>
          <w:color w:val="000000"/>
          <w:sz w:val="20"/>
        </w:rPr>
        <w:t>”</w:t>
      </w:r>
      <w:r>
        <w:rPr>
          <w:rFonts w:ascii="Times New Roman" w:hAnsi="Times New Roman"/>
          <w:color w:val="000000"/>
          <w:sz w:val="22"/>
        </w:rPr>
        <w:t>: as defined in Section 10.8(b).</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w:t>
      </w:r>
      <w:r>
        <w:rPr>
          <w:rFonts w:ascii="Times New Roman" w:hAnsi="Times New Roman"/>
          <w:color w:val="000000"/>
          <w:sz w:val="22"/>
        </w:rPr>
        <w:t>: all laws, rules, and regulations of any jurisdiction applicable to the Borrower or its Subsidiaries from time to time concerning or relating to bribery or corruption.</w:t>
      </w:r>
    </w:p>
    <w:p>
      <w:pPr>
        <w:pStyle w:val="TextBody"/>
        <w:bidi w:val="0"/>
        <w:spacing w:before="0" w:after="240"/>
        <w:jc w:val="both"/>
        <w:rPr/>
      </w:pPr>
      <w:r>
        <w:rPr>
          <w:color w:val="000000"/>
        </w:rPr>
        <w:t>“</w:t>
      </w:r>
      <w:r>
        <w:rPr>
          <w:rFonts w:ascii="Times New Roman" w:hAnsi="Times New Roman"/>
          <w:color w:val="000000"/>
          <w:sz w:val="22"/>
          <w:u w:val="single"/>
        </w:rPr>
        <w:t>Applicable Margin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for each Type of Loan (other than Incremental Term Loans (except as expressly included below)), the rate per annum set forth under the relevant column heading below:</w:t>
      </w:r>
    </w:p>
    <w:tbl>
      <w:tblPr>
        <w:tblW w:w="10205" w:type="dxa"/>
        <w:jc w:val="left"/>
        <w:tblInd w:w="0" w:type="dxa"/>
        <w:tblLayout w:type="fixed"/>
        <w:tblCellMar>
          <w:top w:w="28" w:type="dxa"/>
          <w:left w:w="28" w:type="dxa"/>
          <w:bottom w:w="28" w:type="dxa"/>
          <w:right w:w="28" w:type="dxa"/>
        </w:tblCellMar>
      </w:tblPr>
      <w:tblGrid>
        <w:gridCol w:w="5316"/>
        <w:gridCol w:w="1211"/>
        <w:gridCol w:w="3678"/>
      </w:tblGrid>
      <w:tr>
        <w:trPr/>
        <w:tc>
          <w:tcPr>
            <w:tcW w:w="531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5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2"/>
              </w:rPr>
            </w:pPr>
            <w:r>
              <w:rPr>
                <w:rFonts w:ascii="Times New Roman" w:hAnsi="Times New Roman"/>
                <w:b/>
                <w:color w:val="000000"/>
                <w:sz w:val="22"/>
              </w:rPr>
              <w:t>ABR Loans</w:t>
            </w:r>
          </w:p>
        </w:tc>
        <w:tc>
          <w:tcPr>
            <w:tcW w:w="367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2"/>
              </w:rPr>
            </w:pPr>
            <w:r>
              <w:rPr>
                <w:rFonts w:ascii="Times New Roman" w:hAnsi="Times New Roman"/>
                <w:b/>
                <w:color w:val="000000"/>
                <w:sz w:val="22"/>
              </w:rPr>
              <w:t>Term Benchmark Loans / RFR Loans</w:t>
            </w:r>
          </w:p>
        </w:tc>
      </w:tr>
      <w:tr>
        <w:trPr/>
        <w:tc>
          <w:tcPr>
            <w:tcW w:w="5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Revolving Loans and</w:t>
              <w:br/>
              <w:t>Swingline Loans</w:t>
            </w:r>
          </w:p>
        </w:tc>
        <w:tc>
          <w:tcPr>
            <w:tcW w:w="1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0.25%</w:t>
            </w:r>
          </w:p>
        </w:tc>
        <w:tc>
          <w:tcPr>
            <w:tcW w:w="3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w:t>
            </w:r>
          </w:p>
        </w:tc>
      </w:tr>
      <w:tr>
        <w:trPr/>
        <w:tc>
          <w:tcPr>
            <w:tcW w:w="5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Tranche A Term Loans and 2026 Incremental Term Loans</w:t>
            </w:r>
          </w:p>
        </w:tc>
        <w:tc>
          <w:tcPr>
            <w:tcW w:w="1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0.25%</w:t>
            </w:r>
          </w:p>
        </w:tc>
        <w:tc>
          <w:tcPr>
            <w:tcW w:w="3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w:t>
            </w:r>
          </w:p>
        </w:tc>
      </w:tr>
      <w:tr>
        <w:trPr/>
        <w:tc>
          <w:tcPr>
            <w:tcW w:w="5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tcMar>
              <w:top w:w="0" w:type="dxa"/>
              <w:left w:w="0" w:type="dxa"/>
              <w:bottom w:w="0" w:type="dxa"/>
              <w:right w:w="0" w:type="dxa"/>
            </w:tcMar>
            <w:vAlign w:val="center"/>
          </w:tcPr>
          <w:p>
            <w:pPr>
              <w:pStyle w:val="TableContents"/>
              <w:bidi w:val="0"/>
              <w:spacing w:before="0" w:after="283"/>
              <w:jc w:val="both"/>
              <w:rPr/>
            </w:pPr>
            <w:r>
              <w:rPr/>
              <w:t> </w:t>
            </w:r>
          </w:p>
        </w:tc>
        <w:tc>
          <w:tcPr>
            <w:tcW w:w="367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both"/>
        <w:rPr>
          <w:rFonts w:ascii="Times New Roman" w:hAnsi="Times New Roman"/>
          <w:sz w:val="20"/>
        </w:rPr>
      </w:pP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on and after the first Adjustment Date occurring after the completion of the first fiscal quarter of the Borrower after the Eleventh Amendment Effective Date, the Applicable Margin with respect to Revolving Loans, Swingline Loans, Tranche A Term Loans and 2026 Incremental Term Loans will be determined pursuant to the Applicable Pricing Grid;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for 2026 Delayed Draw Term Loans, on and after the Eleventh Amendment Effective Date, the Applicable Margin will be determined pursuant to the Applicable Pricing Grid; </w:t>
      </w:r>
      <w:r>
        <w:rPr>
          <w:rFonts w:ascii="Times New Roman" w:hAnsi="Times New Roman"/>
          <w:strike/>
          <w:color w:val="FF0000"/>
          <w:sz w:val="22"/>
        </w:rPr>
        <w:t>and</w:t>
      </w:r>
    </w:p>
    <w:p>
      <w:pPr>
        <w:pStyle w:val="TextBody"/>
        <w:bidi w:val="0"/>
        <w:spacing w:before="0" w:after="240"/>
        <w:jc w:val="both"/>
        <w:rPr>
          <w:rFonts w:ascii="Times New Roman" w:hAnsi="Times New Roman"/>
          <w:sz w:val="20"/>
        </w:rPr>
      </w:pPr>
      <w:r>
        <w:rPr>
          <w:rFonts w:ascii="Times New Roman" w:hAnsi="Times New Roman"/>
          <w:color w:val="0000FF"/>
          <w:sz w:val="22"/>
          <w:u w:val="single"/>
        </w:rPr>
        <w:t>(c)</w:t>
      </w:r>
      <w:r>
        <w:rPr>
          <w:rFonts w:ascii="Times New Roman" w:hAnsi="Times New Roman"/>
          <w:color w:val="000000"/>
          <w:sz w:val="20"/>
        </w:rPr>
        <w:t xml:space="preserve"> </w:t>
      </w:r>
      <w:r>
        <w:rPr>
          <w:rFonts w:ascii="Times New Roman" w:hAnsi="Times New Roman"/>
          <w:color w:val="0000FF"/>
          <w:sz w:val="22"/>
          <w:u w:val="single"/>
        </w:rPr>
        <w:t>for 2026-2 Delayed Draw Term Loans, on and after the Twelfth Amendment Effective Date, the Applicable Margin will be determined pursuant to the Applicable Pricing Grid; and</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c</w:t>
      </w:r>
      <w:r>
        <w:rPr>
          <w:rFonts w:ascii="Times New Roman" w:hAnsi="Times New Roman"/>
          <w:color w:val="0000FF"/>
          <w:sz w:val="22"/>
          <w:u w:val="single"/>
        </w:rPr>
        <w:t>d</w:t>
      </w:r>
      <w:r>
        <w:rPr>
          <w:rFonts w:ascii="Times New Roman" w:hAnsi="Times New Roman"/>
          <w:color w:val="000000"/>
          <w:sz w:val="22"/>
        </w:rPr>
        <w:t>) for Incremental Term Loans (other than 2026 Incremental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Loans and 2026-2 </w:t>
      </w:r>
      <w:r>
        <w:rPr>
          <w:rFonts w:ascii="Times New Roman" w:hAnsi="Times New Roman"/>
          <w:color w:val="000000"/>
          <w:sz w:val="22"/>
        </w:rPr>
        <w:t>Delayed Draw Term Loans), such per annum rates as shall be agreed to by the Borrower and the applicable Incremental Term Lenders as shown in the applicable Increased Facility Activation Notice.</w:t>
      </w:r>
    </w:p>
    <w:p>
      <w:pPr>
        <w:pStyle w:val="TextBody"/>
        <w:bidi w:val="0"/>
        <w:spacing w:before="0" w:after="240"/>
        <w:jc w:val="both"/>
        <w:rPr/>
      </w:pPr>
      <w:r>
        <w:rPr>
          <w:color w:val="000000"/>
        </w:rPr>
        <w:t>“</w:t>
      </w:r>
      <w:r>
        <w:rPr>
          <w:rFonts w:ascii="Times New Roman" w:hAnsi="Times New Roman"/>
          <w:color w:val="000000"/>
          <w:sz w:val="22"/>
          <w:u w:val="single"/>
        </w:rPr>
        <w:t>Applicable Pricing Grid</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with respect to Revolving Loans, Swingline Loans, Tranche A Term Loans and 2026 Incremental Term Loans, the table set forth below:</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
        <w:gridCol w:w="1655"/>
        <w:gridCol w:w="3361"/>
        <w:gridCol w:w="2988"/>
        <w:gridCol w:w="1540"/>
      </w:tblGrid>
      <w:tr>
        <w:trPr/>
        <w:tc>
          <w:tcPr>
            <w:tcW w:w="66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661" w:type="dxa"/>
            <w:tcBorders>
              <w:top w:val="double" w:sz="12" w:space="0" w:color="000000"/>
              <w:left w:val="double" w:sz="12" w:space="0" w:color="000000"/>
              <w:bottom w:val="single" w:sz="8" w:space="0" w:color="000000"/>
              <w:right w:val="single" w:sz="8" w:space="0" w:color="000000"/>
            </w:tcBorders>
            <w:tcMar>
              <w:top w:w="43" w:type="dxa"/>
            </w:tcMar>
            <w:vAlign w:val="center"/>
          </w:tcPr>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Level</w:t>
            </w:r>
          </w:p>
        </w:tc>
        <w:tc>
          <w:tcPr>
            <w:tcW w:w="1655" w:type="dxa"/>
            <w:tcBorders>
              <w:top w:val="double" w:sz="12" w:space="0" w:color="000000"/>
              <w:bottom w:val="single" w:sz="8" w:space="0" w:color="000000"/>
              <w:right w:val="single" w:sz="8" w:space="0" w:color="000000"/>
            </w:tcBorders>
            <w:tcMar>
              <w:left w:w="0" w:type="dxa"/>
              <w:right w:w="43" w:type="dxa"/>
            </w:tcMar>
            <w:vAlign w:val="center"/>
          </w:tcPr>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Consolidated Net Leverage Ratio</w:t>
            </w:r>
          </w:p>
        </w:tc>
        <w:tc>
          <w:tcPr>
            <w:tcW w:w="3361" w:type="dxa"/>
            <w:tcBorders>
              <w:top w:val="double" w:sz="12" w:space="0" w:color="000000"/>
              <w:bottom w:val="single" w:sz="8" w:space="0" w:color="000000"/>
              <w:right w:val="single" w:sz="8" w:space="0" w:color="000000"/>
            </w:tcBorders>
            <w:tcMar>
              <w:left w:w="0" w:type="dxa"/>
              <w:right w:w="43" w:type="dxa"/>
            </w:tcMar>
            <w:vAlign w:val="center"/>
          </w:tcPr>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Applicable Margin for Term Benchmark Loans or RFR Loans that are Revolving Loans, Swingline Loans, Tranche A Term Loans and 2026 Incremental Term Loans</w:t>
            </w:r>
          </w:p>
        </w:tc>
        <w:tc>
          <w:tcPr>
            <w:tcW w:w="2988" w:type="dxa"/>
            <w:tcBorders>
              <w:top w:val="double" w:sz="12" w:space="0" w:color="000000"/>
              <w:bottom w:val="single" w:sz="8" w:space="0" w:color="000000"/>
              <w:right w:val="single" w:sz="8" w:space="0" w:color="000000"/>
            </w:tcBorders>
            <w:tcMar>
              <w:left w:w="0" w:type="dxa"/>
              <w:right w:w="43" w:type="dxa"/>
            </w:tcMar>
            <w:vAlign w:val="center"/>
          </w:tcPr>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Applicable Margin for ABR Loans that are Revolving Loans, Swingline Loans, Tranche A Term Loans and 2026 Incremental Term Loans</w:t>
            </w:r>
          </w:p>
        </w:tc>
        <w:tc>
          <w:tcPr>
            <w:tcW w:w="1540" w:type="dxa"/>
            <w:tcBorders>
              <w:top w:val="double" w:sz="12" w:space="0" w:color="000000"/>
              <w:bottom w:val="single" w:sz="8" w:space="0" w:color="000000"/>
              <w:right w:val="double" w:sz="12" w:space="0" w:color="000000"/>
            </w:tcBorders>
            <w:tcMar>
              <w:left w:w="0" w:type="dxa"/>
              <w:right w:w="43" w:type="dxa"/>
            </w:tcMar>
            <w:vAlign w:val="center"/>
          </w:tcPr>
          <w:p>
            <w:pPr>
              <w:pStyle w:val="TableContents"/>
              <w:bidi w:val="0"/>
              <w:spacing w:before="0" w:after="120"/>
              <w:jc w:val="center"/>
              <w:rPr>
                <w:rFonts w:ascii="Times New Roman" w:hAnsi="Times New Roman"/>
                <w:b/>
                <w:color w:val="000000"/>
                <w:sz w:val="22"/>
              </w:rPr>
            </w:pPr>
            <w:r>
              <w:rPr>
                <w:rFonts w:ascii="Times New Roman" w:hAnsi="Times New Roman"/>
                <w:b/>
                <w:color w:val="000000"/>
                <w:sz w:val="22"/>
              </w:rPr>
              <w:t>Commitment Fee Rate</w:t>
            </w:r>
          </w:p>
        </w:tc>
      </w:tr>
      <w:tr>
        <w:trPr/>
        <w:tc>
          <w:tcPr>
            <w:tcW w:w="661" w:type="dxa"/>
            <w:tcBorders>
              <w:left w:val="double" w:sz="12"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w:t>
            </w:r>
          </w:p>
        </w:tc>
        <w:tc>
          <w:tcPr>
            <w:tcW w:w="1655"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&lt;2.00 to 1.00</w:t>
            </w:r>
          </w:p>
        </w:tc>
        <w:tc>
          <w:tcPr>
            <w:tcW w:w="3361"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1.250%</w:t>
            </w:r>
          </w:p>
        </w:tc>
        <w:tc>
          <w:tcPr>
            <w:tcW w:w="2988"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0.250%</w:t>
            </w:r>
          </w:p>
        </w:tc>
        <w:tc>
          <w:tcPr>
            <w:tcW w:w="1540" w:type="dxa"/>
            <w:tcBorders>
              <w:bottom w:val="single" w:sz="8" w:space="0" w:color="000000"/>
              <w:right w:val="double" w:sz="12"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0.15%</w:t>
            </w:r>
          </w:p>
        </w:tc>
      </w:tr>
      <w:tr>
        <w:trPr/>
        <w:tc>
          <w:tcPr>
            <w:tcW w:w="661" w:type="dxa"/>
            <w:tcBorders>
              <w:left w:val="double" w:sz="12"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w:t>
            </w:r>
          </w:p>
        </w:tc>
        <w:tc>
          <w:tcPr>
            <w:tcW w:w="1655"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&lt;2.50 to 1.00 but ≥ 2.00 to 1.00</w:t>
            </w:r>
          </w:p>
        </w:tc>
        <w:tc>
          <w:tcPr>
            <w:tcW w:w="3361"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1.375%</w:t>
            </w:r>
          </w:p>
        </w:tc>
        <w:tc>
          <w:tcPr>
            <w:tcW w:w="2988"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0.375%</w:t>
            </w:r>
          </w:p>
        </w:tc>
        <w:tc>
          <w:tcPr>
            <w:tcW w:w="1540" w:type="dxa"/>
            <w:tcBorders>
              <w:bottom w:val="single" w:sz="8" w:space="0" w:color="000000"/>
              <w:right w:val="double" w:sz="12"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0.175%</w:t>
            </w:r>
          </w:p>
        </w:tc>
      </w:tr>
      <w:tr>
        <w:trPr/>
        <w:tc>
          <w:tcPr>
            <w:tcW w:w="661" w:type="dxa"/>
            <w:tcBorders>
              <w:left w:val="double" w:sz="12"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III</w:t>
            </w:r>
          </w:p>
        </w:tc>
        <w:tc>
          <w:tcPr>
            <w:tcW w:w="1655"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&lt;3.25 to 1.00 but ≥ 2.50 to 1.00</w:t>
            </w:r>
          </w:p>
        </w:tc>
        <w:tc>
          <w:tcPr>
            <w:tcW w:w="3361"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1.50%</w:t>
            </w:r>
          </w:p>
        </w:tc>
        <w:tc>
          <w:tcPr>
            <w:tcW w:w="2988" w:type="dxa"/>
            <w:tcBorders>
              <w:bottom w:val="single" w:sz="8"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0.50%</w:t>
            </w:r>
          </w:p>
        </w:tc>
        <w:tc>
          <w:tcPr>
            <w:tcW w:w="1540" w:type="dxa"/>
            <w:tcBorders>
              <w:bottom w:val="single" w:sz="8" w:space="0" w:color="000000"/>
              <w:right w:val="double" w:sz="12"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0.20%</w:t>
            </w:r>
          </w:p>
        </w:tc>
      </w:tr>
      <w:tr>
        <w:trPr/>
        <w:tc>
          <w:tcPr>
            <w:tcW w:w="661" w:type="dxa"/>
            <w:tcBorders>
              <w:left w:val="double" w:sz="12" w:space="0" w:color="000000"/>
              <w:bottom w:val="double" w:sz="12"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IV</w:t>
            </w:r>
          </w:p>
        </w:tc>
        <w:tc>
          <w:tcPr>
            <w:tcW w:w="1655" w:type="dxa"/>
            <w:tcBorders>
              <w:bottom w:val="double" w:sz="12" w:space="0" w:color="000000"/>
              <w:right w:val="single" w:sz="8" w:space="0" w:color="000000"/>
            </w:tcBorders>
            <w:tcMar>
              <w:top w:w="0" w:type="dxa"/>
              <w:left w:w="0" w:type="dxa"/>
              <w:right w:w="43"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2"/>
              </w:rPr>
              <w:t>3.25 to 1.00</w:t>
            </w:r>
          </w:p>
        </w:tc>
        <w:tc>
          <w:tcPr>
            <w:tcW w:w="3361" w:type="dxa"/>
            <w:tcBorders>
              <w:bottom w:val="double" w:sz="12"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1.625%</w:t>
            </w:r>
          </w:p>
        </w:tc>
        <w:tc>
          <w:tcPr>
            <w:tcW w:w="2988" w:type="dxa"/>
            <w:tcBorders>
              <w:bottom w:val="double" w:sz="12" w:space="0" w:color="000000"/>
              <w:right w:val="single" w:sz="8"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0.625%</w:t>
            </w:r>
          </w:p>
        </w:tc>
        <w:tc>
          <w:tcPr>
            <w:tcW w:w="1540" w:type="dxa"/>
            <w:tcBorders>
              <w:bottom w:val="double" w:sz="12" w:space="0" w:color="000000"/>
              <w:right w:val="double" w:sz="12" w:space="0" w:color="000000"/>
            </w:tcBorders>
            <w:tcMar>
              <w:top w:w="0" w:type="dxa"/>
              <w:left w:w="0" w:type="dxa"/>
              <w:right w:w="43"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0.225%</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 with respect to 2026 Delayed Draw Term Loans, as separately agreed between the Borrower and the 2026 Delayed Draw Term Lenders and provided to the Administrative Agent in writing signed by the Borrower and each 2026 Delayed Draw Term Lender on or prior to the Eleventh Amendment Effective Date</w:t>
      </w:r>
      <w:r>
        <w:rPr>
          <w:rFonts w:ascii="Times New Roman" w:hAnsi="Times New Roman"/>
          <w:strike/>
          <w:color w:val="FF0000"/>
          <w:sz w:val="22"/>
        </w:rPr>
        <w:t>.</w:t>
      </w:r>
      <w:r>
        <w:rPr>
          <w:rFonts w:ascii="Times New Roman" w:hAnsi="Times New Roman"/>
          <w:color w:val="0000FF"/>
          <w:sz w:val="22"/>
          <w:u w:val="single"/>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(c)</w:t>
      </w:r>
      <w:r>
        <w:rPr>
          <w:rFonts w:ascii="Times New Roman" w:hAnsi="Times New Roman"/>
          <w:color w:val="000000"/>
          <w:sz w:val="20"/>
        </w:rPr>
        <w:t xml:space="preserve"> </w:t>
      </w:r>
      <w:r>
        <w:rPr>
          <w:rFonts w:ascii="Times New Roman" w:hAnsi="Times New Roman"/>
          <w:color w:val="0000FF"/>
          <w:sz w:val="22"/>
          <w:u w:val="single"/>
        </w:rPr>
        <w:t>with respect to 2026-2 Delayed Draw Term Loans, the table set forth below:</w:t>
      </w:r>
    </w:p>
    <w:tbl>
      <w:tblPr>
        <w:tblW w:w="10205" w:type="dxa"/>
        <w:jc w:val="left"/>
        <w:tblInd w:w="0" w:type="dxa"/>
        <w:tblLayout w:type="fixed"/>
        <w:tblCellMar>
          <w:top w:w="28" w:type="dxa"/>
          <w:left w:w="28" w:type="dxa"/>
          <w:bottom w:w="28" w:type="dxa"/>
          <w:right w:w="28" w:type="dxa"/>
        </w:tblCellMar>
      </w:tblPr>
      <w:tblGrid>
        <w:gridCol w:w="661"/>
        <w:gridCol w:w="2019"/>
        <w:gridCol w:w="4204"/>
        <w:gridCol w:w="3321"/>
      </w:tblGrid>
      <w:tr>
        <w:trPr/>
        <w:tc>
          <w:tcPr>
            <w:tcW w:w="661"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661" w:type="dxa"/>
            <w:tcBorders>
              <w:top w:val="double" w:sz="12" w:space="0" w:color="000000"/>
              <w:left w:val="double" w:sz="12" w:space="0" w:color="000000"/>
              <w:bottom w:val="single" w:sz="8" w:space="0" w:color="000000"/>
              <w:right w:val="single" w:sz="8" w:space="0" w:color="000000"/>
            </w:tcBorders>
            <w:shd w:fill="99CCFF" w:val="clear"/>
            <w:tcMar>
              <w:top w:w="43" w:type="dxa"/>
            </w:tcMar>
            <w:vAlign w:val="center"/>
          </w:tcPr>
          <w:p>
            <w:pPr>
              <w:pStyle w:val="TableContents"/>
              <w:bidi w:val="0"/>
              <w:spacing w:before="0" w:after="120"/>
              <w:jc w:val="center"/>
              <w:rPr>
                <w:rFonts w:ascii="Times New Roman" w:hAnsi="Times New Roman"/>
                <w:b/>
                <w:color w:val="0000FF"/>
                <w:sz w:val="22"/>
                <w:u w:val="single"/>
              </w:rPr>
            </w:pPr>
            <w:r>
              <w:rPr>
                <w:rFonts w:ascii="Times New Roman" w:hAnsi="Times New Roman"/>
                <w:b/>
                <w:color w:val="0000FF"/>
                <w:sz w:val="22"/>
                <w:u w:val="single"/>
              </w:rPr>
              <w:t>Level</w:t>
            </w:r>
          </w:p>
        </w:tc>
        <w:tc>
          <w:tcPr>
            <w:tcW w:w="2019" w:type="dxa"/>
            <w:tcBorders>
              <w:top w:val="double" w:sz="12" w:space="0" w:color="000000"/>
              <w:bottom w:val="single" w:sz="8" w:space="0" w:color="000000"/>
              <w:right w:val="single" w:sz="8" w:space="0" w:color="000000"/>
            </w:tcBorders>
            <w:shd w:fill="99CCFF" w:val="clear"/>
            <w:tcMar>
              <w:left w:w="0" w:type="dxa"/>
              <w:right w:w="43" w:type="dxa"/>
            </w:tcMar>
            <w:vAlign w:val="center"/>
          </w:tcPr>
          <w:p>
            <w:pPr>
              <w:pStyle w:val="TableContents"/>
              <w:bidi w:val="0"/>
              <w:spacing w:before="0" w:after="120"/>
              <w:jc w:val="center"/>
              <w:rPr>
                <w:rFonts w:ascii="Times New Roman" w:hAnsi="Times New Roman"/>
                <w:b/>
                <w:color w:val="0000FF"/>
                <w:sz w:val="22"/>
                <w:u w:val="single"/>
              </w:rPr>
            </w:pPr>
            <w:r>
              <w:rPr>
                <w:rFonts w:ascii="Times New Roman" w:hAnsi="Times New Roman"/>
                <w:b/>
                <w:color w:val="0000FF"/>
                <w:sz w:val="22"/>
                <w:u w:val="single"/>
              </w:rPr>
              <w:t>Consolidated Net Leverage Ratio</w:t>
            </w:r>
          </w:p>
        </w:tc>
        <w:tc>
          <w:tcPr>
            <w:tcW w:w="4204" w:type="dxa"/>
            <w:tcBorders>
              <w:top w:val="double" w:sz="12" w:space="0" w:color="000000"/>
              <w:bottom w:val="single" w:sz="8" w:space="0" w:color="000000"/>
              <w:right w:val="single" w:sz="8" w:space="0" w:color="000000"/>
            </w:tcBorders>
            <w:shd w:fill="99CCFF" w:val="clear"/>
            <w:tcMar>
              <w:left w:w="0" w:type="dxa"/>
              <w:right w:w="43" w:type="dxa"/>
            </w:tcMar>
            <w:vAlign w:val="center"/>
          </w:tcPr>
          <w:p>
            <w:pPr>
              <w:pStyle w:val="TableContents"/>
              <w:bidi w:val="0"/>
              <w:spacing w:before="0" w:after="120"/>
              <w:jc w:val="center"/>
              <w:rPr>
                <w:rFonts w:ascii="Times New Roman" w:hAnsi="Times New Roman"/>
                <w:b/>
                <w:color w:val="0000FF"/>
                <w:sz w:val="22"/>
                <w:u w:val="single"/>
              </w:rPr>
            </w:pPr>
            <w:r>
              <w:rPr>
                <w:rFonts w:ascii="Times New Roman" w:hAnsi="Times New Roman"/>
                <w:b/>
                <w:color w:val="0000FF"/>
                <w:sz w:val="22"/>
                <w:u w:val="single"/>
              </w:rPr>
              <w:t>Applicable Margin for Term Benchmark Loans or RFR Loans that are 2026-2 Delayed Draw Term Loans</w:t>
            </w:r>
          </w:p>
        </w:tc>
        <w:tc>
          <w:tcPr>
            <w:tcW w:w="3321" w:type="dxa"/>
            <w:tcBorders>
              <w:top w:val="double" w:sz="12" w:space="0" w:color="000000"/>
              <w:bottom w:val="single" w:sz="8" w:space="0" w:color="000000"/>
              <w:right w:val="double" w:sz="12" w:space="0" w:color="000000"/>
            </w:tcBorders>
            <w:shd w:fill="99CCFF" w:val="clear"/>
            <w:tcMar>
              <w:left w:w="0" w:type="dxa"/>
              <w:right w:w="43" w:type="dxa"/>
            </w:tcMar>
            <w:vAlign w:val="center"/>
          </w:tcPr>
          <w:p>
            <w:pPr>
              <w:pStyle w:val="TableContents"/>
              <w:bidi w:val="0"/>
              <w:spacing w:before="0" w:after="120"/>
              <w:jc w:val="center"/>
              <w:rPr>
                <w:rFonts w:ascii="Times New Roman" w:hAnsi="Times New Roman"/>
                <w:b/>
                <w:color w:val="0000FF"/>
                <w:sz w:val="22"/>
                <w:u w:val="single"/>
              </w:rPr>
            </w:pPr>
            <w:r>
              <w:rPr>
                <w:rFonts w:ascii="Times New Roman" w:hAnsi="Times New Roman"/>
                <w:b/>
                <w:color w:val="0000FF"/>
                <w:sz w:val="22"/>
                <w:u w:val="single"/>
              </w:rPr>
              <w:t>Applicable Margin for ABR Loans that are 2026-2 Delayed Draw Term Loans</w:t>
            </w:r>
          </w:p>
        </w:tc>
      </w:tr>
      <w:tr>
        <w:trPr/>
        <w:tc>
          <w:tcPr>
            <w:tcW w:w="661" w:type="dxa"/>
            <w:tcBorders>
              <w:left w:val="double" w:sz="12" w:space="0" w:color="000000"/>
              <w:bottom w:val="single" w:sz="8" w:space="0" w:color="000000"/>
              <w:right w:val="single" w:sz="8" w:space="0" w:color="000000"/>
            </w:tcBorders>
            <w:shd w:fill="99CCFF" w:val="clear"/>
            <w:tcMar>
              <w:top w:w="0"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I</w:t>
            </w:r>
          </w:p>
        </w:tc>
        <w:tc>
          <w:tcPr>
            <w:tcW w:w="2019"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&lt;2.50 to 1.00</w:t>
            </w:r>
          </w:p>
        </w:tc>
        <w:tc>
          <w:tcPr>
            <w:tcW w:w="4204"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1.125%</w:t>
            </w:r>
          </w:p>
        </w:tc>
        <w:tc>
          <w:tcPr>
            <w:tcW w:w="3321" w:type="dxa"/>
            <w:tcBorders>
              <w:bottom w:val="single" w:sz="8" w:space="0" w:color="000000"/>
              <w:right w:val="double" w:sz="12"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0.125%</w:t>
            </w:r>
          </w:p>
        </w:tc>
      </w:tr>
      <w:tr>
        <w:trPr/>
        <w:tc>
          <w:tcPr>
            <w:tcW w:w="661" w:type="dxa"/>
            <w:tcBorders>
              <w:left w:val="double" w:sz="12" w:space="0" w:color="000000"/>
              <w:bottom w:val="single" w:sz="8" w:space="0" w:color="000000"/>
              <w:right w:val="single" w:sz="8" w:space="0" w:color="000000"/>
            </w:tcBorders>
            <w:shd w:fill="99CCFF" w:val="clear"/>
            <w:tcMar>
              <w:top w:w="0"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II</w:t>
            </w:r>
          </w:p>
        </w:tc>
        <w:tc>
          <w:tcPr>
            <w:tcW w:w="2019"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&lt;3.00 to 1.00 but ≥ 2.50 to 1.00</w:t>
            </w:r>
          </w:p>
        </w:tc>
        <w:tc>
          <w:tcPr>
            <w:tcW w:w="4204"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1.25%</w:t>
            </w:r>
          </w:p>
        </w:tc>
        <w:tc>
          <w:tcPr>
            <w:tcW w:w="3321" w:type="dxa"/>
            <w:tcBorders>
              <w:bottom w:val="single" w:sz="8" w:space="0" w:color="000000"/>
              <w:right w:val="double" w:sz="12"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0.25%</w:t>
            </w:r>
          </w:p>
        </w:tc>
      </w:tr>
      <w:tr>
        <w:trPr/>
        <w:tc>
          <w:tcPr>
            <w:tcW w:w="661" w:type="dxa"/>
            <w:tcBorders>
              <w:left w:val="double" w:sz="12" w:space="0" w:color="000000"/>
              <w:bottom w:val="single" w:sz="8" w:space="0" w:color="000000"/>
              <w:right w:val="single" w:sz="8" w:space="0" w:color="000000"/>
            </w:tcBorders>
            <w:shd w:fill="99CCFF" w:val="clear"/>
            <w:tcMar>
              <w:top w:w="0"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III</w:t>
            </w:r>
          </w:p>
        </w:tc>
        <w:tc>
          <w:tcPr>
            <w:tcW w:w="2019"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&lt;3.25 to 1.00 but ≥ 3.00 to 1.00</w:t>
            </w:r>
          </w:p>
        </w:tc>
        <w:tc>
          <w:tcPr>
            <w:tcW w:w="4204" w:type="dxa"/>
            <w:tcBorders>
              <w:bottom w:val="single" w:sz="8" w:space="0" w:color="000000"/>
              <w:right w:val="single" w:sz="8"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1.375%</w:t>
            </w:r>
          </w:p>
        </w:tc>
        <w:tc>
          <w:tcPr>
            <w:tcW w:w="3321" w:type="dxa"/>
            <w:tcBorders>
              <w:bottom w:val="single" w:sz="8" w:space="0" w:color="000000"/>
              <w:right w:val="double" w:sz="12" w:space="0" w:color="000000"/>
            </w:tcBorders>
            <w:shd w:fill="99CCFF" w:val="clear"/>
            <w:tcMar>
              <w:top w:w="0" w:type="dxa"/>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0.375%</w:t>
            </w:r>
          </w:p>
        </w:tc>
      </w:tr>
    </w:tbl>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259" w:type="dxa"/>
        <w:jc w:val="left"/>
        <w:tblInd w:w="0" w:type="dxa"/>
        <w:tblLayout w:type="fixed"/>
        <w:tblCellMar>
          <w:top w:w="28" w:type="dxa"/>
          <w:left w:w="28" w:type="dxa"/>
          <w:bottom w:w="28" w:type="dxa"/>
          <w:right w:w="28" w:type="dxa"/>
        </w:tblCellMar>
      </w:tblPr>
      <w:tblGrid>
        <w:gridCol w:w="361"/>
        <w:gridCol w:w="1441"/>
        <w:gridCol w:w="706"/>
        <w:gridCol w:w="751"/>
      </w:tblGrid>
      <w:tr>
        <w:trPr/>
        <w:tc>
          <w:tcPr>
            <w:tcW w:w="36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8" w:space="0" w:color="000000"/>
              <w:left w:val="double" w:sz="12" w:space="0" w:color="000000"/>
              <w:bottom w:val="double" w:sz="12" w:space="0" w:color="000000"/>
              <w:right w:val="single" w:sz="8" w:space="0" w:color="000000"/>
            </w:tcBorders>
            <w:shd w:fill="99CCFF" w:val="clear"/>
            <w:tcMar>
              <w:top w:w="43"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IV</w:t>
            </w:r>
          </w:p>
        </w:tc>
        <w:tc>
          <w:tcPr>
            <w:tcW w:w="1441" w:type="dxa"/>
            <w:tcBorders>
              <w:top w:val="single" w:sz="8" w:space="0" w:color="000000"/>
              <w:bottom w:val="double" w:sz="12" w:space="0" w:color="000000"/>
              <w:right w:val="single" w:sz="8" w:space="0" w:color="000000"/>
            </w:tcBorders>
            <w:shd w:fill="99CCFF" w:val="clear"/>
            <w:tcMar>
              <w:left w:w="0" w:type="dxa"/>
              <w:right w:w="43" w:type="dxa"/>
            </w:tcMar>
            <w:vAlign w:val="center"/>
          </w:tcPr>
          <w:p>
            <w:pPr>
              <w:pStyle w:val="TableContents"/>
              <w:bidi w:val="0"/>
              <w:spacing w:before="0" w:after="283"/>
              <w:jc w:val="center"/>
              <w:rPr>
                <w:color w:val="0000FF"/>
                <w:u w:val="single"/>
              </w:rPr>
            </w:pPr>
            <w:r>
              <w:rPr>
                <w:color w:val="0000FF"/>
                <w:u w:val="single"/>
              </w:rPr>
              <w:t xml:space="preserve">≥ </w:t>
            </w:r>
            <w:r>
              <w:rPr>
                <w:rFonts w:ascii="Times New Roman" w:hAnsi="Times New Roman"/>
                <w:color w:val="0000FF"/>
                <w:sz w:val="22"/>
                <w:u w:val="single"/>
              </w:rPr>
              <w:t>3.25 to 1.00</w:t>
            </w:r>
          </w:p>
        </w:tc>
        <w:tc>
          <w:tcPr>
            <w:tcW w:w="706" w:type="dxa"/>
            <w:tcBorders>
              <w:top w:val="single" w:sz="8" w:space="0" w:color="000000"/>
              <w:bottom w:val="double" w:sz="12" w:space="0" w:color="000000"/>
              <w:right w:val="single" w:sz="8" w:space="0" w:color="000000"/>
            </w:tcBorders>
            <w:shd w:fill="99CCFF" w:val="clear"/>
            <w:tcMar>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1.50%</w:t>
            </w:r>
          </w:p>
        </w:tc>
        <w:tc>
          <w:tcPr>
            <w:tcW w:w="751" w:type="dxa"/>
            <w:tcBorders>
              <w:top w:val="single" w:sz="8" w:space="0" w:color="000000"/>
              <w:bottom w:val="double" w:sz="12" w:space="0" w:color="000000"/>
              <w:right w:val="double" w:sz="12" w:space="0" w:color="000000"/>
            </w:tcBorders>
            <w:shd w:fill="99CCFF" w:val="clear"/>
            <w:tcMar>
              <w:left w:w="0" w:type="dxa"/>
              <w:right w:w="43" w:type="dxa"/>
            </w:tcMar>
            <w:vAlign w:val="center"/>
          </w:tcPr>
          <w:p>
            <w:pPr>
              <w:pStyle w:val="TableContents"/>
              <w:bidi w:val="0"/>
              <w:spacing w:before="0" w:after="240"/>
              <w:jc w:val="center"/>
              <w:rPr>
                <w:rFonts w:ascii="Times New Roman" w:hAnsi="Times New Roman"/>
                <w:color w:val="0000FF"/>
                <w:sz w:val="22"/>
                <w:u w:val="single"/>
              </w:rPr>
            </w:pPr>
            <w:r>
              <w:rPr>
                <w:rFonts w:ascii="Times New Roman" w:hAnsi="Times New Roman"/>
                <w:color w:val="0000FF"/>
                <w:sz w:val="22"/>
                <w:u w:val="single"/>
              </w:rPr>
              <w:t>0.50%</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Changes in the Applicable Margin resulting from changes in the Consolidated Net Leverage Ratio shall become effective on the date (the “</w:t>
      </w:r>
      <w:r>
        <w:rPr>
          <w:rFonts w:ascii="Times New Roman" w:hAnsi="Times New Roman"/>
          <w:color w:val="000000"/>
          <w:sz w:val="22"/>
          <w:u w:val="single"/>
        </w:rPr>
        <w:t>Adjustment Date</w:t>
      </w:r>
      <w:r>
        <w:rPr>
          <w:rFonts w:ascii="Times New Roman" w:hAnsi="Times New Roman"/>
          <w:color w:val="000000"/>
          <w:sz w:val="20"/>
        </w:rPr>
        <w:t>”</w:t>
      </w:r>
      <w:r>
        <w:rPr>
          <w:rFonts w:ascii="Times New Roman" w:hAnsi="Times New Roman"/>
          <w:color w:val="000000"/>
          <w:sz w:val="22"/>
        </w:rPr>
        <w:t>) that is three Business Days after the date on which financial statements are delivered to the Administrative Agent pursuant to Section 6.1 and shall remain in effect until the next change to be effected pursuant to this paragraph.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financial statements referred to above are not delivered within the time periods specified in Section 6.1, then, until the date that is three Business Days after the date on which such financial statements are delivered, the highest rate set forth in each column of the Applicable Pricing Grid shall apply. In addition, at all times while an Event of Default under Section 8(a) or Section 8(f) shall have occurred and be continuing, the highest rate set forth in each column of the Applicable Pricing Grid shall apply. Each determination of the Consolidated Net Leverage Ratio pursuant to the Applicable Pricing Grid shall be made in a manner consistent with the determination thereof pursuant to Section 7.1.</w:t>
      </w:r>
    </w:p>
    <w:p>
      <w:pPr>
        <w:pStyle w:val="TextBody"/>
        <w:bidi w:val="0"/>
        <w:spacing w:before="0" w:after="240"/>
        <w:jc w:val="both"/>
        <w:rPr>
          <w:rFonts w:ascii="Times New Roman" w:hAnsi="Times New Roman"/>
          <w:sz w:val="20"/>
        </w:rPr>
      </w:pPr>
      <w:r>
        <w:rPr>
          <w:rFonts w:ascii="Times New Roman" w:hAnsi="Times New Roman"/>
          <w:color w:val="000000"/>
          <w:sz w:val="22"/>
        </w:rPr>
        <w:t>In the event that any financial statement or Compliance Certificate delivered pursuant to Section 6.1 or 6.2(b), respectively, is shown to be inaccurate, and such inaccuracy, if corrected, would have led to a higher Applicable Margin for any period (an “</w:t>
      </w:r>
      <w:r>
        <w:rPr>
          <w:rFonts w:ascii="Times New Roman" w:hAnsi="Times New Roman"/>
          <w:color w:val="000000"/>
          <w:sz w:val="22"/>
          <w:u w:val="single"/>
        </w:rPr>
        <w:t>Applicable Period</w:t>
      </w:r>
      <w:r>
        <w:rPr>
          <w:rFonts w:ascii="Times New Roman" w:hAnsi="Times New Roman"/>
          <w:color w:val="000000"/>
          <w:sz w:val="20"/>
        </w:rPr>
        <w:t>”</w:t>
      </w:r>
      <w:r>
        <w:rPr>
          <w:rFonts w:ascii="Times New Roman" w:hAnsi="Times New Roman"/>
          <w:color w:val="000000"/>
          <w:sz w:val="22"/>
        </w:rPr>
        <w:t>) than the Applicable Margin applied for such Applicable Period, then (i) the Borrower shall immediately deliver to the Administrative Agent a correct Compliance Certificate for such Applicable Period, (ii) the Applicable Margin shall be determined by reference to the corrected Compliance Certificate (but in no event shall the Administrative Agent or the Lenders owe any amounts to Borrower), and (iii) the Borrower shall immediately pay to the Administrative Agent the additional interest owing as a result of such increased Applicable Margin for such Applicable Period, which payment shall be promptly applied by the Administrative Agent in accordance with the terms hereof. This paragraph shall not limit the rights of the Administrative Agent and the Lenders hereunder.</w:t>
      </w:r>
    </w:p>
    <w:p>
      <w:pPr>
        <w:pStyle w:val="TextBody"/>
        <w:bidi w:val="0"/>
        <w:spacing w:before="0" w:after="240"/>
        <w:jc w:val="both"/>
        <w:rPr/>
      </w:pPr>
      <w:r>
        <w:rPr>
          <w:color w:val="000000"/>
        </w:rPr>
        <w:t>“</w:t>
      </w:r>
      <w:r>
        <w:rPr>
          <w:rFonts w:ascii="Times New Roman" w:hAnsi="Times New Roman"/>
          <w:color w:val="000000"/>
          <w:sz w:val="22"/>
          <w:u w:val="single"/>
        </w:rPr>
        <w:t>Application</w:t>
      </w:r>
      <w:r>
        <w:rPr>
          <w:rFonts w:ascii="Times New Roman" w:hAnsi="Times New Roman"/>
          <w:color w:val="000000"/>
          <w:sz w:val="20"/>
        </w:rPr>
        <w:t>”</w:t>
      </w:r>
      <w:r>
        <w:rPr>
          <w:rFonts w:ascii="Times New Roman" w:hAnsi="Times New Roman"/>
          <w:color w:val="000000"/>
          <w:sz w:val="22"/>
        </w:rPr>
        <w:t>: an application, in such form as the applicable Issuing Lender may specify from time to time, requesting such Issuing Lender to open a Letter of Credit.</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w:t>
      </w:r>
      <w:r>
        <w:rPr>
          <w:rFonts w:ascii="Times New Roman" w:hAnsi="Times New Roman"/>
          <w:color w:val="000000"/>
          <w:sz w:val="22"/>
        </w:rPr>
        <w:t>: as defined in Section 10.6(b)(ii).</w:t>
      </w:r>
    </w:p>
    <w:p>
      <w:pPr>
        <w:pStyle w:val="TextBody"/>
        <w:bidi w:val="0"/>
        <w:spacing w:before="0" w:after="240"/>
        <w:jc w:val="both"/>
        <w:rPr/>
      </w:pPr>
      <w:r>
        <w:rPr>
          <w:color w:val="000000"/>
        </w:rPr>
        <w:t>“</w:t>
      </w:r>
      <w:r>
        <w:rPr>
          <w:rFonts w:ascii="Times New Roman" w:hAnsi="Times New Roman"/>
          <w:color w:val="000000"/>
          <w:sz w:val="22"/>
          <w:u w:val="single"/>
        </w:rPr>
        <w:t>Asset Sale</w:t>
      </w:r>
      <w:r>
        <w:rPr>
          <w:rFonts w:ascii="Times New Roman" w:hAnsi="Times New Roman"/>
          <w:color w:val="000000"/>
          <w:sz w:val="20"/>
        </w:rPr>
        <w:t>”</w:t>
      </w:r>
      <w:r>
        <w:rPr>
          <w:rFonts w:ascii="Times New Roman" w:hAnsi="Times New Roman"/>
          <w:color w:val="000000"/>
          <w:sz w:val="22"/>
        </w:rPr>
        <w:t>: any Disposition of property or series of related Dispositions of property (excluding any such Disposition permitted by clause (a), (b), (c), (d) or (e) of Section 7.5) that yields gross proceeds to any Group Member (valued at the initial principal amount thereof in the case of non-cash proceeds consisting of notes or other debt securities and valued at fair market value in the case of other non-cash proceeds) in excess of $500,000.</w:t>
      </w:r>
    </w:p>
    <w:p>
      <w:pPr>
        <w:pStyle w:val="TextBody"/>
        <w:bidi w:val="0"/>
        <w:spacing w:before="0" w:after="240"/>
        <w:jc w:val="both"/>
        <w:rPr/>
      </w:pPr>
      <w:r>
        <w:rPr>
          <w:color w:val="000000"/>
        </w:rPr>
        <w:t>“</w:t>
      </w:r>
      <w:r>
        <w:rPr>
          <w:rFonts w:ascii="Times New Roman" w:hAnsi="Times New Roman"/>
          <w:color w:val="000000"/>
          <w:sz w:val="22"/>
          <w:u w:val="single"/>
        </w:rPr>
        <w:t>Assignee</w:t>
      </w:r>
      <w:r>
        <w:rPr>
          <w:rFonts w:ascii="Times New Roman" w:hAnsi="Times New Roman"/>
          <w:color w:val="000000"/>
          <w:sz w:val="20"/>
        </w:rPr>
        <w:t>”</w:t>
      </w:r>
      <w:r>
        <w:rPr>
          <w:rFonts w:ascii="Times New Roman" w:hAnsi="Times New Roman"/>
          <w:color w:val="000000"/>
          <w:sz w:val="22"/>
        </w:rPr>
        <w:t>: as defined in Section 10.6(b)(i).</w:t>
      </w:r>
    </w:p>
    <w:p>
      <w:pPr>
        <w:pStyle w:val="TextBody"/>
        <w:bidi w:val="0"/>
        <w:spacing w:before="0" w:after="240"/>
        <w:jc w:val="both"/>
        <w:rPr/>
      </w:pPr>
      <w:r>
        <w:rPr>
          <w:color w:val="000000"/>
        </w:rPr>
        <w:t>“</w:t>
      </w:r>
      <w:r>
        <w:rPr>
          <w:rFonts w:ascii="Times New Roman" w:hAnsi="Times New Roman"/>
          <w:color w:val="000000"/>
          <w:sz w:val="22"/>
          <w:u w:val="single"/>
        </w:rPr>
        <w:t>Assignment and Assumption</w:t>
      </w:r>
      <w:r>
        <w:rPr>
          <w:rFonts w:ascii="Times New Roman" w:hAnsi="Times New Roman"/>
          <w:color w:val="000000"/>
          <w:sz w:val="20"/>
        </w:rPr>
        <w:t>”</w:t>
      </w:r>
      <w:r>
        <w:rPr>
          <w:rFonts w:ascii="Times New Roman" w:hAnsi="Times New Roman"/>
          <w:color w:val="000000"/>
          <w:sz w:val="22"/>
        </w:rPr>
        <w:t>: an Assignment and Assumption, substantially in the form of Exhibit E.</w:t>
      </w:r>
    </w:p>
    <w:p>
      <w:pPr>
        <w:pStyle w:val="TextBody"/>
        <w:bidi w:val="0"/>
        <w:spacing w:before="0" w:after="240"/>
        <w:jc w:val="both"/>
        <w:rPr/>
      </w:pPr>
      <w:r>
        <w:rPr>
          <w:color w:val="000000"/>
        </w:rPr>
        <w:t>“</w:t>
      </w:r>
      <w:r>
        <w:rPr>
          <w:rFonts w:ascii="Times New Roman" w:hAnsi="Times New Roman"/>
          <w:color w:val="000000"/>
          <w:sz w:val="22"/>
          <w:u w:val="single"/>
        </w:rPr>
        <w:t>Available Excess Cash Flow Amount</w:t>
      </w:r>
      <w:r>
        <w:rPr>
          <w:rFonts w:ascii="Times New Roman" w:hAnsi="Times New Roman"/>
          <w:color w:val="000000"/>
          <w:sz w:val="20"/>
        </w:rPr>
        <w:t>”</w:t>
      </w:r>
      <w:r>
        <w:rPr>
          <w:rFonts w:ascii="Times New Roman" w:hAnsi="Times New Roman"/>
          <w:color w:val="000000"/>
          <w:sz w:val="22"/>
        </w:rPr>
        <w:t>: the sum of (x) $508,379,000 and (y) commencing with the fiscal year ending December 31, 2024, the amount equal to 50% of the cumulative Excess Cash Flow, if any, for each fiscal year for which financial statements have been delivered pursuant to Section 6.1(a).</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Available Revolving Commitment</w:t>
      </w:r>
      <w:r>
        <w:rPr>
          <w:rFonts w:ascii="Times New Roman" w:hAnsi="Times New Roman"/>
          <w:color w:val="000000"/>
          <w:sz w:val="20"/>
        </w:rPr>
        <w:t>”</w:t>
      </w:r>
      <w:r>
        <w:rPr>
          <w:rFonts w:ascii="Times New Roman" w:hAnsi="Times New Roman"/>
          <w:color w:val="000000"/>
          <w:sz w:val="22"/>
        </w:rPr>
        <w:t xml:space="preserve">: as to any Revolving Lender at any time, an amount equal to the excess, if any, of (a) such Lender’s Revolving Commitment then in effect </w:t>
      </w:r>
      <w:r>
        <w:rPr>
          <w:rFonts w:ascii="Times New Roman" w:hAnsi="Times New Roman"/>
          <w:color w:val="000000"/>
          <w:sz w:val="22"/>
          <w:u w:val="single"/>
        </w:rPr>
        <w:t>over</w:t>
      </w:r>
      <w:r>
        <w:rPr>
          <w:rFonts w:ascii="Times New Roman" w:hAnsi="Times New Roman"/>
          <w:color w:val="000000"/>
          <w:sz w:val="20"/>
        </w:rPr>
        <w:t xml:space="preserve"> </w:t>
      </w:r>
      <w:r>
        <w:rPr>
          <w:rFonts w:ascii="Times New Roman" w:hAnsi="Times New Roman"/>
          <w:color w:val="000000"/>
          <w:sz w:val="22"/>
        </w:rPr>
        <w:t xml:space="preserve">(b) such Lender’s Revolving Extensions of Credit then outstanding; </w:t>
      </w:r>
      <w:r>
        <w:rPr>
          <w:rFonts w:ascii="Times New Roman" w:hAnsi="Times New Roman"/>
          <w:color w:val="000000"/>
          <w:sz w:val="22"/>
          <w:u w:val="single"/>
        </w:rPr>
        <w:t>provided</w:t>
      </w:r>
      <w:r>
        <w:rPr>
          <w:rFonts w:ascii="Times New Roman" w:hAnsi="Times New Roman"/>
          <w:color w:val="000000"/>
          <w:sz w:val="22"/>
        </w:rPr>
        <w:t>, that in calculating any Lender’s Revolving Extensions of Credit for the purpose of determining such Lender’s Available Revolving Commitment pursuant to Section 2.8(a), the aggregate principal amount of Swingline Loans then outstanding shall be deemed to be zero.</w:t>
      </w:r>
    </w:p>
    <w:p>
      <w:pPr>
        <w:pStyle w:val="TextBody"/>
        <w:bidi w:val="0"/>
        <w:spacing w:before="0" w:after="240"/>
        <w:jc w:val="both"/>
        <w:rPr/>
      </w:pPr>
      <w:r>
        <w:rPr>
          <w:color w:val="000000"/>
        </w:rPr>
        <w:t>“</w:t>
      </w:r>
      <w:r>
        <w:rPr>
          <w:rFonts w:ascii="Times New Roman" w:hAnsi="Times New Roman"/>
          <w:color w:val="000000"/>
          <w:sz w:val="22"/>
          <w:u w:val="single"/>
        </w:rPr>
        <w:t>Available Tenor</w:t>
      </w:r>
      <w:r>
        <w:rPr>
          <w:rFonts w:ascii="Times New Roman" w:hAnsi="Times New Roman"/>
          <w:color w:val="000000"/>
          <w:sz w:val="20"/>
        </w:rPr>
        <w:t>”</w:t>
      </w:r>
      <w:r>
        <w:rPr>
          <w:rFonts w:ascii="Times New Roman" w:hAnsi="Times New Roman"/>
          <w:color w:val="000000"/>
          <w:sz w:val="22"/>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pStyle w:val="TextBody"/>
        <w:bidi w:val="0"/>
        <w:spacing w:before="0" w:after="24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0"/>
        </w:rPr>
        <w:t>”</w:t>
      </w:r>
      <w:r>
        <w:rPr>
          <w:rFonts w:ascii="Times New Roman" w:hAnsi="Times New Roman"/>
          <w:color w:val="000000"/>
          <w:sz w:val="22"/>
        </w:rPr>
        <w:t>: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w:t>
      </w:r>
      <w:r>
        <w:rPr>
          <w:rFonts w:ascii="Times New Roman" w:hAnsi="Times New Roman"/>
          <w:color w:val="000000"/>
          <w:sz w:val="22"/>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2"/>
          <w:u w:val="single"/>
        </w:rPr>
        <w:t>Bankruptcy Event</w:t>
      </w:r>
      <w:r>
        <w:rPr>
          <w:rFonts w:ascii="Times New Roman" w:hAnsi="Times New Roman"/>
          <w:color w:val="000000"/>
          <w:sz w:val="20"/>
        </w:rPr>
        <w:t>”</w:t>
      </w:r>
      <w:r>
        <w:rPr>
          <w:rFonts w:ascii="Times New Roman" w:hAnsi="Times New Roman"/>
          <w:color w:val="000000"/>
          <w:sz w:val="22"/>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Bankruptcy Event shall not result solely by virtue of any ownership interest, or the acquisition of any ownership interest or the exercise of control,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obligation hereunder.</w:t>
      </w:r>
    </w:p>
    <w:p>
      <w:pPr>
        <w:pStyle w:val="TextBody"/>
        <w:bidi w:val="0"/>
        <w:spacing w:before="0" w:after="240"/>
        <w:jc w:val="both"/>
        <w:rPr/>
      </w:pPr>
      <w:r>
        <w:rPr>
          <w:color w:val="000000"/>
        </w:rPr>
        <w:t>“</w:t>
      </w:r>
      <w:r>
        <w:rPr>
          <w:rFonts w:ascii="Times New Roman" w:hAnsi="Times New Roman"/>
          <w:color w:val="000000"/>
          <w:sz w:val="22"/>
          <w:u w:val="single"/>
        </w:rPr>
        <w:t>Benchmark</w:t>
      </w:r>
      <w:r>
        <w:rPr>
          <w:rFonts w:ascii="Times New Roman" w:hAnsi="Times New Roman"/>
          <w:color w:val="000000"/>
          <w:sz w:val="20"/>
        </w:rPr>
        <w:t>”</w:t>
      </w:r>
      <w:r>
        <w:rPr>
          <w:rFonts w:ascii="Times New Roman" w:hAnsi="Times New Roman"/>
          <w:color w:val="000000"/>
          <w:sz w:val="22"/>
        </w:rPr>
        <w:t>: initially, with respect to any (i) RFR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2.16.</w:t>
      </w:r>
    </w:p>
    <w:p>
      <w:pPr>
        <w:pStyle w:val="TextBody"/>
        <w:bidi w:val="0"/>
        <w:spacing w:before="0" w:after="240"/>
        <w:jc w:val="both"/>
        <w:rPr/>
      </w:pPr>
      <w:r>
        <w:rPr>
          <w:color w:val="000000"/>
        </w:rPr>
        <w:t>“</w:t>
      </w:r>
      <w:r>
        <w:rPr>
          <w:rFonts w:ascii="Times New Roman" w:hAnsi="Times New Roman"/>
          <w:color w:val="000000"/>
          <w:sz w:val="22"/>
          <w:u w:val="single"/>
        </w:rPr>
        <w:t>Benchmark Replacement</w:t>
      </w:r>
      <w:r>
        <w:rPr>
          <w:rFonts w:ascii="Times New Roman" w:hAnsi="Times New Roman"/>
          <w:color w:val="000000"/>
          <w:sz w:val="20"/>
        </w:rPr>
        <w:t>”</w:t>
      </w:r>
      <w:r>
        <w:rPr>
          <w:rFonts w:ascii="Times New Roman" w:hAnsi="Times New Roman"/>
          <w:color w:val="000000"/>
          <w:sz w:val="22"/>
        </w:rPr>
        <w:t>: for any Available Tenor, the first alternative set forth in the order below that can be determined by the Administrative Agent for the applicable Benchmark Replacement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Adjusted Daily Simple SOFR; or</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w:t>
      </w:r>
      <w:r>
        <w:rPr>
          <w:rFonts w:ascii="Times New Roman" w:hAnsi="Times New Roman"/>
          <w:color w:val="000000"/>
          <w:sz w:val="22"/>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color w:val="000000"/>
          <w:sz w:val="22"/>
          <w:u w:val="single"/>
        </w:rPr>
        <w:t>Benchmark Replacement Conforming Changes</w:t>
      </w:r>
      <w:r>
        <w:rPr>
          <w:rFonts w:ascii="Times New Roman" w:hAnsi="Times New Roman"/>
          <w:color w:val="000000"/>
          <w:sz w:val="20"/>
        </w:rPr>
        <w:t>”</w:t>
      </w:r>
      <w:r>
        <w:rPr>
          <w:rFonts w:ascii="Times New Roman" w:hAnsi="Times New Roman"/>
          <w:color w:val="000000"/>
          <w:sz w:val="22"/>
        </w:rPr>
        <w:t>: with respect to any Benchmark Replacement and/or any Term Benchmark Revolving Loan,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Benchmark Replacement Date</w:t>
      </w:r>
      <w:r>
        <w:rPr>
          <w:rFonts w:ascii="Times New Roman" w:hAnsi="Times New Roman"/>
          <w:color w:val="000000"/>
          <w:sz w:val="20"/>
        </w:rPr>
        <w:t>”</w:t>
      </w:r>
      <w:r>
        <w:rPr>
          <w:rFonts w:ascii="Times New Roman" w:hAnsi="Times New Roman"/>
          <w:color w:val="000000"/>
          <w:sz w:val="22"/>
        </w:rPr>
        <w:t>: with respect to any Benchmark, the earliest to occur of the following events with respect to such then-current Benchmark: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2"/>
        </w:rPr>
        <w:t>(2)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2"/>
          <w:u w:val="single"/>
        </w:rPr>
        <w:t>Benchmark Transition Event</w:t>
      </w:r>
      <w:r>
        <w:rPr>
          <w:rFonts w:ascii="Times New Roman" w:hAnsi="Times New Roman"/>
          <w:color w:val="000000"/>
          <w:sz w:val="20"/>
        </w:rPr>
        <w:t>”</w:t>
      </w:r>
      <w:r>
        <w:rPr>
          <w:rFonts w:ascii="Times New Roman" w:hAnsi="Times New Roman"/>
          <w:color w:val="000000"/>
          <w:sz w:val="22"/>
        </w:rPr>
        <w:t>: with respect to any Benchmark, the occurrence of one or more of the following events with respect to such then-current Benchmark:</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w:t>
      </w:r>
      <w:r>
        <w:rPr>
          <w:rFonts w:ascii="Times New Roman" w:hAnsi="Times New Roman"/>
          <w:color w:val="000000"/>
          <w:sz w:val="22"/>
        </w:rPr>
        <w:t>: with respect to any Benchmark, the period (if any) (x) beginning at the time that a Benchmark Replacement Date pursuant to clauses (1) or (2) of that definition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pStyle w:val="TextBody"/>
        <w:bidi w:val="0"/>
        <w:spacing w:before="0" w:after="24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w:t>
      </w:r>
      <w:r>
        <w:rPr>
          <w:rFonts w:ascii="Times New Roman" w:hAnsi="Times New Roman"/>
          <w:color w:val="000000"/>
          <w:sz w:val="22"/>
        </w:rPr>
        <w:t>: a certification regarding beneficial ownership or control as required by the Beneficial Ownership Regulation.</w:t>
      </w:r>
    </w:p>
    <w:p>
      <w:pPr>
        <w:pStyle w:val="TextBody"/>
        <w:bidi w:val="0"/>
        <w:spacing w:before="0" w:after="24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w:t>
      </w:r>
      <w:r>
        <w:rPr>
          <w:rFonts w:ascii="Times New Roman" w:hAnsi="Times New Roman"/>
          <w:color w:val="000000"/>
          <w:sz w:val="22"/>
        </w:rPr>
        <w:t>: 31 C.F.R. § 1010.230.</w:t>
      </w:r>
    </w:p>
    <w:p>
      <w:pPr>
        <w:pStyle w:val="TextBody"/>
        <w:bidi w:val="0"/>
        <w:spacing w:before="0" w:after="240"/>
        <w:jc w:val="both"/>
        <w:rPr/>
      </w:pPr>
      <w:r>
        <w:rPr>
          <w:color w:val="000000"/>
        </w:rPr>
        <w:t>“</w:t>
      </w:r>
      <w:r>
        <w:rPr>
          <w:rFonts w:ascii="Times New Roman" w:hAnsi="Times New Roman"/>
          <w:color w:val="000000"/>
          <w:sz w:val="22"/>
          <w:u w:val="single"/>
        </w:rPr>
        <w:t>Benefit Plan</w:t>
      </w:r>
      <w:r>
        <w:rPr>
          <w:rFonts w:ascii="Times New Roman" w:hAnsi="Times New Roman"/>
          <w:color w:val="000000"/>
          <w:sz w:val="20"/>
        </w:rPr>
        <w:t>”</w:t>
      </w:r>
      <w:r>
        <w:rPr>
          <w:rFonts w:ascii="Times New Roman" w:hAnsi="Times New Roman"/>
          <w:color w:val="000000"/>
          <w:sz w:val="22"/>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2"/>
          <w:u w:val="single"/>
        </w:rPr>
        <w:t>Benefitted Lender</w:t>
      </w:r>
      <w:r>
        <w:rPr>
          <w:rFonts w:ascii="Times New Roman" w:hAnsi="Times New Roman"/>
          <w:color w:val="000000"/>
          <w:sz w:val="20"/>
        </w:rPr>
        <w:t>”</w:t>
      </w:r>
      <w:r>
        <w:rPr>
          <w:rFonts w:ascii="Times New Roman" w:hAnsi="Times New Roman"/>
          <w:color w:val="000000"/>
          <w:sz w:val="22"/>
        </w:rPr>
        <w:t>: as defined in Section 10.7(a).</w:t>
      </w:r>
    </w:p>
    <w:p>
      <w:pPr>
        <w:pStyle w:val="TextBody"/>
        <w:bidi w:val="0"/>
        <w:spacing w:before="0" w:after="2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w:t>
      </w:r>
      <w:r>
        <w:rPr>
          <w:rFonts w:ascii="Times New Roman" w:hAnsi="Times New Roman"/>
          <w:color w:val="000000"/>
          <w:sz w:val="22"/>
        </w:rPr>
        <w:t>: 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the Board of Governors of the Federal Reserve System of the United States (or any successor).</w:t>
      </w:r>
    </w:p>
    <w:p>
      <w:pPr>
        <w:pStyle w:val="TextBody"/>
        <w:bidi w:val="0"/>
        <w:spacing w:before="0" w:after="240"/>
        <w:jc w:val="both"/>
        <w:rPr/>
      </w:pPr>
      <w:r>
        <w:rPr>
          <w:color w:val="000000"/>
        </w:rPr>
        <w:t>“</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as defined in the preamble hereto.</w:t>
      </w:r>
    </w:p>
    <w:p>
      <w:pPr>
        <w:pStyle w:val="TextBody"/>
        <w:bidi w:val="0"/>
        <w:spacing w:before="0" w:after="240"/>
        <w:jc w:val="both"/>
        <w:rPr/>
      </w:pPr>
      <w:r>
        <w:rPr>
          <w:color w:val="000000"/>
        </w:rPr>
        <w:t>“</w:t>
      </w:r>
      <w:r>
        <w:rPr>
          <w:rFonts w:ascii="Times New Roman" w:hAnsi="Times New Roman"/>
          <w:color w:val="000000"/>
          <w:sz w:val="22"/>
          <w:u w:val="single"/>
        </w:rPr>
        <w:t>Borrowing</w:t>
      </w:r>
      <w:r>
        <w:rPr>
          <w:rFonts w:ascii="Times New Roman" w:hAnsi="Times New Roman"/>
          <w:color w:val="000000"/>
          <w:sz w:val="20"/>
        </w:rPr>
        <w:t>”</w:t>
      </w:r>
      <w:r>
        <w:rPr>
          <w:rFonts w:ascii="Times New Roman" w:hAnsi="Times New Roman"/>
          <w:color w:val="000000"/>
          <w:sz w:val="22"/>
        </w:rPr>
        <w:t>: a Revolving Borrowing or a Term Loan Borrowing, as applicable.</w:t>
      </w:r>
    </w:p>
    <w:p>
      <w:pPr>
        <w:pStyle w:val="TextBody"/>
        <w:bidi w:val="0"/>
        <w:spacing w:before="0" w:after="240"/>
        <w:jc w:val="both"/>
        <w:rPr/>
      </w:pPr>
      <w:r>
        <w:rPr>
          <w:color w:val="000000"/>
        </w:rPr>
        <w:t>“</w:t>
      </w:r>
      <w:r>
        <w:rPr>
          <w:rFonts w:ascii="Times New Roman" w:hAnsi="Times New Roman"/>
          <w:color w:val="000000"/>
          <w:sz w:val="22"/>
          <w:u w:val="single"/>
        </w:rPr>
        <w:t>Borrowing Date</w:t>
      </w:r>
      <w:r>
        <w:rPr>
          <w:rFonts w:ascii="Times New Roman" w:hAnsi="Times New Roman"/>
          <w:color w:val="000000"/>
          <w:sz w:val="20"/>
        </w:rPr>
        <w:t>”</w:t>
      </w:r>
      <w:r>
        <w:rPr>
          <w:rFonts w:ascii="Times New Roman" w:hAnsi="Times New Roman"/>
          <w:color w:val="000000"/>
          <w:sz w:val="22"/>
        </w:rPr>
        <w:t>: any Business Day specified by the Borrower as a date on which the Borrower requests the relevant Lenders to make Loans hereunder.</w:t>
      </w:r>
    </w:p>
    <w:p>
      <w:pPr>
        <w:pStyle w:val="TextBody"/>
        <w:bidi w:val="0"/>
        <w:spacing w:before="0" w:after="240"/>
        <w:jc w:val="both"/>
        <w:rPr/>
      </w:pPr>
      <w:r>
        <w:rPr>
          <w:color w:val="000000"/>
        </w:rPr>
        <w:t>“</w:t>
      </w:r>
      <w:r>
        <w:rPr>
          <w:rFonts w:ascii="Times New Roman" w:hAnsi="Times New Roman"/>
          <w:color w:val="000000"/>
          <w:sz w:val="22"/>
          <w:u w:val="single"/>
        </w:rPr>
        <w:t>Business</w:t>
      </w:r>
      <w:r>
        <w:rPr>
          <w:rFonts w:ascii="Times New Roman" w:hAnsi="Times New Roman"/>
          <w:color w:val="000000"/>
          <w:sz w:val="20"/>
        </w:rPr>
        <w:t>”</w:t>
      </w:r>
      <w:r>
        <w:rPr>
          <w:rFonts w:ascii="Times New Roman" w:hAnsi="Times New Roman"/>
          <w:color w:val="000000"/>
          <w:sz w:val="22"/>
        </w:rPr>
        <w:t>: as defined in Section 4.17(b).</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w:t>
      </w:r>
      <w:r>
        <w:rPr>
          <w:rFonts w:ascii="Times New Roman" w:hAnsi="Times New Roman"/>
          <w:color w:val="000000"/>
          <w:sz w:val="22"/>
        </w:rPr>
        <w:t xml:space="preserve">: any day (other than a Saturday or a Sunday) on which banks are open for business in New York City;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pStyle w:val="TextBody"/>
        <w:bidi w:val="0"/>
        <w:spacing w:before="0" w:after="240"/>
        <w:jc w:val="both"/>
        <w:rPr/>
      </w:pPr>
      <w:r>
        <w:rPr>
          <w:color w:val="000000"/>
        </w:rPr>
        <w:t>“</w:t>
      </w:r>
      <w:r>
        <w:rPr>
          <w:rFonts w:ascii="Times New Roman" w:hAnsi="Times New Roman"/>
          <w:color w:val="000000"/>
          <w:sz w:val="22"/>
          <w:u w:val="single"/>
        </w:rPr>
        <w:t>Capital Expenditures</w:t>
      </w:r>
      <w:r>
        <w:rPr>
          <w:rFonts w:ascii="Times New Roman" w:hAnsi="Times New Roman"/>
          <w:color w:val="000000"/>
          <w:sz w:val="20"/>
        </w:rPr>
        <w:t>”</w:t>
      </w:r>
      <w:r>
        <w:rPr>
          <w:rFonts w:ascii="Times New Roman" w:hAnsi="Times New Roman"/>
          <w:color w:val="000000"/>
          <w:sz w:val="22"/>
        </w:rPr>
        <w:t>: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pStyle w:val="TextBody"/>
        <w:bidi w:val="0"/>
        <w:spacing w:before="0" w:after="240"/>
        <w:jc w:val="both"/>
        <w:rPr/>
      </w:pPr>
      <w:r>
        <w:rPr>
          <w:color w:val="000000"/>
        </w:rPr>
        <w:t>“</w:t>
      </w:r>
      <w:r>
        <w:rPr>
          <w:rFonts w:ascii="Times New Roman" w:hAnsi="Times New Roman"/>
          <w:color w:val="000000"/>
          <w:sz w:val="22"/>
          <w:u w:val="single"/>
        </w:rPr>
        <w:t>Capital Lease Obligations</w:t>
      </w:r>
      <w:r>
        <w:rPr>
          <w:rFonts w:ascii="Times New Roman" w:hAnsi="Times New Roman"/>
          <w:color w:val="000000"/>
          <w:sz w:val="20"/>
        </w:rPr>
        <w:t>”</w:t>
      </w:r>
      <w:r>
        <w:rPr>
          <w:rFonts w:ascii="Times New Roman" w:hAnsi="Times New Roman"/>
          <w:color w:val="000000"/>
          <w:sz w:val="22"/>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amount of such obligations at any time shall be the capitalized amount thereof at such time determined in accordance with GAAP.</w:t>
      </w:r>
    </w:p>
    <w:p>
      <w:pPr>
        <w:pStyle w:val="TextBody"/>
        <w:bidi w:val="0"/>
        <w:spacing w:before="0" w:after="240"/>
        <w:jc w:val="both"/>
        <w:rPr/>
      </w:pPr>
      <w:r>
        <w:rPr>
          <w:color w:val="000000"/>
        </w:rPr>
        <w:t>“</w:t>
      </w:r>
      <w:r>
        <w:rPr>
          <w:rFonts w:ascii="Times New Roman" w:hAnsi="Times New Roman"/>
          <w:color w:val="000000"/>
          <w:sz w:val="22"/>
          <w:u w:val="single"/>
        </w:rPr>
        <w:t>Capital Stock</w:t>
      </w:r>
      <w:r>
        <w:rPr>
          <w:rFonts w:ascii="Times New Roman" w:hAnsi="Times New Roman"/>
          <w:color w:val="000000"/>
          <w:sz w:val="20"/>
        </w:rPr>
        <w:t>”</w:t>
      </w:r>
      <w:r>
        <w:rPr>
          <w:rFonts w:ascii="Times New Roman" w:hAnsi="Times New Roman"/>
          <w:color w:val="000000"/>
          <w:sz w:val="22"/>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from all of the foregoing any debt securities convertible into, or exchangeable for, Capital Stock (and/or cash based on the value of Capital Stock).</w:t>
      </w:r>
    </w:p>
    <w:p>
      <w:pPr>
        <w:pStyle w:val="TextBody"/>
        <w:bidi w:val="0"/>
        <w:spacing w:before="0" w:after="240"/>
        <w:jc w:val="both"/>
        <w:rPr/>
      </w:pPr>
      <w:r>
        <w:rPr>
          <w:color w:val="000000"/>
        </w:rPr>
        <w:t>“</w:t>
      </w:r>
      <w:r>
        <w:rPr>
          <w:rFonts w:ascii="Times New Roman" w:hAnsi="Times New Roman"/>
          <w:color w:val="000000"/>
          <w:sz w:val="22"/>
          <w:u w:val="single"/>
        </w:rPr>
        <w:t>Cash Equivalents</w:t>
      </w:r>
      <w:r>
        <w:rPr>
          <w:rFonts w:ascii="Times New Roman" w:hAnsi="Times New Roman"/>
          <w:color w:val="000000"/>
          <w:sz w:val="20"/>
        </w:rPr>
        <w:t>”</w:t>
      </w:r>
      <w:r>
        <w:rPr>
          <w:rFonts w:ascii="Times New Roman" w:hAnsi="Times New Roman"/>
          <w:color w:val="000000"/>
          <w:sz w:val="22"/>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pStyle w:val="TextBody"/>
        <w:bidi w:val="0"/>
        <w:spacing w:before="0" w:after="240"/>
        <w:jc w:val="both"/>
        <w:rPr/>
      </w:pPr>
      <w:r>
        <w:rPr>
          <w:color w:val="000000"/>
        </w:rPr>
        <w:t>“</w:t>
      </w:r>
      <w:r>
        <w:rPr>
          <w:rFonts w:ascii="Times New Roman" w:hAnsi="Times New Roman"/>
          <w:color w:val="000000"/>
          <w:sz w:val="22"/>
          <w:u w:val="single"/>
        </w:rPr>
        <w:t>CFC</w:t>
      </w:r>
      <w:r>
        <w:rPr>
          <w:rFonts w:ascii="Times New Roman" w:hAnsi="Times New Roman"/>
          <w:color w:val="000000"/>
          <w:sz w:val="20"/>
        </w:rPr>
        <w:t>”</w:t>
      </w:r>
      <w:r>
        <w:rPr>
          <w:rFonts w:ascii="Times New Roman" w:hAnsi="Times New Roman"/>
          <w:color w:val="000000"/>
          <w:sz w:val="22"/>
        </w:rPr>
        <w:t>: a “controlled foreign corporation” within the meaning of Section 957(a) of the Code.</w:t>
      </w:r>
    </w:p>
    <w:p>
      <w:pPr>
        <w:pStyle w:val="TextBody"/>
        <w:bidi w:val="0"/>
        <w:spacing w:before="0" w:after="24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w:t>
      </w:r>
      <w:r>
        <w:rPr>
          <w:rFonts w:ascii="Times New Roman" w:hAnsi="Times New Roman"/>
          <w:color w:val="000000"/>
          <w:sz w:val="22"/>
        </w:rPr>
        <w:t>: when used in reference to any Loan or any borrowing, refers to whether such Loan, or the Loans comprising such borrowing, are Revolving Loans or Swingline Loans and, when used in reference to any Revolving Commitment, refers to whether such Revolving Commitment is a Revolving Commitment or a Swingline Commitment.</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w:t>
      </w:r>
      <w:r>
        <w:rPr>
          <w:rFonts w:ascii="Times New Roman" w:hAnsi="Times New Roman"/>
          <w:color w:val="000000"/>
          <w:sz w:val="22"/>
        </w:rPr>
        <w:t>: the Tenth Amendment Effective Date.</w:t>
      </w:r>
    </w:p>
    <w:p>
      <w:pPr>
        <w:pStyle w:val="TextBody"/>
        <w:bidi w:val="0"/>
        <w:spacing w:before="0" w:after="240"/>
        <w:jc w:val="both"/>
        <w:rPr/>
      </w:pPr>
      <w:r>
        <w:rPr>
          <w:color w:val="000000"/>
        </w:rPr>
        <w:t>“</w:t>
      </w:r>
      <w:r>
        <w:rPr>
          <w:rFonts w:ascii="Times New Roman" w:hAnsi="Times New Roman"/>
          <w:color w:val="000000"/>
          <w:sz w:val="22"/>
          <w:u w:val="single"/>
        </w:rPr>
        <w:t>CME Term SOFR Administrator</w:t>
      </w:r>
      <w:r>
        <w:rPr>
          <w:rFonts w:ascii="Times New Roman" w:hAnsi="Times New Roman"/>
          <w:color w:val="000000"/>
          <w:sz w:val="20"/>
        </w:rPr>
        <w:t>”</w:t>
      </w:r>
      <w:r>
        <w:rPr>
          <w:rFonts w:ascii="Times New Roman" w:hAnsi="Times New Roman"/>
          <w:color w:val="000000"/>
          <w:sz w:val="22"/>
        </w:rPr>
        <w:t>: the CME Group Benchmark Administration Limited as administrator of the forward-looking term Secured Overnight Financing Rate (SOFR) (or a successor administrator).</w:t>
      </w:r>
    </w:p>
    <w:p>
      <w:pPr>
        <w:pStyle w:val="TextBody"/>
        <w:bidi w:val="0"/>
        <w:spacing w:before="0" w:after="240"/>
        <w:jc w:val="both"/>
        <w:rPr/>
      </w:pPr>
      <w:r>
        <w:rPr>
          <w:color w:val="000000"/>
        </w:rPr>
        <w:t>“</w:t>
      </w:r>
      <w:r>
        <w:rPr>
          <w:rFonts w:ascii="Times New Roman" w:hAnsi="Times New Roman"/>
          <w:color w:val="000000"/>
          <w:sz w:val="22"/>
          <w:u w:val="single"/>
        </w:rPr>
        <w:t>Co-Documentation Agent</w:t>
      </w:r>
      <w:r>
        <w:rPr>
          <w:rFonts w:ascii="Times New Roman" w:hAnsi="Times New Roman"/>
          <w:color w:val="000000"/>
          <w:sz w:val="20"/>
        </w:rPr>
        <w:t>”</w:t>
      </w:r>
      <w:r>
        <w:rPr>
          <w:rFonts w:ascii="Times New Roman" w:hAnsi="Times New Roman"/>
          <w:color w:val="000000"/>
          <w:sz w:val="22"/>
        </w:rPr>
        <w:t>: as defined in the preamble hereto.</w:t>
      </w:r>
    </w:p>
    <w:p>
      <w:pPr>
        <w:pStyle w:val="TextBody"/>
        <w:bidi w:val="0"/>
        <w:spacing w:before="0" w:after="240"/>
        <w:jc w:val="both"/>
        <w:rPr/>
      </w:pPr>
      <w:r>
        <w:rPr>
          <w:color w:val="000000"/>
        </w:rPr>
        <w:t>“</w:t>
      </w:r>
      <w:r>
        <w:rPr>
          <w:rFonts w:ascii="Times New Roman" w:hAnsi="Times New Roman"/>
          <w:color w:val="000000"/>
          <w:sz w:val="22"/>
          <w:u w:val="single"/>
        </w:rPr>
        <w:t>Co-Syndication Agent</w:t>
      </w:r>
      <w:r>
        <w:rPr>
          <w:rFonts w:ascii="Times New Roman" w:hAnsi="Times New Roman"/>
          <w:color w:val="000000"/>
          <w:sz w:val="20"/>
        </w:rPr>
        <w:t>”</w:t>
      </w:r>
      <w:r>
        <w:rPr>
          <w:rFonts w:ascii="Times New Roman" w:hAnsi="Times New Roman"/>
          <w:color w:val="000000"/>
          <w:sz w:val="22"/>
        </w:rPr>
        <w:t>: as defined in the preamble hereto.</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w:t>
      </w:r>
      <w:r>
        <w:rPr>
          <w:rFonts w:ascii="Times New Roman" w:hAnsi="Times New Roman"/>
          <w:color w:val="000000"/>
          <w:sz w:val="22"/>
        </w:rPr>
        <w:t>: the Internal Revenue Code of 1986, as amended from time to time.</w:t>
      </w:r>
    </w:p>
    <w:p>
      <w:pPr>
        <w:pStyle w:val="TextBody"/>
        <w:bidi w:val="0"/>
        <w:spacing w:before="0" w:after="240"/>
        <w:jc w:val="both"/>
        <w:rPr/>
      </w:pPr>
      <w:r>
        <w:rPr>
          <w:color w:val="000000"/>
        </w:rPr>
        <w:t>“</w:t>
      </w:r>
      <w:r>
        <w:rPr>
          <w:rFonts w:ascii="Times New Roman" w:hAnsi="Times New Roman"/>
          <w:color w:val="000000"/>
          <w:sz w:val="22"/>
          <w:u w:val="single"/>
        </w:rPr>
        <w:t>Collateral</w:t>
      </w:r>
      <w:r>
        <w:rPr>
          <w:rFonts w:ascii="Times New Roman" w:hAnsi="Times New Roman"/>
          <w:color w:val="000000"/>
          <w:sz w:val="20"/>
        </w:rPr>
        <w:t>”</w:t>
      </w:r>
      <w:r>
        <w:rPr>
          <w:rFonts w:ascii="Times New Roman" w:hAnsi="Times New Roman"/>
          <w:color w:val="000000"/>
          <w:sz w:val="22"/>
        </w:rPr>
        <w:t>: all property of the Borrower and Secured Guarantors, now owned or hereafter acquired, upon which a Lien is purported to be created by any Security Document.</w:t>
      </w:r>
    </w:p>
    <w:p>
      <w:pPr>
        <w:pStyle w:val="TextBody"/>
        <w:bidi w:val="0"/>
        <w:spacing w:before="0" w:after="240"/>
        <w:jc w:val="both"/>
        <w:rPr/>
      </w:pPr>
      <w:r>
        <w:rPr>
          <w:color w:val="000000"/>
        </w:rPr>
        <w:t>“</w:t>
      </w:r>
      <w:r>
        <w:rPr>
          <w:rFonts w:ascii="Times New Roman" w:hAnsi="Times New Roman"/>
          <w:color w:val="000000"/>
          <w:sz w:val="22"/>
          <w:u w:val="single"/>
        </w:rPr>
        <w:t>Collateral Agent</w:t>
      </w:r>
      <w:r>
        <w:rPr>
          <w:rFonts w:ascii="Times New Roman" w:hAnsi="Times New Roman"/>
          <w:color w:val="000000"/>
          <w:sz w:val="20"/>
        </w:rPr>
        <w:t>”</w:t>
      </w:r>
      <w:r>
        <w:rPr>
          <w:rFonts w:ascii="Times New Roman" w:hAnsi="Times New Roman"/>
          <w:color w:val="000000"/>
          <w:sz w:val="22"/>
        </w:rPr>
        <w:t>: JPMorgan Chase Bank, N.A., in its capacity as collateral agent under the Collateral Agreement for the Lenders and certain other holders of obligations of the Borrower and Secured Guarantors.</w:t>
      </w:r>
    </w:p>
    <w:p>
      <w:pPr>
        <w:pStyle w:val="TextBody"/>
        <w:bidi w:val="0"/>
        <w:spacing w:before="0" w:after="240"/>
        <w:jc w:val="both"/>
        <w:rPr/>
      </w:pPr>
      <w:r>
        <w:rPr>
          <w:color w:val="000000"/>
        </w:rPr>
        <w:t>“</w:t>
      </w:r>
      <w:r>
        <w:rPr>
          <w:rFonts w:ascii="Times New Roman" w:hAnsi="Times New Roman"/>
          <w:color w:val="000000"/>
          <w:sz w:val="22"/>
          <w:u w:val="single"/>
        </w:rPr>
        <w:t>Collateral Agreement</w:t>
      </w:r>
      <w:r>
        <w:rPr>
          <w:rFonts w:ascii="Times New Roman" w:hAnsi="Times New Roman"/>
          <w:color w:val="000000"/>
          <w:sz w:val="20"/>
        </w:rPr>
        <w:t>”</w:t>
      </w:r>
      <w:r>
        <w:rPr>
          <w:rFonts w:ascii="Times New Roman" w:hAnsi="Times New Roman"/>
          <w:color w:val="000000"/>
          <w:sz w:val="22"/>
        </w:rPr>
        <w:t>: the Collateral Agreement dated as of August 7, 2014 and executed and delivered by the Borrower and each Secured Guarantor, substantially in the form of Exhibit A, as may be amended from time to time.</w:t>
      </w:r>
    </w:p>
    <w:p>
      <w:pPr>
        <w:pStyle w:val="TextBody"/>
        <w:bidi w:val="0"/>
        <w:spacing w:before="0" w:after="240"/>
        <w:jc w:val="both"/>
        <w:rPr/>
      </w:pPr>
      <w:r>
        <w:rPr>
          <w:color w:val="000000"/>
        </w:rPr>
        <w:t>“</w:t>
      </w:r>
      <w:r>
        <w:rPr>
          <w:rFonts w:ascii="Times New Roman" w:hAnsi="Times New Roman"/>
          <w:color w:val="000000"/>
          <w:sz w:val="22"/>
          <w:u w:val="single"/>
        </w:rPr>
        <w:t>Collateral Release Conditions</w:t>
      </w:r>
      <w:r>
        <w:rPr>
          <w:rFonts w:ascii="Times New Roman" w:hAnsi="Times New Roman"/>
          <w:color w:val="000000"/>
          <w:sz w:val="20"/>
        </w:rPr>
        <w:t>”</w:t>
      </w:r>
      <w:r>
        <w:rPr>
          <w:rFonts w:ascii="Times New Roman" w:hAnsi="Times New Roman"/>
          <w:color w:val="000000"/>
          <w:sz w:val="22"/>
        </w:rPr>
        <w:t>: the two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Borrower shall have received a senior unsecured debt rating of at least BBB- (with a stable or positive outlook) from S&amp;P and a senior unsecured debt rating of at least Baa3 (with a stable or positive outlook) from Moody’s, in each case, (i) calculated pro forma for the occurrence of the Collateral Release Date and (ii) not subject to any guarantee or other credit enhancement, and both such senior unsecured debt ratings shall then be in effect;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no Default or Event of Default shall have then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rating system of S&amp;P and/or Moody’s shall change, or if any such rating agency shall cease to be in the business of rating corporate debt obligations, the Borrower and the Administrative Agent (in consultation with the Lenders) shall negotiate in good faith to amend this definition to reflect such changed rating system or the unavailability of ratings from such rating agency.</w:t>
      </w:r>
    </w:p>
    <w:p>
      <w:pPr>
        <w:pStyle w:val="TextBody"/>
        <w:bidi w:val="0"/>
        <w:spacing w:before="0" w:after="240"/>
        <w:jc w:val="both"/>
        <w:rPr/>
      </w:pPr>
      <w:r>
        <w:rPr>
          <w:color w:val="000000"/>
        </w:rPr>
        <w:t>“</w:t>
      </w:r>
      <w:r>
        <w:rPr>
          <w:rFonts w:ascii="Times New Roman" w:hAnsi="Times New Roman"/>
          <w:color w:val="000000"/>
          <w:sz w:val="22"/>
          <w:u w:val="single"/>
        </w:rPr>
        <w:t>Collateral Release Date</w:t>
      </w:r>
      <w:r>
        <w:rPr>
          <w:rFonts w:ascii="Times New Roman" w:hAnsi="Times New Roman"/>
          <w:color w:val="000000"/>
          <w:sz w:val="20"/>
        </w:rPr>
        <w:t>”</w:t>
      </w:r>
      <w:r>
        <w:rPr>
          <w:rFonts w:ascii="Times New Roman" w:hAnsi="Times New Roman"/>
          <w:color w:val="000000"/>
          <w:sz w:val="22"/>
        </w:rPr>
        <w:t>: has the meaning set forth in Section 10.14(c).</w:t>
      </w:r>
    </w:p>
    <w:p>
      <w:pPr>
        <w:pStyle w:val="TextBody"/>
        <w:bidi w:val="0"/>
        <w:spacing w:before="0" w:after="24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w:t>
      </w:r>
      <w:r>
        <w:rPr>
          <w:rFonts w:ascii="Times New Roman" w:hAnsi="Times New Roman"/>
          <w:color w:val="000000"/>
          <w:sz w:val="22"/>
        </w:rPr>
        <w:t>: as to any Lender, the sum of the Tranche A Term Commitment, 2026 Incremental Term Loan Commitment, 2026 Delayed Draw Term Loan Commitment</w:t>
      </w:r>
      <w:r>
        <w:rPr>
          <w:rFonts w:ascii="Times New Roman" w:hAnsi="Times New Roman"/>
          <w:color w:val="0000FF"/>
          <w:sz w:val="22"/>
          <w:u w:val="single"/>
        </w:rPr>
        <w:t>, 2026-2 Delayed Draw Term Loan Commitment</w:t>
      </w:r>
      <w:r>
        <w:rPr>
          <w:rFonts w:ascii="Times New Roman" w:hAnsi="Times New Roman"/>
          <w:color w:val="000000"/>
          <w:sz w:val="20"/>
        </w:rPr>
        <w:t xml:space="preserve"> </w:t>
      </w:r>
      <w:r>
        <w:rPr>
          <w:rFonts w:ascii="Times New Roman" w:hAnsi="Times New Roman"/>
          <w:color w:val="000000"/>
          <w:sz w:val="22"/>
        </w:rPr>
        <w:t>and the Revolving Commitment (including the 2026 Incremental Revolving Commitment) of such Lender.</w:t>
      </w:r>
    </w:p>
    <w:p>
      <w:pPr>
        <w:pStyle w:val="TextBody"/>
        <w:bidi w:val="0"/>
        <w:spacing w:before="0" w:after="240"/>
        <w:jc w:val="both"/>
        <w:rPr/>
      </w:pPr>
      <w:r>
        <w:rPr>
          <w:color w:val="000000"/>
        </w:rPr>
        <w:t>“</w:t>
      </w:r>
      <w:r>
        <w:rPr>
          <w:rFonts w:ascii="Times New Roman" w:hAnsi="Times New Roman"/>
          <w:color w:val="000000"/>
          <w:sz w:val="22"/>
          <w:u w:val="single"/>
        </w:rPr>
        <w:t>Commitment Fee Rate</w:t>
      </w:r>
      <w:r>
        <w:rPr>
          <w:rFonts w:ascii="Times New Roman" w:hAnsi="Times New Roman"/>
          <w:color w:val="000000"/>
          <w:sz w:val="20"/>
        </w:rPr>
        <w:t>”</w:t>
      </w:r>
      <w:r>
        <w:rPr>
          <w:rFonts w:ascii="Times New Roman" w:hAnsi="Times New Roman"/>
          <w:color w:val="000000"/>
          <w:sz w:val="22"/>
        </w:rPr>
        <w:t xml:space="preserve">: 0.150% per annum; </w:t>
      </w:r>
      <w:r>
        <w:rPr>
          <w:rFonts w:ascii="Times New Roman" w:hAnsi="Times New Roman"/>
          <w:color w:val="000000"/>
          <w:sz w:val="22"/>
          <w:u w:val="single"/>
        </w:rPr>
        <w:t>provided</w:t>
      </w:r>
      <w:r>
        <w:rPr>
          <w:rFonts w:ascii="Times New Roman" w:hAnsi="Times New Roman"/>
          <w:color w:val="000000"/>
          <w:sz w:val="22"/>
        </w:rPr>
        <w:t>, that on and after the first Adjustment Date occurring after the completion of the first fiscal quarter of the Borrower after the Eleventh Amendment Effective Date, the Commitment Fee Rate will be determined pursuant to the Applicable Pricing Grid.</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w:t>
      </w:r>
      <w:r>
        <w:rPr>
          <w:rFonts w:ascii="Times New Roman" w:hAnsi="Times New Roman"/>
          <w:color w:val="000000"/>
          <w:sz w:val="22"/>
        </w:rPr>
        <w:t>: a certificate duly executed by a Responsible Officer substantially in the form of Exhibit H.</w:t>
      </w:r>
    </w:p>
    <w:p>
      <w:pPr>
        <w:pStyle w:val="TextBody"/>
        <w:bidi w:val="0"/>
        <w:spacing w:before="0" w:after="240"/>
        <w:jc w:val="both"/>
        <w:rPr/>
      </w:pPr>
      <w:r>
        <w:rPr>
          <w:color w:val="000000"/>
        </w:rPr>
        <w:t>“</w:t>
      </w:r>
      <w:r>
        <w:rPr>
          <w:rFonts w:ascii="Times New Roman" w:hAnsi="Times New Roman"/>
          <w:color w:val="000000"/>
          <w:sz w:val="22"/>
          <w:u w:val="single"/>
        </w:rPr>
        <w:t>Conduit Lender</w:t>
      </w:r>
      <w:r>
        <w:rPr>
          <w:rFonts w:ascii="Times New Roman" w:hAnsi="Times New Roman"/>
          <w:color w:val="000000"/>
          <w:sz w:val="20"/>
        </w:rPr>
        <w:t>”</w:t>
      </w:r>
      <w:r>
        <w:rPr>
          <w:rFonts w:ascii="Times New Roman" w:hAnsi="Times New Roman"/>
          <w:color w:val="000000"/>
          <w:sz w:val="22"/>
        </w:rPr>
        <w:t xml:space="preserve">: any special purpose corporation organized and administered by any Lender for the purpose of making Loans otherwise required to be made by such Lender and designated by such Lender in a written instrument; </w:t>
      </w:r>
      <w:r>
        <w:rPr>
          <w:rFonts w:ascii="Times New Roman" w:hAnsi="Times New Roman"/>
          <w:color w:val="000000"/>
          <w:sz w:val="22"/>
          <w:u w:val="single"/>
        </w:rPr>
        <w:t>provided</w:t>
      </w:r>
      <w:r>
        <w:rPr>
          <w:rFonts w:ascii="Times New Roman" w:hAnsi="Times New Roman"/>
          <w:color w:val="000000"/>
          <w:sz w:val="22"/>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no Conduit Lender shall (a) be entitled to receive any greater amount pursuant to Section 2.18, 2.19, 2.20 or 10.5 than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designating Lender would have been entitled to receive in respect of the extensions of credit made by such Conduit Lender or (b) be deemed to have any Commitment.</w:t>
      </w:r>
    </w:p>
    <w:p>
      <w:pPr>
        <w:pStyle w:val="TextBody"/>
        <w:bidi w:val="0"/>
        <w:spacing w:before="0" w:after="240"/>
        <w:jc w:val="both"/>
        <w:rPr/>
      </w:pPr>
      <w:r>
        <w:rPr>
          <w:color w:val="000000"/>
        </w:rPr>
        <w:t>“</w:t>
      </w:r>
      <w:r>
        <w:rPr>
          <w:rFonts w:ascii="Times New Roman" w:hAnsi="Times New Roman"/>
          <w:color w:val="000000"/>
          <w:sz w:val="22"/>
          <w:u w:val="single"/>
        </w:rPr>
        <w:t>Consolidated Current Assets</w:t>
      </w:r>
      <w:r>
        <w:rPr>
          <w:rFonts w:ascii="Times New Roman" w:hAnsi="Times New Roman"/>
          <w:color w:val="000000"/>
          <w:sz w:val="20"/>
        </w:rPr>
        <w:t>”</w:t>
      </w:r>
      <w:r>
        <w:rPr>
          <w:rFonts w:ascii="Times New Roman" w:hAnsi="Times New Roman"/>
          <w:color w:val="000000"/>
          <w:sz w:val="22"/>
        </w:rPr>
        <w:t>: at any date, all amounts (other than cash and Cash Equivalents) that would, in conformity with GAAP, be set forth opposite the caption “total current assets” (or any like caption) on a consolidated balance sheet of the Borrower and its Subsidiaries at such date.</w:t>
      </w:r>
    </w:p>
    <w:p>
      <w:pPr>
        <w:pStyle w:val="TextBody"/>
        <w:bidi w:val="0"/>
        <w:spacing w:before="0" w:after="240"/>
        <w:jc w:val="both"/>
        <w:rPr/>
      </w:pPr>
      <w:r>
        <w:rPr>
          <w:color w:val="000000"/>
        </w:rPr>
        <w:t>“</w:t>
      </w:r>
      <w:r>
        <w:rPr>
          <w:rFonts w:ascii="Times New Roman" w:hAnsi="Times New Roman"/>
          <w:color w:val="000000"/>
          <w:sz w:val="22"/>
          <w:u w:val="single"/>
        </w:rPr>
        <w:t>Consolidated Current Liabilities</w:t>
      </w:r>
      <w:r>
        <w:rPr>
          <w:rFonts w:ascii="Times New Roman" w:hAnsi="Times New Roman"/>
          <w:color w:val="000000"/>
          <w:sz w:val="20"/>
        </w:rPr>
        <w:t>”</w:t>
      </w:r>
      <w:r>
        <w:rPr>
          <w:rFonts w:ascii="Times New Roman" w:hAnsi="Times New Roman"/>
          <w:color w:val="000000"/>
          <w:sz w:val="22"/>
        </w:rPr>
        <w:t>: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Loans or Swingline Loans to the extent otherwise included therein.</w:t>
      </w:r>
    </w:p>
    <w:p>
      <w:pPr>
        <w:pStyle w:val="TextBody"/>
        <w:bidi w:val="0"/>
        <w:spacing w:before="0" w:after="240"/>
        <w:jc w:val="both"/>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w:t>
      </w:r>
      <w:r>
        <w:rPr>
          <w:rFonts w:ascii="Times New Roman" w:hAnsi="Times New Roman"/>
          <w:color w:val="000000"/>
          <w:sz w:val="22"/>
        </w:rPr>
        <w:t xml:space="preserve">: for any period, the sum, without duplication, of (i) Consolidated Net Income for such period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to the extent deducted in the determination thereof, Consolidated Interest Expense, depreciation and amortization expense and provision for income taxes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(or minus) (iii) the amount of any material nonrecurring items of loss (or gain), adjusted to eliminate the effect of any such item on the provision for income taxes for such period,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(iv) equity-based compensation expense (to the extent paid in equity and not in cash),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(v) non-recurring fees and expenses related to the 2024 Transactions and the incurrence of Indebtedness in connection therewith,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(vi) to the extent deducted in the determination thereof, losses attributable to (x) the termination of, or the impact of the loss of hedge accounting treatment attributable to, any Swap Agreements resulting from the consummation of the 2024 Transactions or the transactions contemplated by the Tenth Amendment, and (y) the accelerated amortization of any fees and expenses resulting from the consummation of the 2024 Transactions.</w:t>
      </w:r>
    </w:p>
    <w:p>
      <w:pPr>
        <w:pStyle w:val="TextBody"/>
        <w:bidi w:val="0"/>
        <w:spacing w:before="0" w:after="240"/>
        <w:jc w:val="both"/>
        <w:rPr/>
      </w:pPr>
      <w:r>
        <w:rPr>
          <w:color w:val="000000"/>
        </w:rPr>
        <w:t>“</w:t>
      </w:r>
      <w:r>
        <w:rPr>
          <w:rFonts w:ascii="Times New Roman" w:hAnsi="Times New Roman"/>
          <w:color w:val="000000"/>
          <w:sz w:val="22"/>
          <w:u w:val="single"/>
        </w:rPr>
        <w:t>Consolidated Interest Expense</w:t>
      </w:r>
      <w:r>
        <w:rPr>
          <w:rFonts w:ascii="Times New Roman" w:hAnsi="Times New Roman"/>
          <w:color w:val="000000"/>
          <w:sz w:val="20"/>
        </w:rPr>
        <w:t>”</w:t>
      </w:r>
      <w:r>
        <w:rPr>
          <w:rFonts w:ascii="Times New Roman" w:hAnsi="Times New Roman"/>
          <w:color w:val="000000"/>
          <w:sz w:val="22"/>
        </w:rPr>
        <w:t>: for any period, the consolidated interest expense (net of interest income) of the Borrower and its Subsidiaries determined on a consolidated basis for such period.</w:t>
      </w:r>
    </w:p>
    <w:p>
      <w:pPr>
        <w:pStyle w:val="TextBody"/>
        <w:bidi w:val="0"/>
        <w:spacing w:before="0" w:after="240"/>
        <w:jc w:val="both"/>
        <w:rPr/>
      </w:pPr>
      <w:r>
        <w:rPr>
          <w:color w:val="000000"/>
        </w:rPr>
        <w:t>“</w:t>
      </w:r>
      <w:r>
        <w:rPr>
          <w:rFonts w:ascii="Times New Roman" w:hAnsi="Times New Roman"/>
          <w:color w:val="000000"/>
          <w:sz w:val="22"/>
          <w:u w:val="single"/>
        </w:rPr>
        <w:t>Consolidated Net Leverage Ratio</w:t>
      </w:r>
      <w:r>
        <w:rPr>
          <w:rFonts w:ascii="Times New Roman" w:hAnsi="Times New Roman"/>
          <w:color w:val="000000"/>
          <w:sz w:val="20"/>
        </w:rPr>
        <w:t>”</w:t>
      </w:r>
      <w:r>
        <w:rPr>
          <w:rFonts w:ascii="Times New Roman" w:hAnsi="Times New Roman"/>
          <w:color w:val="000000"/>
          <w:sz w:val="22"/>
        </w:rPr>
        <w:t>: as at the last day of any period, the ratio of (a) Consolidated Total Debt on such day to (b) Consolidated EBITDA for such period.</w:t>
      </w:r>
    </w:p>
    <w:p>
      <w:pPr>
        <w:pStyle w:val="TextBody"/>
        <w:bidi w:val="0"/>
        <w:spacing w:before="0" w:after="24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w:t>
      </w:r>
      <w:r>
        <w:rPr>
          <w:rFonts w:ascii="Times New Roman" w:hAnsi="Times New Roman"/>
          <w:color w:val="000000"/>
          <w:sz w:val="22"/>
        </w:rPr>
        <w:t>: for any period, the consolidated net income of the Borrower and its Subsidiaries determined on a consolidated basis in accordance with GAAP for such period.</w:t>
      </w:r>
    </w:p>
    <w:p>
      <w:pPr>
        <w:pStyle w:val="TextBody"/>
        <w:bidi w:val="0"/>
        <w:spacing w:before="0" w:after="240"/>
        <w:jc w:val="both"/>
        <w:rPr/>
      </w:pPr>
      <w:r>
        <w:rPr>
          <w:color w:val="000000"/>
        </w:rPr>
        <w:t>“</w:t>
      </w:r>
      <w:r>
        <w:rPr>
          <w:rFonts w:ascii="Times New Roman" w:hAnsi="Times New Roman"/>
          <w:color w:val="000000"/>
          <w:sz w:val="22"/>
          <w:u w:val="single"/>
        </w:rPr>
        <w:t>Consolidated Secured Net Leverage Ratio</w:t>
      </w:r>
      <w:r>
        <w:rPr>
          <w:rFonts w:ascii="Times New Roman" w:hAnsi="Times New Roman"/>
          <w:color w:val="000000"/>
          <w:sz w:val="20"/>
        </w:rPr>
        <w:t>”</w:t>
      </w:r>
      <w:r>
        <w:rPr>
          <w:rFonts w:ascii="Times New Roman" w:hAnsi="Times New Roman"/>
          <w:color w:val="000000"/>
          <w:sz w:val="22"/>
        </w:rPr>
        <w:t>: as at the last day of any period, the ratio of (a) Consolidated Secured Total Debt on such day to (b) Consolidated EBITDA for such period.</w:t>
      </w:r>
    </w:p>
    <w:p>
      <w:pPr>
        <w:pStyle w:val="TextBody"/>
        <w:bidi w:val="0"/>
        <w:spacing w:before="0" w:after="240"/>
        <w:jc w:val="both"/>
        <w:rPr/>
      </w:pPr>
      <w:r>
        <w:rPr>
          <w:color w:val="000000"/>
        </w:rPr>
        <w:t>“</w:t>
      </w:r>
      <w:r>
        <w:rPr>
          <w:rFonts w:ascii="Times New Roman" w:hAnsi="Times New Roman"/>
          <w:color w:val="000000"/>
          <w:sz w:val="22"/>
          <w:u w:val="single"/>
        </w:rPr>
        <w:t>Consolidated Secured Total Debt</w:t>
      </w:r>
      <w:r>
        <w:rPr>
          <w:rFonts w:ascii="Times New Roman" w:hAnsi="Times New Roman"/>
          <w:color w:val="000000"/>
          <w:sz w:val="20"/>
        </w:rPr>
        <w:t>”</w:t>
      </w:r>
      <w:r>
        <w:rPr>
          <w:rFonts w:ascii="Times New Roman" w:hAnsi="Times New Roman"/>
          <w:color w:val="000000"/>
          <w:sz w:val="22"/>
        </w:rPr>
        <w:t>: at any date Consolidated Total Debt secured by a Lien.</w:t>
      </w:r>
    </w:p>
    <w:p>
      <w:pPr>
        <w:pStyle w:val="TextBody"/>
        <w:bidi w:val="0"/>
        <w:spacing w:before="0" w:after="240"/>
        <w:jc w:val="both"/>
        <w:rPr/>
      </w:pPr>
      <w:r>
        <w:rPr>
          <w:color w:val="000000"/>
        </w:rPr>
        <w:t>“</w:t>
      </w:r>
      <w:r>
        <w:rPr>
          <w:rFonts w:ascii="Times New Roman" w:hAnsi="Times New Roman"/>
          <w:color w:val="000000"/>
          <w:sz w:val="22"/>
          <w:u w:val="single"/>
        </w:rPr>
        <w:t>Consolidated Tangible Assets</w:t>
      </w:r>
      <w:r>
        <w:rPr>
          <w:rFonts w:ascii="Times New Roman" w:hAnsi="Times New Roman"/>
          <w:color w:val="000000"/>
          <w:sz w:val="20"/>
        </w:rPr>
        <w:t>”</w:t>
      </w:r>
      <w:r>
        <w:rPr>
          <w:rFonts w:ascii="Times New Roman" w:hAnsi="Times New Roman"/>
          <w:color w:val="000000"/>
          <w:sz w:val="22"/>
        </w:rPr>
        <w:t>: at any date, an amount equal to, the total assets of the Borrower and its Subsidiaries determined on a consolidated basis in accordance with GAAP as of such date minus all intangible assets (including, without limitation, goodwill and rights to use assets-operating leases) as of such day which are included in such calculation of total assets on a consolidated basis in accordance with GAAP.</w:t>
      </w:r>
    </w:p>
    <w:p>
      <w:pPr>
        <w:pStyle w:val="TextBody"/>
        <w:bidi w:val="0"/>
        <w:spacing w:before="0" w:after="240"/>
        <w:jc w:val="both"/>
        <w:rPr/>
      </w:pPr>
      <w:r>
        <w:rPr>
          <w:color w:val="000000"/>
        </w:rPr>
        <w:t>“</w:t>
      </w:r>
      <w:r>
        <w:rPr>
          <w:rFonts w:ascii="Times New Roman" w:hAnsi="Times New Roman"/>
          <w:color w:val="000000"/>
          <w:sz w:val="22"/>
          <w:u w:val="single"/>
        </w:rPr>
        <w:t>Consolidated Total Debt</w:t>
      </w:r>
      <w:r>
        <w:rPr>
          <w:rFonts w:ascii="Times New Roman" w:hAnsi="Times New Roman"/>
          <w:color w:val="000000"/>
          <w:sz w:val="20"/>
        </w:rPr>
        <w:t>”</w:t>
      </w:r>
      <w:r>
        <w:rPr>
          <w:rFonts w:ascii="Times New Roman" w:hAnsi="Times New Roman"/>
          <w:color w:val="000000"/>
          <w:sz w:val="22"/>
        </w:rPr>
        <w:t xml:space="preserve">: at any date, an amount equal to (i) the Indebtedness of the Borrower and its Subsidiaries, determined on a consolidated basis in accordance with GAAP as of such date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(ii) the aggregate amount of unrestricted cash and Cash Equivalents of the Borrower and its Subsidiaries.</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Consolidated Working Capital</w:t>
      </w:r>
      <w:r>
        <w:rPr>
          <w:rFonts w:ascii="Times New Roman" w:hAnsi="Times New Roman"/>
          <w:color w:val="000000"/>
          <w:sz w:val="20"/>
        </w:rPr>
        <w:t>”</w:t>
      </w:r>
      <w:r>
        <w:rPr>
          <w:rFonts w:ascii="Times New Roman" w:hAnsi="Times New Roman"/>
          <w:color w:val="000000"/>
          <w:sz w:val="22"/>
        </w:rPr>
        <w:t>: at any date, the excess of Consolidated Current Assets on such date over Consolidated Current Liabilities on such date.</w:t>
      </w:r>
    </w:p>
    <w:p>
      <w:pPr>
        <w:pStyle w:val="TextBody"/>
        <w:bidi w:val="0"/>
        <w:spacing w:before="0" w:after="240"/>
        <w:jc w:val="both"/>
        <w:rPr/>
      </w:pPr>
      <w:r>
        <w:rPr>
          <w:color w:val="000000"/>
        </w:rPr>
        <w:t>“</w:t>
      </w:r>
      <w:r>
        <w:rPr>
          <w:rFonts w:ascii="Times New Roman" w:hAnsi="Times New Roman"/>
          <w:color w:val="000000"/>
          <w:sz w:val="22"/>
          <w:u w:val="single"/>
        </w:rPr>
        <w:t>Continuing Directors</w:t>
      </w:r>
      <w:r>
        <w:rPr>
          <w:rFonts w:ascii="Times New Roman" w:hAnsi="Times New Roman"/>
          <w:color w:val="000000"/>
          <w:sz w:val="20"/>
        </w:rPr>
        <w:t>”</w:t>
      </w:r>
      <w:r>
        <w:rPr>
          <w:rFonts w:ascii="Times New Roman" w:hAnsi="Times New Roman"/>
          <w:color w:val="000000"/>
          <w:sz w:val="22"/>
        </w:rPr>
        <w:t>: the directors of the Borrower on the Closing Date, after giving effect to all transactions consummated on such date, and each other director, if, in each case, such other director’s nomination for election to the board of directors of the Borrower is recommended by at least 66-2/3% of the then Continuing Directors or whose election to the board of directors of the Borrower is approved by at least 66-2/3% of the then Continuing Directors.</w:t>
      </w:r>
    </w:p>
    <w:p>
      <w:pPr>
        <w:pStyle w:val="TextBody"/>
        <w:bidi w:val="0"/>
        <w:spacing w:before="0" w:after="240"/>
        <w:jc w:val="both"/>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w:t>
      </w:r>
      <w:r>
        <w:rPr>
          <w:rFonts w:ascii="Times New Roman" w:hAnsi="Times New Roman"/>
          <w:color w:val="000000"/>
          <w:sz w:val="22"/>
        </w:rPr>
        <w:t>: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color w:val="000000"/>
          <w:sz w:val="22"/>
          <w:u w:val="single"/>
        </w:rPr>
        <w:t>Convertible Notes</w:t>
      </w:r>
      <w:r>
        <w:rPr>
          <w:rFonts w:ascii="Times New Roman" w:hAnsi="Times New Roman"/>
          <w:color w:val="000000"/>
          <w:sz w:val="20"/>
        </w:rPr>
        <w:t>”</w:t>
      </w:r>
      <w:r>
        <w:rPr>
          <w:rFonts w:ascii="Times New Roman" w:hAnsi="Times New Roman"/>
          <w:color w:val="000000"/>
          <w:sz w:val="22"/>
        </w:rPr>
        <w:t>: Indebtedness of the Borrower that is optionally convertible into common stock of the Borrower (and/or cash based on the value of such common stock) and/or Indebtedness of a Subsidiary of the Borrower that is optionally exchangeable for common stock of the Borrower (and/or cash based on the value of such common stock).</w:t>
      </w:r>
    </w:p>
    <w:p>
      <w:pPr>
        <w:pStyle w:val="TextBody"/>
        <w:bidi w:val="0"/>
        <w:spacing w:before="0" w:after="240"/>
        <w:jc w:val="both"/>
        <w:rPr/>
      </w:pPr>
      <w:r>
        <w:rPr>
          <w:color w:val="000000"/>
        </w:rPr>
        <w:t>“</w:t>
      </w:r>
      <w:r>
        <w:rPr>
          <w:rFonts w:ascii="Times New Roman" w:hAnsi="Times New Roman"/>
          <w:color w:val="000000"/>
          <w:sz w:val="22"/>
          <w:u w:val="single"/>
        </w:rPr>
        <w:t>Corresponding Tenor</w:t>
      </w:r>
      <w:r>
        <w:rPr>
          <w:rFonts w:ascii="Times New Roman" w:hAnsi="Times New Roman"/>
          <w:color w:val="000000"/>
          <w:sz w:val="20"/>
        </w:rPr>
        <w:t>”</w:t>
      </w:r>
      <w:r>
        <w:rPr>
          <w:rFonts w:ascii="Times New Roman" w:hAnsi="Times New Roman"/>
          <w:color w:val="000000"/>
          <w:sz w:val="22"/>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w:t>
      </w:r>
      <w:r>
        <w:rPr>
          <w:rFonts w:ascii="Times New Roman" w:hAnsi="Times New Roman"/>
          <w:color w:val="000000"/>
          <w:sz w:val="22"/>
        </w:rPr>
        <w:t>: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“covered entity” as that term is defined in, and interpreted in accordance with, 12 C.F.R. § 252.82(b);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“covered bank” as that term is defined in, and interpreted in accordance with, 12 C.F.R. § 47.3(b);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as defined in ‎Section 10.19.</w:t>
      </w:r>
    </w:p>
    <w:p>
      <w:pPr>
        <w:pStyle w:val="TextBody"/>
        <w:bidi w:val="0"/>
        <w:spacing w:before="0" w:after="240"/>
        <w:jc w:val="both"/>
        <w:rPr/>
      </w:pPr>
      <w:r>
        <w:rPr>
          <w:color w:val="000000"/>
        </w:rPr>
        <w:t>“</w:t>
      </w:r>
      <w:r>
        <w:rPr>
          <w:rFonts w:ascii="Times New Roman" w:hAnsi="Times New Roman"/>
          <w:color w:val="000000"/>
          <w:sz w:val="22"/>
          <w:u w:val="single"/>
        </w:rPr>
        <w:t>Credit Party</w:t>
      </w:r>
      <w:r>
        <w:rPr>
          <w:rFonts w:ascii="Times New Roman" w:hAnsi="Times New Roman"/>
          <w:color w:val="000000"/>
          <w:sz w:val="20"/>
        </w:rPr>
        <w:t>”</w:t>
      </w:r>
      <w:r>
        <w:rPr>
          <w:rFonts w:ascii="Times New Roman" w:hAnsi="Times New Roman"/>
          <w:color w:val="000000"/>
          <w:sz w:val="22"/>
        </w:rPr>
        <w:t>: the Administrative Agent, the Issuing Lender, the Swingline Lender or any other Lender.</w:t>
      </w:r>
    </w:p>
    <w:p>
      <w:pPr>
        <w:pStyle w:val="TextBody"/>
        <w:bidi w:val="0"/>
        <w:spacing w:before="0" w:after="240"/>
        <w:jc w:val="both"/>
        <w:rPr/>
      </w:pPr>
      <w:r>
        <w:rPr>
          <w:color w:val="000000"/>
        </w:rPr>
        <w:t>“</w:t>
      </w:r>
      <w:r>
        <w:rPr>
          <w:rFonts w:ascii="Times New Roman" w:hAnsi="Times New Roman"/>
          <w:color w:val="000000"/>
          <w:sz w:val="22"/>
          <w:u w:val="single"/>
        </w:rPr>
        <w:t>Daily Simple SOFR</w:t>
      </w:r>
      <w:r>
        <w:rPr>
          <w:rFonts w:ascii="Times New Roman" w:hAnsi="Times New Roman"/>
          <w:color w:val="000000"/>
          <w:sz w:val="20"/>
        </w:rPr>
        <w:t>”</w:t>
      </w:r>
      <w:r>
        <w:rPr>
          <w:rFonts w:ascii="Times New Roman" w:hAnsi="Times New Roman"/>
          <w:color w:val="000000"/>
          <w:sz w:val="22"/>
        </w:rPr>
        <w:t>: for any day (a “</w:t>
      </w:r>
      <w:r>
        <w:rPr>
          <w:rFonts w:ascii="Times New Roman" w:hAnsi="Times New Roman"/>
          <w:color w:val="000000"/>
          <w:sz w:val="22"/>
          <w:u w:val="single"/>
        </w:rPr>
        <w:t>SOFR Rate Day</w:t>
      </w:r>
      <w:r>
        <w:rPr>
          <w:rFonts w:ascii="Times New Roman" w:hAnsi="Times New Roman"/>
          <w:color w:val="000000"/>
          <w:sz w:val="20"/>
        </w:rPr>
        <w:t>”</w:t>
      </w:r>
      <w:r>
        <w:rPr>
          <w:rFonts w:ascii="Times New Roman" w:hAnsi="Times New Roman"/>
          <w:color w:val="000000"/>
          <w:sz w:val="22"/>
        </w:rPr>
        <w:t>), a rate per annum equal SOFR for the day (such day “</w:t>
      </w:r>
      <w:r>
        <w:rPr>
          <w:rFonts w:ascii="Times New Roman" w:hAnsi="Times New Roman"/>
          <w:color w:val="000000"/>
          <w:sz w:val="22"/>
          <w:u w:val="single"/>
        </w:rPr>
        <w:t>SOFR Determination Date</w:t>
      </w:r>
      <w:r>
        <w:rPr>
          <w:rFonts w:ascii="Times New Roman" w:hAnsi="Times New Roman"/>
          <w:color w:val="000000"/>
          <w:sz w:val="20"/>
        </w:rPr>
        <w:t>”</w:t>
      </w:r>
      <w:r>
        <w:rPr>
          <w:rFonts w:ascii="Times New Roman" w:hAnsi="Times New Roman"/>
          <w:color w:val="000000"/>
          <w:sz w:val="22"/>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Website.Any change in Daily Simple SOFR due to a change in SOFR shall be effective from and including the effective date of such change in SOFR without notice to the Borrower.</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w:t>
      </w:r>
      <w:r>
        <w:rPr>
          <w:rFonts w:ascii="Times New Roman" w:hAnsi="Times New Roman"/>
          <w:color w:val="000000"/>
          <w:sz w:val="22"/>
        </w:rPr>
        <w:t>: any of the events specified in Section 8, whether or not any requirement for the giving of notice, the lapse of time, or both, has been satisfied.</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0"/>
        </w:rPr>
        <w:t>”</w:t>
      </w:r>
      <w:r>
        <w:rPr>
          <w:rFonts w:ascii="Times New Roman" w:hAnsi="Times New Roman"/>
          <w:color w:val="000000"/>
          <w:sz w:val="22"/>
        </w:rPr>
        <w:t xml:space="preserve">: any Lender that (a) has failed, within two Business Days of the date required to be funded or paid, to (i) fund any portion of its Revolving Loans, (ii) fund any portion of its 2026 Delayed Draw Term Loans, (iii) fund any portion of its </w:t>
      </w:r>
      <w:r>
        <w:rPr>
          <w:rFonts w:ascii="Times New Roman" w:hAnsi="Times New Roman"/>
          <w:color w:val="0000FF"/>
          <w:sz w:val="22"/>
          <w:u w:val="single"/>
        </w:rPr>
        <w:t xml:space="preserve">2026-2 Delayed Draw Term Loans, (iv) fund any portion of its </w:t>
      </w:r>
      <w:r>
        <w:rPr>
          <w:rFonts w:ascii="Times New Roman" w:hAnsi="Times New Roman"/>
          <w:color w:val="000000"/>
          <w:sz w:val="22"/>
        </w:rPr>
        <w:t>participations in Letters of Credit or Swingline Loans or (</w:t>
      </w:r>
      <w:r>
        <w:rPr>
          <w:rFonts w:ascii="Times New Roman" w:hAnsi="Times New Roman"/>
          <w:strike/>
          <w:color w:val="FF0000"/>
          <w:sz w:val="22"/>
        </w:rPr>
        <w:t>iv</w:t>
      </w:r>
      <w:r>
        <w:rPr>
          <w:rFonts w:ascii="Times New Roman" w:hAnsi="Times New Roman"/>
          <w:color w:val="0000FF"/>
          <w:sz w:val="22"/>
          <w:u w:val="single"/>
        </w:rPr>
        <w:t>v</w:t>
      </w:r>
      <w:r>
        <w:rPr>
          <w:rFonts w:ascii="Times New Roman" w:hAnsi="Times New Roman"/>
          <w:color w:val="000000"/>
          <w:sz w:val="22"/>
        </w:rPr>
        <w:t xml:space="preserve">) pay over to any Credit Party any other amount required to be paid by it hereunder, unless, in the case of clause (i) or (ii)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written request by a Credit Party, acting in good faith, to provide a certification in writing from an authorized officer of such Lender that it will comply with its funding obligations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Lender shall cease to be a Defaulting Lender pursuant to this clause (c) upon such Credit Party’s receipt of such certification in form and substance satisfactory to it and the Administrative Agent, (d) has become the subject of a Bankruptcy Event or (e) has become the subject of a Bail-In Action.</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w:t>
      </w:r>
      <w:r>
        <w:rPr>
          <w:rFonts w:ascii="Times New Roman" w:hAnsi="Times New Roman"/>
          <w:color w:val="000000"/>
          <w:sz w:val="22"/>
        </w:rPr>
        <w:t>: has the meaning assigned to that term in, and shall be interpreted 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2"/>
          <w:u w:val="single"/>
        </w:rPr>
        <w:t>Disposition</w:t>
      </w:r>
      <w:r>
        <w:rPr>
          <w:rFonts w:ascii="Times New Roman" w:hAnsi="Times New Roman"/>
          <w:color w:val="000000"/>
          <w:sz w:val="20"/>
        </w:rPr>
        <w:t>”</w:t>
      </w:r>
      <w:r>
        <w:rPr>
          <w:rFonts w:ascii="Times New Roman" w:hAnsi="Times New Roman"/>
          <w:color w:val="000000"/>
          <w:sz w:val="22"/>
        </w:rPr>
        <w:t>: with respect to any property, any sale, lease, sale and leaseback, assignment, conveyance, transfer or other disposition thereof (in one transaction or in a series of transactions and whether effected pursuant to a Division or otherwise). The terms “</w:t>
      </w:r>
      <w:r>
        <w:rPr>
          <w:rFonts w:ascii="Times New Roman" w:hAnsi="Times New Roman"/>
          <w:color w:val="000000"/>
          <w:sz w:val="22"/>
          <w:u w:val="single"/>
        </w:rPr>
        <w:t>Dispose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Disposed of</w:t>
      </w:r>
      <w:r>
        <w:rPr>
          <w:rFonts w:ascii="Times New Roman" w:hAnsi="Times New Roman"/>
          <w:color w:val="000000"/>
          <w:sz w:val="20"/>
        </w:rPr>
        <w:t xml:space="preserve">” </w:t>
      </w:r>
      <w:r>
        <w:rPr>
          <w:rFonts w:ascii="Times New Roman" w:hAnsi="Times New Roman"/>
          <w:color w:val="000000"/>
          <w:sz w:val="22"/>
        </w:rPr>
        <w:t>shall have correlative meanings.</w:t>
      </w:r>
    </w:p>
    <w:p>
      <w:pPr>
        <w:pStyle w:val="TextBody"/>
        <w:bidi w:val="0"/>
        <w:spacing w:before="0" w:after="240"/>
        <w:jc w:val="both"/>
        <w:rPr/>
      </w:pPr>
      <w:r>
        <w:rPr>
          <w:color w:val="000000"/>
        </w:rPr>
        <w:t>“</w:t>
      </w:r>
      <w:r>
        <w:rPr>
          <w:rFonts w:ascii="Times New Roman" w:hAnsi="Times New Roman"/>
          <w:color w:val="000000"/>
          <w:sz w:val="22"/>
          <w:u w:val="single"/>
        </w:rPr>
        <w:t>Dividing Person</w:t>
      </w:r>
      <w:r>
        <w:rPr>
          <w:rFonts w:ascii="Times New Roman" w:hAnsi="Times New Roman"/>
          <w:color w:val="000000"/>
          <w:sz w:val="20"/>
        </w:rPr>
        <w:t>”</w:t>
      </w:r>
      <w:r>
        <w:rPr>
          <w:rFonts w:ascii="Times New Roman" w:hAnsi="Times New Roman"/>
          <w:color w:val="000000"/>
          <w:sz w:val="22"/>
        </w:rPr>
        <w:t>: has the meaning assigned to it in the definition of “Division”.</w:t>
      </w:r>
    </w:p>
    <w:p>
      <w:pPr>
        <w:pStyle w:val="TextBody"/>
        <w:bidi w:val="0"/>
        <w:spacing w:before="0" w:after="240"/>
        <w:jc w:val="both"/>
        <w:rPr/>
      </w:pPr>
      <w:r>
        <w:rPr>
          <w:color w:val="000000"/>
        </w:rPr>
        <w:t>“</w:t>
      </w:r>
      <w:r>
        <w:rPr>
          <w:rFonts w:ascii="Times New Roman" w:hAnsi="Times New Roman"/>
          <w:color w:val="000000"/>
          <w:sz w:val="22"/>
          <w:u w:val="single"/>
        </w:rPr>
        <w:t>Division</w:t>
      </w:r>
      <w:r>
        <w:rPr>
          <w:rFonts w:ascii="Times New Roman" w:hAnsi="Times New Roman"/>
          <w:color w:val="000000"/>
          <w:sz w:val="20"/>
        </w:rPr>
        <w:t>”</w:t>
      </w:r>
      <w:r>
        <w:rPr>
          <w:rFonts w:ascii="Times New Roman" w:hAnsi="Times New Roman"/>
          <w:color w:val="000000"/>
          <w:sz w:val="22"/>
        </w:rPr>
        <w:t>: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pStyle w:val="TextBody"/>
        <w:bidi w:val="0"/>
        <w:spacing w:before="0" w:after="240"/>
        <w:jc w:val="both"/>
        <w:rPr/>
      </w:pPr>
      <w:r>
        <w:rPr>
          <w:color w:val="000000"/>
        </w:rPr>
        <w:t>“</w:t>
      </w:r>
      <w:r>
        <w:rPr>
          <w:rFonts w:ascii="Times New Roman" w:hAnsi="Times New Roman"/>
          <w:color w:val="000000"/>
          <w:sz w:val="22"/>
          <w:u w:val="single"/>
        </w:rPr>
        <w:t>Division Successor</w:t>
      </w:r>
      <w:r>
        <w:rPr>
          <w:rFonts w:ascii="Times New Roman" w:hAnsi="Times New Roman"/>
          <w:color w:val="000000"/>
          <w:sz w:val="20"/>
        </w:rPr>
        <w:t>”</w:t>
      </w:r>
      <w:r>
        <w:rPr>
          <w:rFonts w:ascii="Times New Roman" w:hAnsi="Times New Roman"/>
          <w:color w:val="000000"/>
          <w:sz w:val="22"/>
        </w:rPr>
        <w:t>: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w:t>
      </w:r>
      <w:r>
        <w:rPr>
          <w:rFonts w:ascii="Times New Roman" w:hAnsi="Times New Roman"/>
          <w:color w:val="000000"/>
          <w:sz w:val="20"/>
        </w:rPr>
        <w:t>”</w:t>
      </w:r>
      <w:r>
        <w:rPr>
          <w:rFonts w:ascii="Times New Roman" w:hAnsi="Times New Roman"/>
          <w:color w:val="000000"/>
          <w:sz w:val="22"/>
        </w:rPr>
        <w:t>: dollars in lawful currency of the United States.</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w:t>
      </w:r>
      <w:r>
        <w:rPr>
          <w:rFonts w:ascii="Times New Roman" w:hAnsi="Times New Roman"/>
          <w:color w:val="000000"/>
          <w:sz w:val="22"/>
        </w:rPr>
        <w:t>: any Subsidiary of the Borrower organized under the laws of the United States, any state, territory or commonwealth thereof or the District of Columbia (other than any such Subsidiary that is treated as a disregarded entity for United States Federal income tax purposes, is a CFC or substantially all of whose assets consist (directly or indirectly through disregarded entities) of the Capital Stock and/or Indebtedness of one or more CFCs).</w:t>
      </w:r>
    </w:p>
    <w:p>
      <w:pPr>
        <w:pStyle w:val="TextBody"/>
        <w:bidi w:val="0"/>
        <w:spacing w:before="0" w:after="24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w:t>
      </w:r>
      <w:r>
        <w:rPr>
          <w:rFonts w:ascii="Times New Roman" w:hAnsi="Times New Roman"/>
          <w:color w:val="000000"/>
          <w:sz w:val="22"/>
        </w:rPr>
        <w:t>: (a) any credit institution or investment firm established in any EEA Member Country which is subject to the supervision of an EEA Resolution Authority, (b) any entity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w:t>
      </w:r>
      <w:r>
        <w:rPr>
          <w:rFonts w:ascii="Times New Roman" w:hAnsi="Times New Roman"/>
          <w:color w:val="000000"/>
          <w:sz w:val="22"/>
        </w:rPr>
        <w:t>: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w:t>
      </w:r>
      <w:r>
        <w:rPr>
          <w:rFonts w:ascii="Times New Roman" w:hAnsi="Times New Roman"/>
          <w:color w:val="000000"/>
          <w:sz w:val="22"/>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2"/>
          <w:u w:val="single"/>
        </w:rPr>
        <w:t>Eighth Amendment</w:t>
      </w:r>
      <w:r>
        <w:rPr>
          <w:rFonts w:ascii="Times New Roman" w:hAnsi="Times New Roman"/>
          <w:color w:val="000000"/>
          <w:sz w:val="20"/>
        </w:rPr>
        <w:t>”</w:t>
      </w:r>
      <w:r>
        <w:rPr>
          <w:rFonts w:ascii="Times New Roman" w:hAnsi="Times New Roman"/>
          <w:color w:val="000000"/>
          <w:sz w:val="22"/>
        </w:rPr>
        <w:t>: the eighth amendment, dated as of September 10, 2021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Electronic Signature</w:t>
      </w:r>
      <w:r>
        <w:rPr>
          <w:rFonts w:ascii="Times New Roman" w:hAnsi="Times New Roman"/>
          <w:color w:val="000000"/>
          <w:sz w:val="20"/>
        </w:rPr>
        <w:t>”</w:t>
      </w:r>
      <w:r>
        <w:rPr>
          <w:rFonts w:ascii="Times New Roman" w:hAnsi="Times New Roman"/>
          <w:color w:val="000000"/>
          <w:sz w:val="22"/>
        </w:rPr>
        <w:t>: an electronic sound, symbol, or process attached to, or associated with, a contract or other record and adopted by a Person with the intent to sign, authenticate or accept such contract or record.</w:t>
      </w:r>
    </w:p>
    <w:p>
      <w:pPr>
        <w:pStyle w:val="TextBody"/>
        <w:bidi w:val="0"/>
        <w:spacing w:before="0" w:after="240"/>
        <w:jc w:val="both"/>
        <w:rPr/>
      </w:pPr>
      <w:r>
        <w:rPr>
          <w:color w:val="000000"/>
        </w:rPr>
        <w:t>“</w:t>
      </w:r>
      <w:r>
        <w:rPr>
          <w:rFonts w:ascii="Times New Roman" w:hAnsi="Times New Roman"/>
          <w:color w:val="000000"/>
          <w:sz w:val="22"/>
          <w:u w:val="single"/>
        </w:rPr>
        <w:t>Eleventh Amendment</w:t>
      </w:r>
      <w:r>
        <w:rPr>
          <w:rFonts w:ascii="Times New Roman" w:hAnsi="Times New Roman"/>
          <w:color w:val="000000"/>
          <w:sz w:val="20"/>
        </w:rPr>
        <w:t>”</w:t>
      </w:r>
      <w:r>
        <w:rPr>
          <w:rFonts w:ascii="Times New Roman" w:hAnsi="Times New Roman"/>
          <w:color w:val="000000"/>
          <w:sz w:val="22"/>
        </w:rPr>
        <w:t>: the eleventh amendment and Increased Facility Activation Notice, dated as of April 22, 2026 by and among the Borrower, the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Eleventh Amendment Effective Date</w:t>
      </w:r>
      <w:r>
        <w:rPr>
          <w:rFonts w:ascii="Times New Roman" w:hAnsi="Times New Roman"/>
          <w:color w:val="000000"/>
          <w:sz w:val="20"/>
        </w:rPr>
        <w:t>”</w:t>
      </w:r>
      <w:r>
        <w:rPr>
          <w:rFonts w:ascii="Times New Roman" w:hAnsi="Times New Roman"/>
          <w:color w:val="000000"/>
          <w:sz w:val="22"/>
        </w:rPr>
        <w:t>: as defined in the Eleventh Amendment.</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w:t>
      </w:r>
      <w:r>
        <w:rPr>
          <w:rFonts w:ascii="Times New Roman" w:hAnsi="Times New Roman"/>
          <w:color w:val="000000"/>
          <w:sz w:val="22"/>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w:t>
      </w:r>
      <w:r>
        <w:rPr>
          <w:rFonts w:ascii="Times New Roman" w:hAnsi="Times New Roman"/>
          <w:color w:val="000000"/>
          <w:sz w:val="22"/>
        </w:rPr>
        <w:t>: the Employee Retirement Income Security Act of 1974, as amended from time to time.</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w:t>
      </w:r>
      <w:r>
        <w:rPr>
          <w:rFonts w:ascii="Times New Roman" w:hAnsi="Times New Roman"/>
          <w:color w:val="000000"/>
          <w:sz w:val="22"/>
        </w:rPr>
        <w:t>: any trade or business (whether or not incorporated) that, together with any Group Member, is treated as a single employer under Section 414 of the Code or is under common control with a Group Member under Section 4001 of ERISA.</w:t>
      </w:r>
    </w:p>
    <w:p>
      <w:pPr>
        <w:pStyle w:val="TextBody"/>
        <w:bidi w:val="0"/>
        <w:spacing w:before="0" w:after="240"/>
        <w:jc w:val="both"/>
        <w:rPr/>
      </w:pPr>
      <w:r>
        <w:rPr>
          <w:color w:val="000000"/>
        </w:rPr>
        <w:t>“</w:t>
      </w:r>
      <w:r>
        <w:rPr>
          <w:rFonts w:ascii="Times New Roman" w:hAnsi="Times New Roman"/>
          <w:color w:val="000000"/>
          <w:sz w:val="22"/>
          <w:u w:val="single"/>
        </w:rPr>
        <w:t>ERISA Event</w:t>
      </w:r>
      <w:r>
        <w:rPr>
          <w:rFonts w:ascii="Times New Roman" w:hAnsi="Times New Roman"/>
          <w:color w:val="000000"/>
          <w:sz w:val="20"/>
        </w:rPr>
        <w:t>”</w:t>
      </w:r>
      <w:r>
        <w:rPr>
          <w:rFonts w:ascii="Times New Roman" w:hAnsi="Times New Roman"/>
          <w:color w:val="000000"/>
          <w:sz w:val="22"/>
        </w:rPr>
        <w:t>: (a) any Reportable Event; (b) the occurrence of any non-exempt “prohibited transaction,” as described in Section 406 of ERISA or Section 4975 of the Code, in connection with any Plan or any trust created thereunder; (c) any failure by any Pension Plan to satisfy the minimum funding standards (within the meaning of Section 412 of the Code or Section 302 of ERISA), whether or not waived; (d) the filing pursuant to Section 412 of the Code or Section 302 of ERISA of an application for a waiver of the minimum funding standard with respect to any Pension Plan, any failure by any Group Member of any ERISA Affiliate to make by its due date a required installment under Section 430(j) of the Code with respect to any Pension Plan or the failure by any Group Member or any ERISA Affiliate to make any required contribution to a Multiemployer Plan; (e) the incurrence by any Group Member or any ERISA Affiliate of any liability under Title IV of ERISA with respect to the termination of any Pension Plan, including but not limited to the imposition of any Lien in favor of the PBGC or any Pension Plan; (f) a determination that any Pension Plan is, or is expected to be, in “at risk” status (within the meaning of Section 430 of the Code or Section 303 of ERISA); (g) the receipt by any Group Member or any ERISA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Affiliate from the PBGC or a plan administrator of any notice relating to an intention to terminate any Pension Plan or to appoint a trustee to administer any Pension Plan under Section 4042 of ERISA; (h) the incurrence by any Group Member or any ERISA Affiliate of any liability with respect to the withdrawal or partial withdrawal from any Pension Plan or Withdrawal Liability from any Multiemployer Plan; (i) the receipt by any Group Member or any ERISA Affiliate of any notice, or the receipt by any Multiemployer Plan from a Group Member or any ERISA Affiliate of any notice, concerning the imposition of Withdrawal Liability or a determination that a Multiemployer Plan is, or is expected to be, Insolvent, terminated (within the meaning of Section 4041A of ERISA) or in endangered or critical status, within the meaning of Section 432 of the Code or Section 305 or Title IV of ERISA; or (j) any Foreign Plan Event.</w:t>
      </w:r>
    </w:p>
    <w:p>
      <w:pPr>
        <w:pStyle w:val="TextBody"/>
        <w:bidi w:val="0"/>
        <w:spacing w:before="0" w:after="24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w:t>
      </w:r>
      <w:r>
        <w:rPr>
          <w:rFonts w:ascii="Times New Roman" w:hAnsi="Times New Roman"/>
          <w:color w:val="000000"/>
          <w:sz w:val="22"/>
        </w:rPr>
        <w:t>: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 xml:space="preserve">: any of the events specified in Section 8,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requirement for the giving of notice, the lapse of time, or both, has been satisfied.</w:t>
      </w:r>
    </w:p>
    <w:p>
      <w:pPr>
        <w:pStyle w:val="TextBody"/>
        <w:bidi w:val="0"/>
        <w:spacing w:before="0" w:after="240"/>
        <w:jc w:val="both"/>
        <w:rPr/>
      </w:pPr>
      <w:r>
        <w:rPr>
          <w:color w:val="000000"/>
        </w:rPr>
        <w:t>“</w:t>
      </w:r>
      <w:r>
        <w:rPr>
          <w:rFonts w:ascii="Times New Roman" w:hAnsi="Times New Roman"/>
          <w:color w:val="000000"/>
          <w:sz w:val="22"/>
          <w:u w:val="single"/>
        </w:rPr>
        <w:t>Excess Cash Flow</w:t>
      </w:r>
      <w:r>
        <w:rPr>
          <w:rFonts w:ascii="Times New Roman" w:hAnsi="Times New Roman"/>
          <w:color w:val="000000"/>
          <w:sz w:val="20"/>
        </w:rPr>
        <w:t>”</w:t>
      </w:r>
      <w:r>
        <w:rPr>
          <w:rFonts w:ascii="Times New Roman" w:hAnsi="Times New Roman"/>
          <w:color w:val="000000"/>
          <w:sz w:val="22"/>
        </w:rPr>
        <w:t>: for any fiscal year of the Borrower, the excess, if any, of (a) the sum, without duplication, of (i) Consolidated Net Income for such fiscal year, (ii) the amount of all non-cash charges (including depreciation and amortization) deducted in arriving at such Consolidated Net Income, (iii) decreases in Consolidated Working Capital for such fiscal year and (iv) the aggregate net amount of non-cash loss on the Disposition of property by the Borrower and its Subsidiaries during such fiscal year (other than sales of inventory in the ordinary course of business), to the extent deducted in arriving at such Consolidated Net Income over (b) the sum, without duplication, of (i) the amount of all non-cash credits included in arriving at such Consolidated Net Income, (ii) the aggregate amount actually paid by the Borrower and its Subsidiaries in cash during such fiscal year on account of Capital Expenditures (excluding the principal amount of Indebtedness incurred in connection with such expenditures and any such expenditures financed with the proceeds of any Reinvestment Deferred Amount), (iii) the aggregate amount of Restricted Payments made pursuant to Section 7.6(c), 7.6(f) or 7.6(g), (iv) the aggregate amount of Investments made in cash pursuant to Section 7.8(e) or 7.8(m), (v) the aggregate amount of all payments of Revolving Loans and Swingline Loans during such fiscal year to the extent accompanying permanent optional reductions of the Revolving Commitments and all optional prepayments of the Term Loans during such fiscal year, (vi) a decrease in the outstanding balance under the Receivables Financing during such fiscal year, (vii) the aggregate amount of all regularly scheduled principal payments of Indebtedness of the Borrower and its Subsidiaries made during such fiscal year (other than in respect of any revolving credit facility to the extent there is not an equivalent permanent reduction in commitments thereunder), (viii) cash expenditures made in respect of Swap Agreements during such period, to the extent not reflected as a subtraction in the computation of Consolidated Net Income or an addition to the Consolidated Interest Expense, (ix) to the extent not expensed during such period or not deducted in calculating Consolidated Net Income, the aggregate amount of cash payments in respect of long-term liabilities or other long-term obligations (other than Indebtedness), related transaction costs and expenditures, fees, costs and expenses paid in cash by the Borrower and the Subsidiaries and not financed using the proceeds of the incurrence of long-term Indebtedness (other than revolving Indebtedness) during such period (including payment and expenditures for related transaction costs, the payment of financing fees and any such amounts netted from the gross amounts that otherwise would have been received under any transaction related thereto), (x) the aggregate amount of Secured Senior Notes redeemed in cash pursuant to Section 7.9, (xi) increases in Consolidated Working Capital for such fiscal year, and (xii) the aggregate net amount of non-cash gain on the Disposition of property by the Borrower and its Subsidiaries during such fiscal year (other than sales of inventory in the ordinary course of business), to the extent included in arriving at such Consolidated Net Income.</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Excluded Foreign Subsidiary</w:t>
      </w:r>
      <w:r>
        <w:rPr>
          <w:rFonts w:ascii="Times New Roman" w:hAnsi="Times New Roman"/>
          <w:color w:val="000000"/>
          <w:sz w:val="20"/>
        </w:rPr>
        <w:t>”</w:t>
      </w:r>
      <w:r>
        <w:rPr>
          <w:rFonts w:ascii="Times New Roman" w:hAnsi="Times New Roman"/>
          <w:color w:val="000000"/>
          <w:sz w:val="22"/>
        </w:rPr>
        <w:t>: any Foreign Subsidiary in respect of which either (a) the pledge of all of the Capital Stock of such Subsidiary as Collateral or (b) the guaranteeing by such Subsidiary of the Obligations, could, in the good faith judgment of the Borrower, result in adverse tax consequences to the Borrower.</w:t>
      </w:r>
    </w:p>
    <w:p>
      <w:pPr>
        <w:pStyle w:val="TextBody"/>
        <w:bidi w:val="0"/>
        <w:spacing w:before="0" w:after="24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w:t>
      </w:r>
      <w:r>
        <w:rPr>
          <w:rFonts w:ascii="Times New Roman" w:hAnsi="Times New Roman"/>
          <w:color w:val="000000"/>
          <w:sz w:val="22"/>
        </w:rPr>
        <w:t>: with respect to any Guarantor,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jc w:val="both"/>
        <w:rPr/>
      </w:pPr>
      <w:r>
        <w:rPr>
          <w:color w:val="000000"/>
        </w:rPr>
        <w:t>“</w:t>
      </w:r>
      <w:r>
        <w:rPr>
          <w:rFonts w:ascii="Times New Roman" w:hAnsi="Times New Roman"/>
          <w:color w:val="000000"/>
          <w:sz w:val="22"/>
          <w:u w:val="single"/>
        </w:rPr>
        <w:t>Existing Letters of Credit</w:t>
      </w:r>
      <w:r>
        <w:rPr>
          <w:rFonts w:ascii="Times New Roman" w:hAnsi="Times New Roman"/>
          <w:color w:val="000000"/>
          <w:sz w:val="20"/>
        </w:rPr>
        <w:t>”</w:t>
      </w:r>
      <w:r>
        <w:rPr>
          <w:rFonts w:ascii="Times New Roman" w:hAnsi="Times New Roman"/>
          <w:color w:val="000000"/>
          <w:sz w:val="22"/>
        </w:rPr>
        <w:t>: the letters of credit set forth on Schedule 1.1E.</w:t>
      </w:r>
    </w:p>
    <w:p>
      <w:pPr>
        <w:pStyle w:val="TextBody"/>
        <w:bidi w:val="0"/>
        <w:spacing w:before="0" w:after="240"/>
        <w:jc w:val="both"/>
        <w:rPr/>
      </w:pPr>
      <w:r>
        <w:rPr>
          <w:color w:val="000000"/>
        </w:rPr>
        <w:t>“</w:t>
      </w:r>
      <w:r>
        <w:rPr>
          <w:rFonts w:ascii="Times New Roman" w:hAnsi="Times New Roman"/>
          <w:color w:val="000000"/>
          <w:sz w:val="22"/>
          <w:u w:val="single"/>
        </w:rPr>
        <w:t>Existing Liens</w:t>
      </w:r>
      <w:r>
        <w:rPr>
          <w:rFonts w:ascii="Times New Roman" w:hAnsi="Times New Roman"/>
          <w:color w:val="000000"/>
          <w:sz w:val="20"/>
        </w:rPr>
        <w:t xml:space="preserve">” </w:t>
      </w:r>
      <w:r>
        <w:rPr>
          <w:rFonts w:ascii="Times New Roman" w:hAnsi="Times New Roman"/>
          <w:color w:val="000000"/>
          <w:sz w:val="22"/>
        </w:rPr>
        <w:t>as defined in Section 10.1(a)(xi).</w:t>
      </w:r>
    </w:p>
    <w:p>
      <w:pPr>
        <w:pStyle w:val="TextBody"/>
        <w:bidi w:val="0"/>
        <w:spacing w:before="0" w:after="240"/>
        <w:jc w:val="both"/>
        <w:rPr/>
      </w:pPr>
      <w:r>
        <w:rPr>
          <w:color w:val="000000"/>
        </w:rPr>
        <w:t>“</w:t>
      </w:r>
      <w:r>
        <w:rPr>
          <w:rFonts w:ascii="Times New Roman" w:hAnsi="Times New Roman"/>
          <w:color w:val="000000"/>
          <w:sz w:val="22"/>
          <w:u w:val="single"/>
        </w:rPr>
        <w:t>Existing Receivables Facility</w:t>
      </w:r>
      <w:r>
        <w:rPr>
          <w:rFonts w:ascii="Times New Roman" w:hAnsi="Times New Roman"/>
          <w:color w:val="000000"/>
          <w:sz w:val="20"/>
        </w:rPr>
        <w:t>”</w:t>
      </w:r>
      <w:r>
        <w:rPr>
          <w:rFonts w:ascii="Times New Roman" w:hAnsi="Times New Roman"/>
          <w:color w:val="000000"/>
          <w:sz w:val="22"/>
        </w:rPr>
        <w:t>: the receivables facility governed by (a) the Amended and Restated Credit and Security Agreement, dated as of October 27, 2010, as amended, among the Borrowers identified therein, UHS Receivables Corp., as Collection Agent, UHS of Delaware, Inc., as Servicer, Universal Health Services, Inc., as Performance Guarantor, PNC Bank, National Association, as LC Bank and Administrative Agent, and the certain other parties thereto and (b) each of the Receivables Sale Agreements referred to in such Amended and Restated Credit and Security Agreement, between the applicable “Grantor” and the “Buyer” specified therein, in each case, as the same may be amended or otherwise modified from time to time to the extent that any such amendment or modification does not increase the aggregate outstanding principal amount of borrowings permitted under the Existing Receivables Facility to an amount greater than $600,000,000.</w:t>
      </w:r>
    </w:p>
    <w:p>
      <w:pPr>
        <w:pStyle w:val="TextBody"/>
        <w:bidi w:val="0"/>
        <w:spacing w:before="0" w:after="240"/>
        <w:jc w:val="both"/>
        <w:rPr/>
      </w:pPr>
      <w:r>
        <w:rPr>
          <w:color w:val="000000"/>
        </w:rPr>
        <w:t>“</w:t>
      </w:r>
      <w:r>
        <w:rPr>
          <w:rFonts w:ascii="Times New Roman" w:hAnsi="Times New Roman"/>
          <w:color w:val="000000"/>
          <w:sz w:val="22"/>
          <w:u w:val="single"/>
        </w:rPr>
        <w:t>Facility</w:t>
      </w:r>
      <w:r>
        <w:rPr>
          <w:rFonts w:ascii="Times New Roman" w:hAnsi="Times New Roman"/>
          <w:color w:val="000000"/>
          <w:sz w:val="20"/>
        </w:rPr>
        <w:t>”</w:t>
      </w:r>
      <w:r>
        <w:rPr>
          <w:rFonts w:ascii="Times New Roman" w:hAnsi="Times New Roman"/>
          <w:color w:val="000000"/>
          <w:sz w:val="22"/>
        </w:rPr>
        <w:t>: each of (a) the Tranche A Term Commitments and the Tranche A Term Loans made thereunder (the “</w:t>
      </w:r>
      <w:r>
        <w:rPr>
          <w:rFonts w:ascii="Times New Roman" w:hAnsi="Times New Roman"/>
          <w:color w:val="000000"/>
          <w:sz w:val="22"/>
          <w:u w:val="single"/>
        </w:rPr>
        <w:t>Tranche A Term Facility</w:t>
      </w:r>
      <w:r>
        <w:rPr>
          <w:rFonts w:ascii="Times New Roman" w:hAnsi="Times New Roman"/>
          <w:color w:val="000000"/>
          <w:sz w:val="20"/>
        </w:rPr>
        <w:t>”</w:t>
      </w:r>
      <w:r>
        <w:rPr>
          <w:rFonts w:ascii="Times New Roman" w:hAnsi="Times New Roman"/>
          <w:color w:val="000000"/>
          <w:sz w:val="22"/>
        </w:rPr>
        <w:t>), (b) the Revolving Commitments and the extensions of credit made thereunder (the “</w:t>
      </w:r>
      <w:r>
        <w:rPr>
          <w:rFonts w:ascii="Times New Roman" w:hAnsi="Times New Roman"/>
          <w:color w:val="000000"/>
          <w:sz w:val="22"/>
          <w:u w:val="single"/>
        </w:rPr>
        <w:t>Revolving Facility</w:t>
      </w:r>
      <w:r>
        <w:rPr>
          <w:rFonts w:ascii="Times New Roman" w:hAnsi="Times New Roman"/>
          <w:color w:val="000000"/>
          <w:sz w:val="20"/>
        </w:rPr>
        <w:t>”</w:t>
      </w:r>
      <w:r>
        <w:rPr>
          <w:rFonts w:ascii="Times New Roman" w:hAnsi="Times New Roman"/>
          <w:color w:val="000000"/>
          <w:sz w:val="22"/>
        </w:rPr>
        <w:t>) and (c) any Incremental Term Facility (including the 2026 Incremental Term Facility</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 Facility and 2026-2 </w:t>
      </w:r>
      <w:r>
        <w:rPr>
          <w:rFonts w:ascii="Times New Roman" w:hAnsi="Times New Roman"/>
          <w:color w:val="000000"/>
          <w:sz w:val="22"/>
        </w:rPr>
        <w:t>Delayed Draw Term Loan Facility).</w:t>
      </w:r>
    </w:p>
    <w:p>
      <w:pPr>
        <w:pStyle w:val="TextBody"/>
        <w:bidi w:val="0"/>
        <w:spacing w:before="0" w:after="24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w:t>
      </w:r>
      <w:r>
        <w:rPr>
          <w:rFonts w:ascii="Times New Roman" w:hAnsi="Times New Roman"/>
          <w:color w:val="000000"/>
          <w:sz w:val="22"/>
        </w:rPr>
        <w:t>: Sections 1471 through 1474 of the Code and any current or future regulations or official interpretations thereof.</w:t>
      </w:r>
    </w:p>
    <w:p>
      <w:pPr>
        <w:pStyle w:val="TextBody"/>
        <w:bidi w:val="0"/>
        <w:spacing w:before="0" w:after="240"/>
        <w:jc w:val="both"/>
        <w:rPr/>
      </w:pPr>
      <w:r>
        <w:rPr>
          <w:color w:val="000000"/>
        </w:rPr>
        <w:t>“</w:t>
      </w:r>
      <w:r>
        <w:rPr>
          <w:rFonts w:ascii="Times New Roman" w:hAnsi="Times New Roman"/>
          <w:color w:val="000000"/>
          <w:sz w:val="22"/>
          <w:u w:val="single"/>
        </w:rPr>
        <w:t>Federal Funds Effective Rate</w:t>
      </w:r>
      <w:r>
        <w:rPr>
          <w:rFonts w:ascii="Times New Roman" w:hAnsi="Times New Roman"/>
          <w:color w:val="000000"/>
          <w:sz w:val="20"/>
        </w:rPr>
        <w:t>”</w:t>
      </w:r>
      <w:r>
        <w:rPr>
          <w:rFonts w:ascii="Times New Roman" w:hAnsi="Times New Roman"/>
          <w:color w:val="000000"/>
          <w:sz w:val="22"/>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Federal Funds Effective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Federal Reserve Board</w:t>
      </w:r>
      <w:r>
        <w:rPr>
          <w:rFonts w:ascii="Times New Roman" w:hAnsi="Times New Roman"/>
          <w:color w:val="000000"/>
          <w:sz w:val="20"/>
        </w:rPr>
        <w:t>”</w:t>
      </w:r>
      <w:r>
        <w:rPr>
          <w:rFonts w:ascii="Times New Roman" w:hAnsi="Times New Roman"/>
          <w:color w:val="000000"/>
          <w:sz w:val="22"/>
        </w:rPr>
        <w:t>: the Board of Governors of the Federal Reserve System of the United States of America.</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Fee Payment Date</w:t>
      </w:r>
      <w:r>
        <w:rPr>
          <w:rFonts w:ascii="Times New Roman" w:hAnsi="Times New Roman"/>
          <w:color w:val="000000"/>
          <w:sz w:val="20"/>
        </w:rPr>
        <w:t>”</w:t>
      </w:r>
      <w:r>
        <w:rPr>
          <w:rFonts w:ascii="Times New Roman" w:hAnsi="Times New Roman"/>
          <w:color w:val="000000"/>
          <w:sz w:val="22"/>
        </w:rPr>
        <w:t>: (a) 15 calendar days following the last day of each March, June, September and December and (b) the last day of the Revolving Commitment Period.</w:t>
      </w:r>
    </w:p>
    <w:p>
      <w:pPr>
        <w:pStyle w:val="TextBody"/>
        <w:bidi w:val="0"/>
        <w:spacing w:before="0" w:after="240"/>
        <w:jc w:val="both"/>
        <w:rPr/>
      </w:pPr>
      <w:r>
        <w:rPr>
          <w:color w:val="000000"/>
        </w:rPr>
        <w:t>“</w:t>
      </w:r>
      <w:r>
        <w:rPr>
          <w:rFonts w:ascii="Times New Roman" w:hAnsi="Times New Roman"/>
          <w:color w:val="000000"/>
          <w:sz w:val="22"/>
          <w:u w:val="single"/>
        </w:rPr>
        <w:t>Fifth Amendment</w:t>
      </w:r>
      <w:r>
        <w:rPr>
          <w:rFonts w:ascii="Times New Roman" w:hAnsi="Times New Roman"/>
          <w:color w:val="000000"/>
          <w:sz w:val="20"/>
        </w:rPr>
        <w:t>”</w:t>
      </w:r>
      <w:r>
        <w:rPr>
          <w:rFonts w:ascii="Times New Roman" w:hAnsi="Times New Roman"/>
          <w:color w:val="000000"/>
          <w:sz w:val="22"/>
        </w:rPr>
        <w:t>: the fifth amendment, dated as of June 7, 2016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First Amendment</w:t>
      </w:r>
      <w:r>
        <w:rPr>
          <w:rFonts w:ascii="Times New Roman" w:hAnsi="Times New Roman"/>
          <w:color w:val="000000"/>
          <w:sz w:val="20"/>
        </w:rPr>
        <w:t>”</w:t>
      </w:r>
      <w:r>
        <w:rPr>
          <w:rFonts w:ascii="Times New Roman" w:hAnsi="Times New Roman"/>
          <w:color w:val="000000"/>
          <w:sz w:val="22"/>
        </w:rPr>
        <w:t>: the First Amendment, dated as of March 15, 2011, to this Agreement.</w:t>
      </w:r>
    </w:p>
    <w:p>
      <w:pPr>
        <w:pStyle w:val="TextBody"/>
        <w:bidi w:val="0"/>
        <w:spacing w:before="0" w:after="240"/>
        <w:jc w:val="both"/>
        <w:rPr/>
      </w:pPr>
      <w:r>
        <w:rPr>
          <w:color w:val="000000"/>
        </w:rPr>
        <w:t>“</w:t>
      </w:r>
      <w:r>
        <w:rPr>
          <w:rFonts w:ascii="Times New Roman" w:hAnsi="Times New Roman"/>
          <w:color w:val="000000"/>
          <w:sz w:val="22"/>
          <w:u w:val="single"/>
        </w:rPr>
        <w:t>Floor</w:t>
      </w:r>
      <w:r>
        <w:rPr>
          <w:rFonts w:ascii="Times New Roman" w:hAnsi="Times New Roman"/>
          <w:color w:val="000000"/>
          <w:sz w:val="20"/>
        </w:rPr>
        <w:t>”</w:t>
      </w:r>
      <w:r>
        <w:rPr>
          <w:rFonts w:ascii="Times New Roman" w:hAnsi="Times New Roman"/>
          <w:color w:val="000000"/>
          <w:sz w:val="22"/>
        </w:rPr>
        <w:t>: the benchmark rate floor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and the Adjusted Daily Simple SOFR shall be 0.0%.</w:t>
      </w:r>
    </w:p>
    <w:p>
      <w:pPr>
        <w:pStyle w:val="TextBody"/>
        <w:bidi w:val="0"/>
        <w:spacing w:before="0" w:after="240"/>
        <w:jc w:val="both"/>
        <w:rPr/>
      </w:pPr>
      <w:r>
        <w:rPr>
          <w:color w:val="000000"/>
        </w:rPr>
        <w:t>“</w:t>
      </w:r>
      <w:r>
        <w:rPr>
          <w:rFonts w:ascii="Times New Roman" w:hAnsi="Times New Roman"/>
          <w:color w:val="000000"/>
          <w:sz w:val="22"/>
          <w:u w:val="single"/>
        </w:rPr>
        <w:t>Foreign Benefit Arrangement</w:t>
      </w:r>
      <w:r>
        <w:rPr>
          <w:rFonts w:ascii="Times New Roman" w:hAnsi="Times New Roman"/>
          <w:color w:val="000000"/>
          <w:sz w:val="20"/>
        </w:rPr>
        <w:t>”</w:t>
      </w:r>
      <w:r>
        <w:rPr>
          <w:rFonts w:ascii="Times New Roman" w:hAnsi="Times New Roman"/>
          <w:color w:val="000000"/>
          <w:sz w:val="22"/>
        </w:rPr>
        <w:t>: any employee benefit arrangement mandated by non-US law that is maintained or contributed to by any Group Member or any ERISA Affiliate.</w:t>
      </w:r>
    </w:p>
    <w:p>
      <w:pPr>
        <w:pStyle w:val="TextBody"/>
        <w:bidi w:val="0"/>
        <w:spacing w:before="0" w:after="240"/>
        <w:jc w:val="both"/>
        <w:rPr/>
      </w:pPr>
      <w:r>
        <w:rPr>
          <w:color w:val="000000"/>
        </w:rPr>
        <w:t>“</w:t>
      </w:r>
      <w:r>
        <w:rPr>
          <w:rFonts w:ascii="Times New Roman" w:hAnsi="Times New Roman"/>
          <w:color w:val="000000"/>
          <w:sz w:val="22"/>
          <w:u w:val="single"/>
        </w:rPr>
        <w:t>Foreign Plan</w:t>
      </w:r>
      <w:r>
        <w:rPr>
          <w:rFonts w:ascii="Times New Roman" w:hAnsi="Times New Roman"/>
          <w:color w:val="000000"/>
          <w:sz w:val="20"/>
        </w:rPr>
        <w:t>”</w:t>
      </w:r>
      <w:r>
        <w:rPr>
          <w:rFonts w:ascii="Times New Roman" w:hAnsi="Times New Roman"/>
          <w:color w:val="000000"/>
          <w:sz w:val="22"/>
        </w:rPr>
        <w:t>: each employee benefit plan (within the meaning of Section 3(3) of ERISA, whether or not subject to ERISA) that is not subject to US law and is maintained or contributed to by any Group Member or any ERISA Affiliate.</w:t>
      </w:r>
    </w:p>
    <w:p>
      <w:pPr>
        <w:pStyle w:val="TextBody"/>
        <w:bidi w:val="0"/>
        <w:spacing w:before="0" w:after="240"/>
        <w:jc w:val="both"/>
        <w:rPr/>
      </w:pPr>
      <w:r>
        <w:rPr>
          <w:color w:val="000000"/>
        </w:rPr>
        <w:t>“</w:t>
      </w:r>
      <w:r>
        <w:rPr>
          <w:rFonts w:ascii="Times New Roman" w:hAnsi="Times New Roman"/>
          <w:color w:val="000000"/>
          <w:sz w:val="22"/>
          <w:u w:val="single"/>
        </w:rPr>
        <w:t>Foreign Plan Event</w:t>
      </w:r>
      <w:r>
        <w:rPr>
          <w:rFonts w:ascii="Times New Roman" w:hAnsi="Times New Roman"/>
          <w:color w:val="000000"/>
          <w:sz w:val="20"/>
        </w:rPr>
        <w:t>”</w:t>
      </w:r>
      <w:r>
        <w:rPr>
          <w:rFonts w:ascii="Times New Roman" w:hAnsi="Times New Roman"/>
          <w:color w:val="000000"/>
          <w:sz w:val="22"/>
        </w:rPr>
        <w:t>: (i) all employer and employee contributions required by applicable law or by the terms of any Foreign Benefit Arrangement or Foreign Plan have been made, or, if applicable, accrued in accordance with normal accounting practices; (ii) the accrued benefit obligations of each Foreign Plan (based on those assumptions used to fund such Foreign Plan) with respect to all current and former participants do not exceed the assets of such Foreign Plan; (iii) each Foreign Plan that is required to be registered has been registered and has been maintained in good standing with applicable regulatory authorities; and (iv) each Foreign Benefit Arrangement and Foreign Plan is in compliance (A) with all material provisions of applicable law and all material applicable regulations and published interpretations thereunder with respect to such Foreign Benefit Arrangement or Foreign Plan and (B) with the terms of such plan or arrangement.</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w:t>
      </w:r>
      <w:r>
        <w:rPr>
          <w:rFonts w:ascii="Times New Roman" w:hAnsi="Times New Roman"/>
          <w:color w:val="000000"/>
          <w:sz w:val="22"/>
        </w:rPr>
        <w:t>: any Subsidiary of the Borrower that is not a Domestic Subsidiary.</w:t>
      </w:r>
    </w:p>
    <w:p>
      <w:pPr>
        <w:pStyle w:val="TextBody"/>
        <w:bidi w:val="0"/>
        <w:spacing w:before="0" w:after="240"/>
        <w:jc w:val="both"/>
        <w:rPr/>
      </w:pPr>
      <w:r>
        <w:rPr>
          <w:color w:val="000000"/>
        </w:rPr>
        <w:t>“</w:t>
      </w:r>
      <w:r>
        <w:rPr>
          <w:rFonts w:ascii="Times New Roman" w:hAnsi="Times New Roman"/>
          <w:color w:val="000000"/>
          <w:sz w:val="22"/>
          <w:u w:val="single"/>
        </w:rPr>
        <w:t>Fourth Amendment</w:t>
      </w:r>
      <w:r>
        <w:rPr>
          <w:rFonts w:ascii="Times New Roman" w:hAnsi="Times New Roman"/>
          <w:color w:val="000000"/>
          <w:sz w:val="20"/>
        </w:rPr>
        <w:t>”</w:t>
      </w:r>
      <w:r>
        <w:rPr>
          <w:rFonts w:ascii="Times New Roman" w:hAnsi="Times New Roman"/>
          <w:color w:val="000000"/>
          <w:sz w:val="22"/>
        </w:rPr>
        <w:t>: the fourth amendment, dated as of August 7, 2014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Funded Debt</w:t>
      </w:r>
      <w:r>
        <w:rPr>
          <w:rFonts w:ascii="Times New Roman" w:hAnsi="Times New Roman"/>
          <w:color w:val="000000"/>
          <w:sz w:val="20"/>
        </w:rPr>
        <w:t>”</w:t>
      </w:r>
      <w:r>
        <w:rPr>
          <w:rFonts w:ascii="Times New Roman" w:hAnsi="Times New Roman"/>
          <w:color w:val="000000"/>
          <w:sz w:val="22"/>
        </w:rPr>
        <w:t>: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 not required to be paid within one year from the date of its creation and, in the case of the Borrower, Indebtedness in respect of the Loans.</w:t>
      </w:r>
    </w:p>
    <w:p>
      <w:pPr>
        <w:pStyle w:val="TextBody"/>
        <w:bidi w:val="0"/>
        <w:spacing w:before="0" w:after="240"/>
        <w:jc w:val="both"/>
        <w:rPr/>
      </w:pPr>
      <w:r>
        <w:rPr>
          <w:color w:val="000000"/>
        </w:rPr>
        <w:t>“</w:t>
      </w:r>
      <w:r>
        <w:rPr>
          <w:rFonts w:ascii="Times New Roman" w:hAnsi="Times New Roman"/>
          <w:color w:val="000000"/>
          <w:sz w:val="22"/>
          <w:u w:val="single"/>
        </w:rPr>
        <w:t>Funding Office</w:t>
      </w:r>
      <w:r>
        <w:rPr>
          <w:rFonts w:ascii="Times New Roman" w:hAnsi="Times New Roman"/>
          <w:color w:val="000000"/>
          <w:sz w:val="20"/>
        </w:rPr>
        <w:t>”</w:t>
      </w:r>
      <w:r>
        <w:rPr>
          <w:rFonts w:ascii="Times New Roman" w:hAnsi="Times New Roman"/>
          <w:color w:val="000000"/>
          <w:sz w:val="22"/>
        </w:rPr>
        <w:t>: the office of the Administrative Agent specified in Section 10.2 or such other office as may be specified from time to time by the Administrative Agent as its funding office by written notice to the Borrower and the Lenders.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w:t>
      </w:r>
      <w:r>
        <w:rPr>
          <w:rFonts w:ascii="Times New Roman" w:hAnsi="Times New Roman"/>
          <w:color w:val="000000"/>
          <w:sz w:val="22"/>
        </w:rPr>
        <w:t>: generally accepted accounting principles in the United States as in effect from time to time, except that (i) for purposes of Section 7.1, GAAP shall be determined on the basis of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principles in effect on the date hereof and consistent with those used in the preparation of the most recent audited financial statements referred to in Section 4.1(b) and (ii) for purposes of the definitions “Capital Expenditures” and “Capital Lease Obligations”, the accounting principles for operating leases and financing or capital leases under GAAP as in effect on the Tenth Amendment Effective Date shall apply (it being understood that such treatment of accounting principles described in clause (ii) shall be without prejudice to the Borrower’s rights with respect to any other “Accounting Change” (as defined below) described in this definition of “GAAP”). In the event that any “Accounting Change”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hAnsi="Times New Roman"/>
          <w:color w:val="000000"/>
          <w:sz w:val="22"/>
          <w:u w:val="single"/>
        </w:rPr>
        <w:t>Accounting Changes</w:t>
      </w:r>
      <w:r>
        <w:rPr>
          <w:rFonts w:ascii="Times New Roman" w:hAnsi="Times New Roman"/>
          <w:color w:val="000000"/>
          <w:sz w:val="20"/>
        </w:rPr>
        <w:t xml:space="preserve">” </w:t>
      </w:r>
      <w:r>
        <w:rPr>
          <w:rFonts w:ascii="Times New Roman" w:hAnsi="Times New Roman"/>
          <w:color w:val="000000"/>
          <w:sz w:val="22"/>
        </w:rPr>
        <w:t>refers to changes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w:t>
      </w:r>
      <w:r>
        <w:rPr>
          <w:rFonts w:ascii="Times New Roman" w:hAnsi="Times New Roman"/>
          <w:color w:val="000000"/>
          <w:sz w:val="22"/>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pStyle w:val="TextBody"/>
        <w:bidi w:val="0"/>
        <w:spacing w:before="0" w:after="240"/>
        <w:jc w:val="both"/>
        <w:rPr/>
      </w:pPr>
      <w:r>
        <w:rPr>
          <w:color w:val="000000"/>
        </w:rPr>
        <w:t>“</w:t>
      </w:r>
      <w:r>
        <w:rPr>
          <w:rFonts w:ascii="Times New Roman" w:hAnsi="Times New Roman"/>
          <w:color w:val="000000"/>
          <w:sz w:val="22"/>
          <w:u w:val="single"/>
        </w:rPr>
        <w:t>Group Members</w:t>
      </w:r>
      <w:r>
        <w:rPr>
          <w:rFonts w:ascii="Times New Roman" w:hAnsi="Times New Roman"/>
          <w:color w:val="000000"/>
          <w:sz w:val="20"/>
        </w:rPr>
        <w:t>”</w:t>
      </w:r>
      <w:r>
        <w:rPr>
          <w:rFonts w:ascii="Times New Roman" w:hAnsi="Times New Roman"/>
          <w:color w:val="000000"/>
          <w:sz w:val="22"/>
        </w:rPr>
        <w:t>: the collective reference to the Borrower and its Subsidiaries.</w:t>
      </w:r>
    </w:p>
    <w:p>
      <w:pPr>
        <w:pStyle w:val="TextBody"/>
        <w:bidi w:val="0"/>
        <w:spacing w:before="0" w:after="240"/>
        <w:jc w:val="both"/>
        <w:rPr/>
      </w:pPr>
      <w:r>
        <w:rPr>
          <w:color w:val="000000"/>
        </w:rPr>
        <w:t>“</w:t>
      </w:r>
      <w:r>
        <w:rPr>
          <w:rFonts w:ascii="Times New Roman" w:hAnsi="Times New Roman"/>
          <w:color w:val="000000"/>
          <w:sz w:val="22"/>
          <w:u w:val="single"/>
        </w:rPr>
        <w:t>Guarantees”</w:t>
      </w:r>
      <w:r>
        <w:rPr>
          <w:rFonts w:ascii="Times New Roman" w:hAnsi="Times New Roman"/>
          <w:color w:val="000000"/>
          <w:sz w:val="22"/>
        </w:rPr>
        <w:t>: the Guarantee Obligations pursuant to the Subsidiary Guarantee Agreement.</w:t>
      </w:r>
    </w:p>
    <w:p>
      <w:pPr>
        <w:pStyle w:val="TextBody"/>
        <w:bidi w:val="0"/>
        <w:spacing w:before="0" w:after="240"/>
        <w:jc w:val="both"/>
        <w:rPr/>
      </w:pPr>
      <w:r>
        <w:rPr>
          <w:color w:val="000000"/>
        </w:rPr>
        <w:t>“</w:t>
      </w:r>
      <w:r>
        <w:rPr>
          <w:rFonts w:ascii="Times New Roman" w:hAnsi="Times New Roman"/>
          <w:color w:val="000000"/>
          <w:sz w:val="22"/>
          <w:u w:val="single"/>
        </w:rPr>
        <w:t>Guarantee Obligation</w:t>
      </w:r>
      <w:r>
        <w:rPr>
          <w:rFonts w:ascii="Times New Roman" w:hAnsi="Times New Roman"/>
          <w:color w:val="000000"/>
          <w:sz w:val="20"/>
        </w:rPr>
        <w:t>”</w:t>
      </w:r>
      <w:r>
        <w:rPr>
          <w:rFonts w:ascii="Times New Roman" w:hAnsi="Times New Roman"/>
          <w:color w:val="000000"/>
          <w:sz w:val="22"/>
        </w:rPr>
        <w:t>: as to any Person (the “</w:t>
      </w:r>
      <w:r>
        <w:rPr>
          <w:rFonts w:ascii="Times New Roman" w:hAnsi="Times New Roman"/>
          <w:color w:val="000000"/>
          <w:sz w:val="22"/>
          <w:u w:val="single"/>
        </w:rPr>
        <w:t>guaranteeing person</w:t>
      </w:r>
      <w:r>
        <w:rPr>
          <w:rFonts w:ascii="Times New Roman" w:hAnsi="Times New Roman"/>
          <w:color w:val="000000"/>
          <w:sz w:val="20"/>
        </w:rPr>
        <w:t>”</w:t>
      </w:r>
      <w:r>
        <w:rPr>
          <w:rFonts w:ascii="Times New Roman" w:hAnsi="Times New Roman"/>
          <w:color w:val="000000"/>
          <w:sz w:val="22"/>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hAnsi="Times New Roman"/>
          <w:color w:val="000000"/>
          <w:sz w:val="22"/>
          <w:u w:val="single"/>
        </w:rPr>
        <w:t>primary obligations</w:t>
      </w:r>
      <w:r>
        <w:rPr>
          <w:rFonts w:ascii="Times New Roman" w:hAnsi="Times New Roman"/>
          <w:color w:val="000000"/>
          <w:sz w:val="20"/>
        </w:rPr>
        <w:t>”</w:t>
      </w:r>
      <w:r>
        <w:rPr>
          <w:rFonts w:ascii="Times New Roman" w:hAnsi="Times New Roman"/>
          <w:color w:val="000000"/>
          <w:sz w:val="22"/>
        </w:rPr>
        <w:t>) of any other third Person (the “</w:t>
      </w:r>
      <w:r>
        <w:rPr>
          <w:rFonts w:ascii="Times New Roman" w:hAnsi="Times New Roman"/>
          <w:color w:val="000000"/>
          <w:sz w:val="22"/>
          <w:u w:val="single"/>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Guarantors</w:t>
      </w:r>
      <w:r>
        <w:rPr>
          <w:rFonts w:ascii="Times New Roman" w:hAnsi="Times New Roman"/>
          <w:color w:val="000000"/>
          <w:sz w:val="20"/>
        </w:rPr>
        <w:t>”</w:t>
      </w:r>
      <w:r>
        <w:rPr>
          <w:rFonts w:ascii="Times New Roman" w:hAnsi="Times New Roman"/>
          <w:color w:val="000000"/>
          <w:sz w:val="22"/>
        </w:rPr>
        <w:t>: the collective reference to the Secured Guarantors and Unsecured Guarantors.</w:t>
      </w:r>
    </w:p>
    <w:p>
      <w:pPr>
        <w:pStyle w:val="TextBody"/>
        <w:bidi w:val="0"/>
        <w:spacing w:before="0" w:after="240"/>
        <w:jc w:val="both"/>
        <w:rPr/>
      </w:pPr>
      <w:r>
        <w:rPr>
          <w:color w:val="000000"/>
        </w:rPr>
        <w:t>“</w:t>
      </w:r>
      <w:r>
        <w:rPr>
          <w:rFonts w:ascii="Times New Roman" w:hAnsi="Times New Roman"/>
          <w:color w:val="000000"/>
          <w:sz w:val="22"/>
          <w:u w:val="single"/>
        </w:rPr>
        <w:t>Increased Facility Activation Date</w:t>
      </w:r>
      <w:r>
        <w:rPr>
          <w:rFonts w:ascii="Times New Roman" w:hAnsi="Times New Roman"/>
          <w:color w:val="000000"/>
          <w:sz w:val="20"/>
        </w:rPr>
        <w:t>”</w:t>
      </w:r>
      <w:r>
        <w:rPr>
          <w:rFonts w:ascii="Times New Roman" w:hAnsi="Times New Roman"/>
          <w:color w:val="000000"/>
          <w:sz w:val="22"/>
        </w:rPr>
        <w:t>: any Business Day after the Tenth Amendment Effective Date</w:t>
      </w:r>
      <w:r>
        <w:rPr>
          <w:rFonts w:ascii="Times New Roman" w:hAnsi="Times New Roman"/>
          <w:color w:val="000000"/>
          <w:sz w:val="20"/>
        </w:rPr>
        <w:t xml:space="preserve"> </w:t>
      </w:r>
      <w:r>
        <w:rPr>
          <w:rFonts w:ascii="Times New Roman" w:hAnsi="Times New Roman"/>
          <w:color w:val="000000"/>
          <w:sz w:val="22"/>
        </w:rPr>
        <w:t>on which any Lender shall execute and deliver to the Administrative Agents an Increased Facility Activation Notice pursuant to Section 2.24(a) (including the Eleventh Amendment Effective Date</w:t>
      </w:r>
      <w:r>
        <w:rPr>
          <w:rFonts w:ascii="Times New Roman" w:hAnsi="Times New Roman"/>
          <w:color w:val="0000FF"/>
          <w:sz w:val="20"/>
          <w:u w:val="single"/>
        </w:rPr>
        <w:t xml:space="preserve"> </w:t>
      </w:r>
      <w:r>
        <w:rPr>
          <w:rFonts w:ascii="Times New Roman" w:hAnsi="Times New Roman"/>
          <w:color w:val="0000FF"/>
          <w:sz w:val="22"/>
          <w:u w:val="single"/>
        </w:rPr>
        <w:t>and the Twelfth Amendment Effective Date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Increased Facility Activation Notice</w:t>
      </w:r>
      <w:r>
        <w:rPr>
          <w:rFonts w:ascii="Times New Roman" w:hAnsi="Times New Roman"/>
          <w:color w:val="000000"/>
          <w:sz w:val="20"/>
        </w:rPr>
        <w:t>”</w:t>
      </w:r>
      <w:r>
        <w:rPr>
          <w:rFonts w:ascii="Times New Roman" w:hAnsi="Times New Roman"/>
          <w:color w:val="000000"/>
          <w:sz w:val="22"/>
        </w:rPr>
        <w:t>: a notice substantially in the form of Exhibit I-1 or I-2, as applicable.</w:t>
      </w:r>
    </w:p>
    <w:p>
      <w:pPr>
        <w:pStyle w:val="TextBody"/>
        <w:bidi w:val="0"/>
        <w:spacing w:before="0" w:after="240"/>
        <w:jc w:val="both"/>
        <w:rPr/>
      </w:pPr>
      <w:r>
        <w:rPr>
          <w:color w:val="000000"/>
        </w:rPr>
        <w:t>“</w:t>
      </w:r>
      <w:r>
        <w:rPr>
          <w:rFonts w:ascii="Times New Roman" w:hAnsi="Times New Roman"/>
          <w:color w:val="000000"/>
          <w:sz w:val="22"/>
          <w:u w:val="single"/>
        </w:rPr>
        <w:t>Increased Facility Closing Date</w:t>
      </w:r>
      <w:r>
        <w:rPr>
          <w:rFonts w:ascii="Times New Roman" w:hAnsi="Times New Roman"/>
          <w:color w:val="000000"/>
          <w:sz w:val="20"/>
        </w:rPr>
        <w:t>”</w:t>
      </w:r>
      <w:r>
        <w:rPr>
          <w:rFonts w:ascii="Times New Roman" w:hAnsi="Times New Roman"/>
          <w:color w:val="000000"/>
          <w:sz w:val="22"/>
        </w:rPr>
        <w:t>: any Business Day after the Tenth Amendment Effective Date designated as such in an Increased Facility Activation Notice.</w:t>
      </w:r>
    </w:p>
    <w:p>
      <w:pPr>
        <w:pStyle w:val="TextBody"/>
        <w:bidi w:val="0"/>
        <w:spacing w:before="0" w:after="240"/>
        <w:jc w:val="both"/>
        <w:rPr/>
      </w:pPr>
      <w:r>
        <w:rPr>
          <w:color w:val="000000"/>
        </w:rPr>
        <w:t>“</w:t>
      </w:r>
      <w:r>
        <w:rPr>
          <w:rFonts w:ascii="Times New Roman" w:hAnsi="Times New Roman"/>
          <w:color w:val="000000"/>
          <w:sz w:val="22"/>
          <w:u w:val="single"/>
        </w:rPr>
        <w:t>Incremental Term A Loans</w:t>
      </w:r>
      <w:r>
        <w:rPr>
          <w:rFonts w:ascii="Times New Roman" w:hAnsi="Times New Roman"/>
          <w:color w:val="000000"/>
          <w:sz w:val="20"/>
        </w:rPr>
        <w:t>”</w:t>
      </w:r>
      <w:r>
        <w:rPr>
          <w:rFonts w:ascii="Times New Roman" w:hAnsi="Times New Roman"/>
          <w:color w:val="000000"/>
          <w:sz w:val="22"/>
        </w:rPr>
        <w:t>: any term loans made pursuant to any Incremental Tranche A Facility.</w:t>
      </w:r>
    </w:p>
    <w:p>
      <w:pPr>
        <w:pStyle w:val="TextBody"/>
        <w:bidi w:val="0"/>
        <w:spacing w:before="0" w:after="240"/>
        <w:jc w:val="both"/>
        <w:rPr/>
      </w:pPr>
      <w:r>
        <w:rPr>
          <w:color w:val="000000"/>
        </w:rPr>
        <w:t>“</w:t>
      </w:r>
      <w:r>
        <w:rPr>
          <w:rFonts w:ascii="Times New Roman" w:hAnsi="Times New Roman"/>
          <w:color w:val="000000"/>
          <w:sz w:val="22"/>
          <w:u w:val="single"/>
        </w:rPr>
        <w:t>Incremental Term B Loans</w:t>
      </w:r>
      <w:r>
        <w:rPr>
          <w:rFonts w:ascii="Times New Roman" w:hAnsi="Times New Roman"/>
          <w:color w:val="000000"/>
          <w:sz w:val="20"/>
        </w:rPr>
        <w:t>”</w:t>
      </w:r>
      <w:r>
        <w:rPr>
          <w:rFonts w:ascii="Times New Roman" w:hAnsi="Times New Roman"/>
          <w:color w:val="000000"/>
          <w:sz w:val="22"/>
        </w:rPr>
        <w:t>: any term loans made pursuant to any Incremental Tranche B Facility.</w:t>
      </w:r>
    </w:p>
    <w:p>
      <w:pPr>
        <w:pStyle w:val="TextBody"/>
        <w:bidi w:val="0"/>
        <w:spacing w:before="0" w:after="240"/>
        <w:jc w:val="both"/>
        <w:rPr/>
      </w:pPr>
      <w:r>
        <w:rPr>
          <w:color w:val="000000"/>
        </w:rPr>
        <w:t>“</w:t>
      </w:r>
      <w:r>
        <w:rPr>
          <w:rFonts w:ascii="Times New Roman" w:hAnsi="Times New Roman"/>
          <w:color w:val="000000"/>
          <w:sz w:val="22"/>
          <w:u w:val="single"/>
        </w:rPr>
        <w:t>Incremental Term Facility</w:t>
      </w:r>
      <w:r>
        <w:rPr>
          <w:rFonts w:ascii="Times New Roman" w:hAnsi="Times New Roman"/>
          <w:color w:val="000000"/>
          <w:sz w:val="20"/>
        </w:rPr>
        <w:t>”</w:t>
      </w:r>
      <w:r>
        <w:rPr>
          <w:rFonts w:ascii="Times New Roman" w:hAnsi="Times New Roman"/>
          <w:color w:val="000000"/>
          <w:sz w:val="22"/>
        </w:rPr>
        <w:t>: any Incremental Tranche A Facility or any Incremental Tranche B Facility.</w:t>
      </w:r>
    </w:p>
    <w:p>
      <w:pPr>
        <w:pStyle w:val="TextBody"/>
        <w:bidi w:val="0"/>
        <w:spacing w:before="0" w:after="240"/>
        <w:jc w:val="both"/>
        <w:rPr/>
      </w:pPr>
      <w:r>
        <w:rPr>
          <w:color w:val="000000"/>
        </w:rPr>
        <w:t>“</w:t>
      </w:r>
      <w:r>
        <w:rPr>
          <w:rFonts w:ascii="Times New Roman" w:hAnsi="Times New Roman"/>
          <w:color w:val="000000"/>
          <w:sz w:val="22"/>
          <w:u w:val="single"/>
        </w:rPr>
        <w:t>Incremental Term Lenders</w:t>
      </w:r>
      <w:r>
        <w:rPr>
          <w:rFonts w:ascii="Times New Roman" w:hAnsi="Times New Roman"/>
          <w:color w:val="000000"/>
          <w:sz w:val="20"/>
        </w:rPr>
        <w:t>”</w:t>
      </w:r>
      <w:r>
        <w:rPr>
          <w:rFonts w:ascii="Times New Roman" w:hAnsi="Times New Roman"/>
          <w:color w:val="000000"/>
          <w:sz w:val="22"/>
        </w:rPr>
        <w:t>: (a) on any Increased Facility Activation Date relating to Incremental Term Loans, the Lenders signatory to the relevant Increased Facility Activation Notice and (b) thereafter, each Lender that is a holder of an Incremental Term Loan (including the 2026 Incremental Term Lenders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Lenders and 2026-2 </w:t>
      </w:r>
      <w:r>
        <w:rPr>
          <w:rFonts w:ascii="Times New Roman" w:hAnsi="Times New Roman"/>
          <w:color w:val="000000"/>
          <w:sz w:val="22"/>
        </w:rPr>
        <w:t>Delayed Draw Term Lenders).</w:t>
      </w:r>
    </w:p>
    <w:p>
      <w:pPr>
        <w:pStyle w:val="TextBody"/>
        <w:bidi w:val="0"/>
        <w:spacing w:before="0" w:after="240"/>
        <w:jc w:val="both"/>
        <w:rPr/>
      </w:pPr>
      <w:r>
        <w:rPr>
          <w:color w:val="000000"/>
        </w:rPr>
        <w:t>“</w:t>
      </w:r>
      <w:r>
        <w:rPr>
          <w:rFonts w:ascii="Times New Roman" w:hAnsi="Times New Roman"/>
          <w:color w:val="000000"/>
          <w:sz w:val="22"/>
          <w:u w:val="single"/>
        </w:rPr>
        <w:t>Incremental Term Loans</w:t>
      </w:r>
      <w:r>
        <w:rPr>
          <w:rFonts w:ascii="Times New Roman" w:hAnsi="Times New Roman"/>
          <w:color w:val="000000"/>
          <w:sz w:val="20"/>
        </w:rPr>
        <w:t>”</w:t>
      </w:r>
      <w:r>
        <w:rPr>
          <w:rFonts w:ascii="Times New Roman" w:hAnsi="Times New Roman"/>
          <w:color w:val="000000"/>
          <w:sz w:val="22"/>
        </w:rPr>
        <w:t>: any term loans made pursuant to Section 2.24(a) (including the 2026 Incremental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Loans and 2026-2 </w:t>
      </w:r>
      <w:r>
        <w:rPr>
          <w:rFonts w:ascii="Times New Roman" w:hAnsi="Times New Roman"/>
          <w:color w:val="000000"/>
          <w:sz w:val="22"/>
        </w:rPr>
        <w:t>Delayed Draw Term Loans).</w:t>
      </w:r>
    </w:p>
    <w:p>
      <w:pPr>
        <w:pStyle w:val="TextBody"/>
        <w:bidi w:val="0"/>
        <w:spacing w:before="0" w:after="240"/>
        <w:jc w:val="both"/>
        <w:rPr/>
      </w:pPr>
      <w:r>
        <w:rPr>
          <w:color w:val="000000"/>
        </w:rPr>
        <w:t>“</w:t>
      </w:r>
      <w:r>
        <w:rPr>
          <w:rFonts w:ascii="Times New Roman" w:hAnsi="Times New Roman"/>
          <w:color w:val="000000"/>
          <w:sz w:val="22"/>
          <w:u w:val="single"/>
        </w:rPr>
        <w:t>Incremental Term Maturity Date</w:t>
      </w:r>
      <w:r>
        <w:rPr>
          <w:rFonts w:ascii="Times New Roman" w:hAnsi="Times New Roman"/>
          <w:color w:val="000000"/>
          <w:sz w:val="20"/>
        </w:rPr>
        <w:t>”</w:t>
      </w:r>
      <w:r>
        <w:rPr>
          <w:rFonts w:ascii="Times New Roman" w:hAnsi="Times New Roman"/>
          <w:color w:val="000000"/>
          <w:sz w:val="22"/>
        </w:rPr>
        <w:t>: with respect to the Incremental Term Loans to be made pursuant to any Increased Facility Activation Notice, the maturity date specified in such Increased Facility Activation Notice, which date shall not be earlier than (i) the final maturity of the Tranche A Term Loans, 2026 Incremental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Loans and 2026-2 </w:t>
      </w:r>
      <w:r>
        <w:rPr>
          <w:rFonts w:ascii="Times New Roman" w:hAnsi="Times New Roman"/>
          <w:color w:val="000000"/>
          <w:sz w:val="22"/>
        </w:rPr>
        <w:t>Delayed Draw Term Loans in the case of Incremental Term A Loans and (ii) the final maturity of any Tranche B Term Loans in the case of Incremental Tranche B Term Loans. The Incremental Term Maturity Date with respect to the (i) 2026 Incremental Term Loans is the 2026 Incremental Term Loan Maturity Date</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 2026 Delayed Draw Term Loans is the 2026 Delayed Draw Term Loan Maturity Date</w:t>
      </w:r>
      <w:r>
        <w:rPr>
          <w:rFonts w:ascii="Times New Roman" w:hAnsi="Times New Roman"/>
          <w:color w:val="0000FF"/>
          <w:sz w:val="20"/>
          <w:u w:val="single"/>
        </w:rPr>
        <w:t xml:space="preserve"> </w:t>
      </w:r>
      <w:r>
        <w:rPr>
          <w:rFonts w:ascii="Times New Roman" w:hAnsi="Times New Roman"/>
          <w:color w:val="0000FF"/>
          <w:sz w:val="22"/>
          <w:u w:val="single"/>
        </w:rPr>
        <w:t>and (iii) 2026-2 Delayed Draw Term Loans is the 2026-2 Delayed Draw Term Loan Maturity Date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Tranche A Facility</w:t>
      </w:r>
      <w:r>
        <w:rPr>
          <w:rFonts w:ascii="Times New Roman" w:hAnsi="Times New Roman"/>
          <w:color w:val="000000"/>
          <w:sz w:val="20"/>
        </w:rPr>
        <w:t>”</w:t>
      </w:r>
      <w:r>
        <w:rPr>
          <w:rFonts w:ascii="Times New Roman" w:hAnsi="Times New Roman"/>
          <w:color w:val="000000"/>
          <w:sz w:val="22"/>
        </w:rPr>
        <w:t>: any Incremental Term Facility other than any Incremental Tranche B Facility (including the 2026 Incremental Term Facility</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 Facility and 2026-2 </w:t>
      </w:r>
      <w:r>
        <w:rPr>
          <w:rFonts w:ascii="Times New Roman" w:hAnsi="Times New Roman"/>
          <w:color w:val="000000"/>
          <w:sz w:val="22"/>
        </w:rPr>
        <w:t>Delayed Draw Term Loan Facility).</w:t>
      </w:r>
    </w:p>
    <w:p>
      <w:pPr>
        <w:pStyle w:val="TextBody"/>
        <w:bidi w:val="0"/>
        <w:spacing w:before="0" w:after="240"/>
        <w:jc w:val="both"/>
        <w:rPr/>
      </w:pPr>
      <w:r>
        <w:rPr>
          <w:color w:val="000000"/>
        </w:rPr>
        <w:t>“</w:t>
      </w:r>
      <w:r>
        <w:rPr>
          <w:rFonts w:ascii="Times New Roman" w:hAnsi="Times New Roman"/>
          <w:color w:val="000000"/>
          <w:sz w:val="22"/>
          <w:u w:val="single"/>
        </w:rPr>
        <w:t>Incremental Tranche B Facility</w:t>
      </w:r>
      <w:r>
        <w:rPr>
          <w:rFonts w:ascii="Times New Roman" w:hAnsi="Times New Roman"/>
          <w:color w:val="000000"/>
          <w:sz w:val="20"/>
        </w:rPr>
        <w:t>”</w:t>
      </w:r>
      <w:r>
        <w:rPr>
          <w:rFonts w:ascii="Times New Roman" w:hAnsi="Times New Roman"/>
          <w:color w:val="000000"/>
          <w:sz w:val="22"/>
        </w:rPr>
        <w:t>: any Incremental Term Facility that is a “term B facility” (which shall mean a term loan facility with amortization less than or equal to 1% per year prior to maturity and otherwise has customary market terms for “B” term loans at the time of incurrence thereof (as determined in good faith by the Borrower)).</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w:t>
      </w:r>
      <w:r>
        <w:rPr>
          <w:rFonts w:ascii="Times New Roman" w:hAnsi="Times New Roman"/>
          <w:color w:val="000000"/>
          <w:sz w:val="22"/>
        </w:rPr>
        <w:t>: of any Person,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Capital Lease Obligations of such Person, (v) all obligations (contingent or otherwise) of such Person to reimburse any other Person in respect of amounts paid under a letter of credit or similar instrument, (vi) all Indebtedness secured by a Lien on any asset of such Person, whether or not such Indebtedness is otherwise an obligation of such Person and (vii) all Guarantee Obligations of such Person in respect of obligations of the kind referred to in clauses (i) through (vi)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The amount of “Indebtedness” of any Subsidiary that is not a Wholly Owned Subsidiary of the Borrower shall only include the allocable portion of such Indebtedness corresponding to the Borrower’s direct or indirect ownership interest in such Subsidiary.</w:t>
      </w:r>
    </w:p>
    <w:p>
      <w:pPr>
        <w:pStyle w:val="TextBody"/>
        <w:bidi w:val="0"/>
        <w:spacing w:before="0" w:after="240"/>
        <w:jc w:val="both"/>
        <w:rPr/>
      </w:pPr>
      <w:r>
        <w:rPr>
          <w:color w:val="000000"/>
        </w:rPr>
        <w:t>“</w:t>
      </w:r>
      <w:r>
        <w:rPr>
          <w:rFonts w:ascii="Times New Roman" w:hAnsi="Times New Roman"/>
          <w:color w:val="000000"/>
          <w:sz w:val="22"/>
          <w:u w:val="single"/>
        </w:rPr>
        <w:t>Insolvent</w:t>
      </w:r>
      <w:r>
        <w:rPr>
          <w:rFonts w:ascii="Times New Roman" w:hAnsi="Times New Roman"/>
          <w:color w:val="000000"/>
          <w:sz w:val="20"/>
        </w:rPr>
        <w:t>”</w:t>
      </w:r>
      <w:r>
        <w:rPr>
          <w:rFonts w:ascii="Times New Roman" w:hAnsi="Times New Roman"/>
          <w:color w:val="000000"/>
          <w:sz w:val="22"/>
        </w:rPr>
        <w:t>: with respect to any Multiemployer Plan, the condition that such Multiemployer Plan is insolvent within the meaning of Section 4245 of ERISA.</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w:t>
      </w:r>
      <w:r>
        <w:rPr>
          <w:rFonts w:ascii="Times New Roman" w:hAnsi="Times New Roman"/>
          <w:color w:val="000000"/>
          <w:sz w:val="22"/>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pStyle w:val="TextBody"/>
        <w:bidi w:val="0"/>
        <w:spacing w:before="0" w:after="24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w:t>
      </w:r>
      <w:r>
        <w:rPr>
          <w:rFonts w:ascii="Times New Roman" w:hAnsi="Times New Roman"/>
          <w:color w:val="000000"/>
          <w:sz w:val="22"/>
        </w:rPr>
        <w:t>: (a) as to any ABR Loan (other than any Swingline Loan), the last day of each March, June, September and December (or, if an Event of Default is in existence, the last day of each calendar month) to occur while such Loan is outstanding and the final maturity date of such Loan, (b) with respect to any RFR Loan, (1) each date that is on the numerically corresponding day in each calendar month that is one month after the Borrowing of such Loan (or, if there is no such numerically corresponding day in such month, then the last day of such month) and (2) the final maturity date of such Loan,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final maturity date of such Loan and (d) with respect to any Swingline Loan, the day that such Loan is required to be repaid and the final maturity date of such Loan.</w:t>
      </w:r>
    </w:p>
    <w:p>
      <w:pPr>
        <w:pStyle w:val="TextBody"/>
        <w:bidi w:val="0"/>
        <w:spacing w:before="0" w:after="24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0"/>
        </w:rPr>
        <w:t>”</w:t>
      </w:r>
      <w:r>
        <w:rPr>
          <w:rFonts w:ascii="Times New Roman" w:hAnsi="Times New Roman"/>
          <w:color w:val="000000"/>
          <w:sz w:val="22"/>
        </w:rPr>
        <w:t xml:space="preserve">: as to any Term Benchmark Loan, (a) initially, the period commencing on the borrowing or conversion date, as the case may be, with respect to such Term Benchmark Loan and ending one, three or six (or, if agreed to by all Lenders under the relevant Facility, twelve) months thereafter, as selected by the Borrower in its notice of borrowing or notice of conversion, as the case may be, given with respect thereto; and (b) thereafter, each period commencing on the last day of the next preceding Interest Period applicable to such Term Benchmark Loan and ending one, three or six (or, if agreed to by all Lenders under the relevant Facility, twelve) months thereafter (in each case, subject to the availability for the Benchmark applicable to the relevant Loan or Commitment), as selected by the Borrower by irrevocable notice to the Administrative Agent not later than 2:00 P.M., London time, on the date that is three Business Days prior to the last day of the then current Interest Period with respect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of the foregoing provisions relating to Interest Periods are subject to the following:</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before="0" w:after="240"/>
        <w:jc w:val="both"/>
        <w:rPr>
          <w:rFonts w:ascii="Times New Roman" w:hAnsi="Times New Roman"/>
          <w:sz w:val="20"/>
        </w:rPr>
      </w:pPr>
      <w:r>
        <w:rPr>
          <w:rFonts w:ascii="Times New Roman" w:hAnsi="Times New Roman"/>
          <w:color w:val="000000"/>
          <w:sz w:val="22"/>
        </w:rPr>
        <w:t>(ii) the Borrower may not select an Interest Period under a particular Facility that would extend beyond the Revolving Termination Date or beyond the date final payment is due on the Tranche A Term Loans, 2026 Incremental Term Loans, 2026 Delayed Draw Term Loans</w:t>
      </w:r>
      <w:r>
        <w:rPr>
          <w:rFonts w:ascii="Times New Roman" w:hAnsi="Times New Roman"/>
          <w:color w:val="0000FF"/>
          <w:sz w:val="22"/>
          <w:u w:val="single"/>
        </w:rPr>
        <w:t>, 2026-2 Delayed Draw Term Loans</w:t>
      </w:r>
      <w:r>
        <w:rPr>
          <w:rFonts w:ascii="Times New Roman" w:hAnsi="Times New Roman"/>
          <w:color w:val="000000"/>
          <w:sz w:val="20"/>
        </w:rPr>
        <w:t xml:space="preserve"> </w:t>
      </w:r>
      <w:r>
        <w:rPr>
          <w:rFonts w:ascii="Times New Roman" w:hAnsi="Times New Roman"/>
          <w:color w:val="000000"/>
          <w:sz w:val="22"/>
        </w:rPr>
        <w:t>or any Tranche B Term Loans,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Interest Period that begins on the last Business Day of a calendar month (or on a day for which there is no numerically corresponding day in the calendar month at the end of such Interest Period) shall end on the last Business Day of a calendar month;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Borrower shall select Interest Periods so as not to require a payment or prepayment of any Term Benchmark Loan during an Interest Period for such Loan;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no tenor that has been removed from this definition pursuant to Section 2.16(e)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color w:val="000000"/>
          <w:sz w:val="22"/>
          <w:u w:val="single"/>
        </w:rPr>
        <w:t>Investments</w:t>
      </w:r>
      <w:r>
        <w:rPr>
          <w:rFonts w:ascii="Times New Roman" w:hAnsi="Times New Roman"/>
          <w:color w:val="000000"/>
          <w:sz w:val="20"/>
        </w:rPr>
        <w:t>”</w:t>
      </w:r>
      <w:r>
        <w:rPr>
          <w:rFonts w:ascii="Times New Roman" w:hAnsi="Times New Roman"/>
          <w:color w:val="000000"/>
          <w:sz w:val="22"/>
        </w:rPr>
        <w:t>: as defined in Section 7.8.</w:t>
      </w:r>
    </w:p>
    <w:p>
      <w:pPr>
        <w:pStyle w:val="TextBody"/>
        <w:bidi w:val="0"/>
        <w:spacing w:before="0" w:after="240"/>
        <w:jc w:val="both"/>
        <w:rPr/>
      </w:pPr>
      <w:r>
        <w:rPr>
          <w:color w:val="000000"/>
        </w:rPr>
        <w:t>“</w:t>
      </w:r>
      <w:r>
        <w:rPr>
          <w:rFonts w:ascii="Times New Roman" w:hAnsi="Times New Roman"/>
          <w:color w:val="000000"/>
          <w:sz w:val="22"/>
          <w:u w:val="single"/>
        </w:rPr>
        <w:t>Issuing Lender</w:t>
      </w:r>
      <w:r>
        <w:rPr>
          <w:rFonts w:ascii="Times New Roman" w:hAnsi="Times New Roman"/>
          <w:color w:val="000000"/>
          <w:sz w:val="20"/>
        </w:rPr>
        <w:t>”</w:t>
      </w:r>
      <w:r>
        <w:rPr>
          <w:rFonts w:ascii="Times New Roman" w:hAnsi="Times New Roman"/>
          <w:color w:val="000000"/>
          <w:sz w:val="22"/>
        </w:rPr>
        <w:t>: each of JPMorgan Chase Bank, N.A. and Bank of America, N.A. and any other Revolving Lender approved by the Administrative Agent (such approval not to be unreasonably withheld) and the Borrower that has agreed in its sole discretion to act as an “Issuing Lender” hereunder, or any of their respective affiliates, in each case in its capacity as issuer of any Letter of Credit. Each reference herein to “the Issuing Lender” shall be deemed to be a reference to the relevant Issuing Lender.</w:t>
      </w:r>
    </w:p>
    <w:p>
      <w:pPr>
        <w:pStyle w:val="TextBody"/>
        <w:bidi w:val="0"/>
        <w:spacing w:before="0" w:after="240"/>
        <w:jc w:val="both"/>
        <w:rPr/>
      </w:pPr>
      <w:r>
        <w:rPr>
          <w:color w:val="000000"/>
        </w:rPr>
        <w:t>“</w:t>
      </w:r>
      <w:r>
        <w:rPr>
          <w:rFonts w:ascii="Times New Roman" w:hAnsi="Times New Roman"/>
          <w:color w:val="000000"/>
          <w:sz w:val="22"/>
          <w:u w:val="single"/>
        </w:rPr>
        <w:t>Joint Lead Arrangers</w:t>
      </w:r>
      <w:r>
        <w:rPr>
          <w:rFonts w:ascii="Times New Roman" w:hAnsi="Times New Roman"/>
          <w:color w:val="000000"/>
          <w:sz w:val="20"/>
        </w:rPr>
        <w:t>”</w:t>
      </w:r>
      <w:r>
        <w:rPr>
          <w:rFonts w:ascii="Times New Roman" w:hAnsi="Times New Roman"/>
          <w:color w:val="000000"/>
          <w:sz w:val="22"/>
        </w:rPr>
        <w:t>: (a) with respect to the Revolving Facility and the Tranche A Term Facility,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Closing Date), JPMorgan Chase Bank</w:t>
      </w:r>
      <w:r>
        <w:rPr>
          <w:rFonts w:ascii="Times New Roman" w:hAnsi="Times New Roman"/>
          <w:caps/>
          <w:color w:val="000000"/>
          <w:sz w:val="22"/>
        </w:rPr>
        <w:t xml:space="preserve">, N.A., </w:t>
      </w:r>
      <w:r>
        <w:rPr>
          <w:rFonts w:ascii="Times New Roman" w:hAnsi="Times New Roman"/>
          <w:color w:val="000000"/>
          <w:sz w:val="22"/>
        </w:rPr>
        <w:t>Truist Securities, Inc., U.S. Bank National Association and Wells Fargo Bank, National Association, and (b) with respect to any Incremental Term Facility, any joint lead arranger identified in the applicable Increased Facility Activation Notice.</w:t>
      </w:r>
    </w:p>
    <w:p>
      <w:pPr>
        <w:pStyle w:val="TextBody"/>
        <w:bidi w:val="0"/>
        <w:spacing w:before="0" w:after="240"/>
        <w:jc w:val="both"/>
        <w:rPr/>
      </w:pPr>
      <w:r>
        <w:rPr>
          <w:color w:val="000000"/>
        </w:rPr>
        <w:t>“</w:t>
      </w:r>
      <w:r>
        <w:rPr>
          <w:rFonts w:ascii="Times New Roman" w:hAnsi="Times New Roman"/>
          <w:color w:val="000000"/>
          <w:sz w:val="22"/>
          <w:u w:val="single"/>
        </w:rPr>
        <w:t>L/C Commitment</w:t>
      </w:r>
      <w:r>
        <w:rPr>
          <w:rFonts w:ascii="Times New Roman" w:hAnsi="Times New Roman"/>
          <w:color w:val="000000"/>
          <w:sz w:val="20"/>
        </w:rPr>
        <w:t>”</w:t>
      </w:r>
      <w:r>
        <w:rPr>
          <w:rFonts w:ascii="Times New Roman" w:hAnsi="Times New Roman"/>
          <w:color w:val="000000"/>
          <w:sz w:val="22"/>
        </w:rPr>
        <w:t>: $125,000,000.</w:t>
      </w:r>
    </w:p>
    <w:p>
      <w:pPr>
        <w:pStyle w:val="TextBody"/>
        <w:bidi w:val="0"/>
        <w:spacing w:before="0" w:after="240"/>
        <w:jc w:val="both"/>
        <w:rPr/>
      </w:pPr>
      <w:r>
        <w:rPr>
          <w:color w:val="000000"/>
        </w:rPr>
        <w:t>“</w:t>
      </w:r>
      <w:r>
        <w:rPr>
          <w:rFonts w:ascii="Times New Roman" w:hAnsi="Times New Roman"/>
          <w:color w:val="000000"/>
          <w:sz w:val="22"/>
          <w:u w:val="single"/>
        </w:rPr>
        <w:t>L/C Obligations</w:t>
      </w:r>
      <w:r>
        <w:rPr>
          <w:rFonts w:ascii="Times New Roman" w:hAnsi="Times New Roman"/>
          <w:color w:val="000000"/>
          <w:sz w:val="20"/>
        </w:rPr>
        <w:t>”</w:t>
      </w:r>
      <w:r>
        <w:rPr>
          <w:rFonts w:ascii="Times New Roman" w:hAnsi="Times New Roman"/>
          <w:color w:val="000000"/>
          <w:sz w:val="22"/>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pStyle w:val="TextBody"/>
        <w:bidi w:val="0"/>
        <w:spacing w:before="0" w:after="240"/>
        <w:jc w:val="both"/>
        <w:rPr/>
      </w:pPr>
      <w:r>
        <w:rPr>
          <w:color w:val="000000"/>
        </w:rPr>
        <w:t>“</w:t>
      </w:r>
      <w:r>
        <w:rPr>
          <w:rFonts w:ascii="Times New Roman" w:hAnsi="Times New Roman"/>
          <w:color w:val="000000"/>
          <w:sz w:val="22"/>
          <w:u w:val="single"/>
        </w:rPr>
        <w:t>L/C Participants</w:t>
      </w:r>
      <w:r>
        <w:rPr>
          <w:rFonts w:ascii="Times New Roman" w:hAnsi="Times New Roman"/>
          <w:color w:val="000000"/>
          <w:sz w:val="20"/>
        </w:rPr>
        <w:t>”</w:t>
      </w:r>
      <w:r>
        <w:rPr>
          <w:rFonts w:ascii="Times New Roman" w:hAnsi="Times New Roman"/>
          <w:color w:val="000000"/>
          <w:sz w:val="22"/>
        </w:rPr>
        <w:t>: the collective reference to all the Revolving Lenders other than the applicable Issuing Lender.</w:t>
      </w:r>
    </w:p>
    <w:p>
      <w:pPr>
        <w:pStyle w:val="TextBody"/>
        <w:bidi w:val="0"/>
        <w:spacing w:before="0" w:after="240"/>
        <w:jc w:val="both"/>
        <w:rPr/>
      </w:pPr>
      <w:r>
        <w:rPr>
          <w:color w:val="000000"/>
        </w:rPr>
        <w:t>“</w:t>
      </w:r>
      <w:r>
        <w:rPr>
          <w:rFonts w:ascii="Times New Roman" w:hAnsi="Times New Roman"/>
          <w:color w:val="000000"/>
          <w:sz w:val="22"/>
          <w:u w:val="single"/>
        </w:rPr>
        <w:t>Latest Term Facility Maturity Date</w:t>
      </w:r>
      <w:r>
        <w:rPr>
          <w:rFonts w:ascii="Times New Roman" w:hAnsi="Times New Roman"/>
          <w:color w:val="000000"/>
          <w:sz w:val="20"/>
        </w:rPr>
        <w:t>”</w:t>
      </w:r>
      <w:r>
        <w:rPr>
          <w:rFonts w:ascii="Times New Roman" w:hAnsi="Times New Roman"/>
          <w:color w:val="000000"/>
          <w:sz w:val="22"/>
        </w:rPr>
        <w:t>: at any date of determination, the latest maturity or expiration date applicable to any Term Loan or Commitment to provide Term Loans hereunder at such time, in each case as extended in accordance with this Agreement from time to time.</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Lender-Related Person</w:t>
      </w:r>
      <w:r>
        <w:rPr>
          <w:rFonts w:ascii="Times New Roman" w:hAnsi="Times New Roman"/>
          <w:color w:val="000000"/>
          <w:sz w:val="20"/>
        </w:rPr>
        <w:t>”</w:t>
      </w:r>
      <w:r>
        <w:rPr>
          <w:rFonts w:ascii="Times New Roman" w:hAnsi="Times New Roman"/>
          <w:color w:val="000000"/>
          <w:sz w:val="22"/>
        </w:rPr>
        <w:t>: as defined in Section 9.3(b).</w:t>
      </w:r>
    </w:p>
    <w:p>
      <w:pPr>
        <w:pStyle w:val="TextBody"/>
        <w:bidi w:val="0"/>
        <w:spacing w:before="0" w:after="240"/>
        <w:jc w:val="both"/>
        <w:rPr/>
      </w:pPr>
      <w:r>
        <w:rPr>
          <w:color w:val="000000"/>
        </w:rPr>
        <w:t>“</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xml:space="preserve">: as defined in the preamble hereto; </w:t>
      </w:r>
      <w:r>
        <w:rPr>
          <w:rFonts w:ascii="Times New Roman" w:hAnsi="Times New Roman"/>
          <w:color w:val="000000"/>
          <w:sz w:val="22"/>
          <w:u w:val="single"/>
        </w:rPr>
        <w:t>provided</w:t>
      </w:r>
      <w:r>
        <w:rPr>
          <w:rFonts w:ascii="Times New Roman" w:hAnsi="Times New Roman"/>
          <w:color w:val="000000"/>
          <w:sz w:val="22"/>
        </w:rPr>
        <w:t>, that unless the context otherwise requires, each reference herein to the Lenders shall be deemed to include any Conduit Lender.</w:t>
      </w:r>
    </w:p>
    <w:p>
      <w:pPr>
        <w:pStyle w:val="TextBody"/>
        <w:bidi w:val="0"/>
        <w:spacing w:before="0" w:after="240"/>
        <w:jc w:val="both"/>
        <w:rPr/>
      </w:pPr>
      <w:r>
        <w:rPr>
          <w:color w:val="000000"/>
        </w:rPr>
        <w:t>“</w:t>
      </w:r>
      <w:r>
        <w:rPr>
          <w:rFonts w:ascii="Times New Roman" w:hAnsi="Times New Roman"/>
          <w:color w:val="000000"/>
          <w:sz w:val="22"/>
          <w:u w:val="single"/>
        </w:rPr>
        <w:t>Letters of Credit</w:t>
      </w:r>
      <w:r>
        <w:rPr>
          <w:rFonts w:ascii="Times New Roman" w:hAnsi="Times New Roman"/>
          <w:color w:val="000000"/>
          <w:sz w:val="20"/>
        </w:rPr>
        <w:t>”</w:t>
      </w:r>
      <w:r>
        <w:rPr>
          <w:rFonts w:ascii="Times New Roman" w:hAnsi="Times New Roman"/>
          <w:color w:val="000000"/>
          <w:sz w:val="22"/>
        </w:rPr>
        <w:t>: as defined in Section 3.1(a).</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w:t>
      </w:r>
      <w:r>
        <w:rPr>
          <w:rFonts w:ascii="Times New Roman" w:hAnsi="Times New Roman"/>
          <w:color w:val="000000"/>
          <w:sz w:val="22"/>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pStyle w:val="TextBody"/>
        <w:bidi w:val="0"/>
        <w:spacing w:before="0" w:after="240"/>
        <w:jc w:val="both"/>
        <w:rPr/>
      </w:pPr>
      <w:r>
        <w:rPr>
          <w:color w:val="000000"/>
        </w:rPr>
        <w:t>“</w:t>
      </w:r>
      <w:r>
        <w:rPr>
          <w:rFonts w:ascii="Times New Roman" w:hAnsi="Times New Roman"/>
          <w:color w:val="000000"/>
          <w:sz w:val="22"/>
          <w:u w:val="single"/>
        </w:rPr>
        <w:t>LLC</w:t>
      </w:r>
      <w:r>
        <w:rPr>
          <w:rFonts w:ascii="Times New Roman" w:hAnsi="Times New Roman"/>
          <w:color w:val="000000"/>
          <w:sz w:val="20"/>
        </w:rPr>
        <w:t>”</w:t>
      </w:r>
      <w:r>
        <w:rPr>
          <w:rFonts w:ascii="Times New Roman" w:hAnsi="Times New Roman"/>
          <w:color w:val="000000"/>
          <w:sz w:val="22"/>
        </w:rPr>
        <w:t>: any Person that is a limited liability company under the laws of its jurisdiction of formation.</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w:t>
      </w:r>
      <w:r>
        <w:rPr>
          <w:rFonts w:ascii="Times New Roman" w:hAnsi="Times New Roman"/>
          <w:color w:val="000000"/>
          <w:sz w:val="22"/>
        </w:rPr>
        <w:t>: any loan made by any Lender pursuant to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w:t>
      </w:r>
      <w:r>
        <w:rPr>
          <w:rFonts w:ascii="Times New Roman" w:hAnsi="Times New Roman"/>
          <w:color w:val="000000"/>
          <w:sz w:val="22"/>
        </w:rPr>
        <w:t xml:space="preserve">: this Agreement, the First Amendment, the Second Amendment, the Third Amendment, the Fourth Amendment, the Fifth Amendment, the Sixth Amendment, the Seventh Amendment, the Eighth Amendment, the Ninth Amendment, the Tenth Amendment, the Eleventh Amendment, the </w:t>
      </w:r>
      <w:r>
        <w:rPr>
          <w:rFonts w:ascii="Times New Roman" w:hAnsi="Times New Roman"/>
          <w:color w:val="0000FF"/>
          <w:sz w:val="22"/>
          <w:u w:val="single"/>
        </w:rPr>
        <w:t xml:space="preserve">Twelfth Amendment, the </w:t>
      </w:r>
      <w:r>
        <w:rPr>
          <w:rFonts w:ascii="Times New Roman" w:hAnsi="Times New Roman"/>
          <w:color w:val="000000"/>
          <w:sz w:val="22"/>
        </w:rPr>
        <w:t>Security Documents, any Letters of Credit, the Notes and any amendment, waiver, supplement or other modification to any of the foregoing.</w:t>
      </w:r>
    </w:p>
    <w:p>
      <w:pPr>
        <w:pStyle w:val="TextBody"/>
        <w:bidi w:val="0"/>
        <w:spacing w:before="0" w:after="240"/>
        <w:jc w:val="both"/>
        <w:rPr/>
      </w:pPr>
      <w:r>
        <w:rPr>
          <w:color w:val="000000"/>
        </w:rPr>
        <w:t>“</w:t>
      </w:r>
      <w:r>
        <w:rPr>
          <w:rFonts w:ascii="Times New Roman" w:hAnsi="Times New Roman"/>
          <w:color w:val="000000"/>
          <w:sz w:val="22"/>
          <w:u w:val="single"/>
        </w:rPr>
        <w:t>Loan Parties</w:t>
      </w:r>
      <w:r>
        <w:rPr>
          <w:rFonts w:ascii="Times New Roman" w:hAnsi="Times New Roman"/>
          <w:color w:val="000000"/>
          <w:sz w:val="20"/>
        </w:rPr>
        <w:t>”</w:t>
      </w:r>
      <w:r>
        <w:rPr>
          <w:rFonts w:ascii="Times New Roman" w:hAnsi="Times New Roman"/>
          <w:color w:val="000000"/>
          <w:sz w:val="22"/>
        </w:rPr>
        <w:t>: each Group Member that is a party to a Loan Document.</w:t>
      </w:r>
    </w:p>
    <w:p>
      <w:pPr>
        <w:pStyle w:val="TextBody"/>
        <w:bidi w:val="0"/>
        <w:spacing w:before="0" w:after="240"/>
        <w:jc w:val="both"/>
        <w:rPr/>
      </w:pPr>
      <w:r>
        <w:rPr>
          <w:color w:val="000000"/>
        </w:rPr>
        <w:t>“</w:t>
      </w:r>
      <w:r>
        <w:rPr>
          <w:rFonts w:ascii="Times New Roman" w:hAnsi="Times New Roman"/>
          <w:color w:val="000000"/>
          <w:sz w:val="22"/>
          <w:u w:val="single"/>
        </w:rPr>
        <w:t>Majority Facility Lenders</w:t>
      </w:r>
      <w:r>
        <w:rPr>
          <w:rFonts w:ascii="Times New Roman" w:hAnsi="Times New Roman"/>
          <w:color w:val="000000"/>
          <w:sz w:val="20"/>
        </w:rPr>
        <w:t>”</w:t>
      </w:r>
      <w:r>
        <w:rPr>
          <w:rFonts w:ascii="Times New Roman" w:hAnsi="Times New Roman"/>
          <w:color w:val="000000"/>
          <w:sz w:val="22"/>
        </w:rPr>
        <w:t xml:space="preserve">: with respect to any Facility, the holders of more than 50% of the aggregate unpaid principal amount of the Tranche A Term Loans, the 2026 Incremental Term Loans, the 2026 </w:t>
      </w:r>
      <w:r>
        <w:rPr>
          <w:rFonts w:ascii="Times New Roman" w:hAnsi="Times New Roman"/>
          <w:color w:val="0000FF"/>
          <w:sz w:val="22"/>
          <w:u w:val="single"/>
        </w:rPr>
        <w:t xml:space="preserve">Delayed Draw Term Loans, the 2026-2 </w:t>
      </w:r>
      <w:r>
        <w:rPr>
          <w:rFonts w:ascii="Times New Roman" w:hAnsi="Times New Roman"/>
          <w:color w:val="000000"/>
          <w:sz w:val="22"/>
        </w:rPr>
        <w:t>Delayed Draw Term Loans, the Tranche B Term Loans or the Total Revolving Extensions of Credit, as the case may be, outstanding under such Facility (or, (i) in the case of the Revolving Facility, prior to any termination of the Revolving Commitments, the holders of more than 50% of the Total Revolving Commitments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 in the case of the 2026 Delayed Draw Term Loan Facility, prior to any termination of the 2026 Delayed Draw Term Loan Commitments, the holders of more than 50% of the 2026 Delayed Draw Term Loan Commitments)</w:t>
      </w:r>
      <w:r>
        <w:rPr>
          <w:rFonts w:ascii="Times New Roman" w:hAnsi="Times New Roman"/>
          <w:color w:val="0000FF"/>
          <w:sz w:val="20"/>
          <w:u w:val="single"/>
        </w:rPr>
        <w:t xml:space="preserve"> </w:t>
      </w:r>
      <w:r>
        <w:rPr>
          <w:rFonts w:ascii="Times New Roman" w:hAnsi="Times New Roman"/>
          <w:color w:val="0000FF"/>
          <w:sz w:val="22"/>
          <w:u w:val="single"/>
        </w:rPr>
        <w:t>and (iii) in the case of the 2026-2 Delayed Draw Term Loan Facility, prior to any termination of the 2026-2 Delayed Draw Term Loan Commitments, the holders of more than 50% of the 2026-2 Delayed Draw Term Loan Commitments)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Management Agreements</w:t>
      </w:r>
      <w:r>
        <w:rPr>
          <w:rFonts w:ascii="Times New Roman" w:hAnsi="Times New Roman"/>
          <w:color w:val="000000"/>
          <w:sz w:val="20"/>
        </w:rPr>
        <w:t>”</w:t>
      </w:r>
      <w:r>
        <w:rPr>
          <w:rFonts w:ascii="Times New Roman" w:hAnsi="Times New Roman"/>
          <w:color w:val="000000"/>
          <w:sz w:val="22"/>
        </w:rPr>
        <w:t>: agreements entered into from time to time between a Group Member and an Affiliate thereof pursuant to which, in a manner consistent with past practices, such Group Member provides hospital administrative and other related services to such Affiliate.</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w:t>
      </w:r>
      <w:r>
        <w:rPr>
          <w:rFonts w:ascii="Times New Roman" w:hAnsi="Times New Roman"/>
          <w:color w:val="000000"/>
          <w:sz w:val="22"/>
        </w:rPr>
        <w:t>: a material adverse effect on (a) the business, property, results of operations, condition (financial or otherwise) of the Borrower and its Subsidiaries taken as a whole or (b) the validity or enforceability of this Agreement or any of the other Loan Documents or the rights or remedies of the Administrative Agent (including in its capacity as Collateral Agent) or the Lenders hereunder or thereunder.</w:t>
      </w:r>
    </w:p>
    <w:p>
      <w:pPr>
        <w:pStyle w:val="TextBody"/>
        <w:bidi w:val="0"/>
        <w:spacing w:before="0" w:after="240"/>
        <w:jc w:val="both"/>
        <w:rPr/>
      </w:pPr>
      <w:r>
        <w:rPr>
          <w:color w:val="000000"/>
        </w:rPr>
        <w:t>“</w:t>
      </w:r>
      <w:r>
        <w:rPr>
          <w:rFonts w:ascii="Times New Roman" w:hAnsi="Times New Roman"/>
          <w:color w:val="000000"/>
          <w:sz w:val="22"/>
          <w:u w:val="single"/>
        </w:rPr>
        <w:t>Material Permitted Acquisition</w:t>
      </w:r>
      <w:r>
        <w:rPr>
          <w:rFonts w:ascii="Times New Roman" w:hAnsi="Times New Roman"/>
          <w:color w:val="000000"/>
          <w:sz w:val="20"/>
        </w:rPr>
        <w:t>”</w:t>
      </w:r>
      <w:r>
        <w:rPr>
          <w:rFonts w:ascii="Times New Roman" w:hAnsi="Times New Roman"/>
          <w:color w:val="000000"/>
          <w:sz w:val="22"/>
        </w:rPr>
        <w:t>: any Acquisition that is (a) permitted under Section 7.8 of this Agreement and (b) funded with Indebtedness of at least $500,000,000.</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Materials of Environmental Concern</w:t>
      </w:r>
      <w:r>
        <w:rPr>
          <w:rFonts w:ascii="Times New Roman" w:hAnsi="Times New Roman"/>
          <w:color w:val="000000"/>
          <w:sz w:val="20"/>
        </w:rPr>
        <w:t>”</w:t>
      </w:r>
      <w:r>
        <w:rPr>
          <w:rFonts w:ascii="Times New Roman" w:hAnsi="Times New Roman"/>
          <w:color w:val="000000"/>
          <w:sz w:val="22"/>
        </w:rPr>
        <w:t>: any gasoline or petroleum (including crude oil or any fraction thereof) or petroleum products or any hazardous or toxic substances, materials or wastes, defined or regulated as such in or under any Environmental Law, including asbestos, polychlorinated biphenyls and urea-formaldehyde insulation.</w:t>
      </w:r>
    </w:p>
    <w:p>
      <w:pPr>
        <w:pStyle w:val="TextBody"/>
        <w:bidi w:val="0"/>
        <w:spacing w:before="0" w:after="240"/>
        <w:jc w:val="both"/>
        <w:rPr/>
      </w:pPr>
      <w:r>
        <w:rPr>
          <w:color w:val="000000"/>
        </w:rPr>
        <w:t>“</w:t>
      </w:r>
      <w:r>
        <w:rPr>
          <w:rFonts w:ascii="Times New Roman" w:hAnsi="Times New Roman"/>
          <w:color w:val="000000"/>
          <w:sz w:val="22"/>
          <w:u w:val="single"/>
        </w:rPr>
        <w:t>Maximum Incremental Amount</w:t>
      </w:r>
      <w:r>
        <w:rPr>
          <w:rFonts w:ascii="Times New Roman" w:hAnsi="Times New Roman"/>
          <w:color w:val="000000"/>
          <w:sz w:val="20"/>
        </w:rPr>
        <w:t>”</w:t>
      </w:r>
      <w:r>
        <w:rPr>
          <w:rFonts w:ascii="Times New Roman" w:hAnsi="Times New Roman"/>
          <w:color w:val="000000"/>
          <w:sz w:val="22"/>
        </w:rPr>
        <w:t xml:space="preserve">: the sum of (a) $750,000,000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additional secured amounts if the Consolidated Secured Net Leverage Ratio, calculated on a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forma</w:t>
      </w:r>
      <w:r>
        <w:rPr>
          <w:rFonts w:ascii="Times New Roman" w:hAnsi="Times New Roman"/>
          <w:color w:val="000000"/>
          <w:sz w:val="20"/>
        </w:rPr>
        <w:t xml:space="preserve"> </w:t>
      </w:r>
      <w:r>
        <w:rPr>
          <w:rFonts w:ascii="Times New Roman" w:hAnsi="Times New Roman"/>
          <w:color w:val="000000"/>
          <w:sz w:val="22"/>
        </w:rPr>
        <w:t>basis after giving effect to the incurrence of Indebtedness on any Increased Facility Activation Date for the four most-recent fiscal quarters, shall not be more than 3.75 to 1.00 (assuming any increase in commitments under the Revolving Facility were fully drawn).</w:t>
      </w:r>
    </w:p>
    <w:p>
      <w:pPr>
        <w:pStyle w:val="TextBody"/>
        <w:bidi w:val="0"/>
        <w:spacing w:before="0" w:after="24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w:t>
      </w:r>
      <w:r>
        <w:rPr>
          <w:rFonts w:ascii="Times New Roman" w:hAnsi="Times New Roman"/>
          <w:color w:val="000000"/>
          <w:sz w:val="22"/>
        </w:rPr>
        <w:t>: Moody’s Investors Service, Inc.</w:t>
      </w:r>
    </w:p>
    <w:p>
      <w:pPr>
        <w:pStyle w:val="TextBody"/>
        <w:bidi w:val="0"/>
        <w:spacing w:before="0" w:after="24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w:t>
      </w:r>
      <w:r>
        <w:rPr>
          <w:rFonts w:ascii="Times New Roman" w:hAnsi="Times New Roman"/>
          <w:color w:val="000000"/>
          <w:sz w:val="22"/>
        </w:rPr>
        <w:t>: a Plan that is a multiemployer plan as defined in Section 4001(a)(3) of ERISA.</w:t>
      </w:r>
    </w:p>
    <w:p>
      <w:pPr>
        <w:pStyle w:val="TextBody"/>
        <w:bidi w:val="0"/>
        <w:spacing w:before="0" w:after="240"/>
        <w:jc w:val="both"/>
        <w:rPr/>
      </w:pPr>
      <w:r>
        <w:rPr>
          <w:color w:val="000000"/>
        </w:rPr>
        <w:t>“</w:t>
      </w:r>
      <w:r>
        <w:rPr>
          <w:rFonts w:ascii="Times New Roman" w:hAnsi="Times New Roman"/>
          <w:color w:val="000000"/>
          <w:sz w:val="22"/>
          <w:u w:val="single"/>
        </w:rPr>
        <w:t>Net Cash Proceeds</w:t>
      </w:r>
      <w:r>
        <w:rPr>
          <w:rFonts w:ascii="Times New Roman" w:hAnsi="Times New Roman"/>
          <w:color w:val="000000"/>
          <w:sz w:val="20"/>
        </w:rPr>
        <w:t>”</w:t>
      </w:r>
      <w:r>
        <w:rPr>
          <w:rFonts w:ascii="Times New Roman" w:hAnsi="Times New Roman"/>
          <w:color w:val="000000"/>
          <w:sz w:val="22"/>
        </w:rPr>
        <w:t>: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fees and expenses actually incurred in connection therewith.</w:t>
      </w:r>
    </w:p>
    <w:p>
      <w:pPr>
        <w:pStyle w:val="TextBody"/>
        <w:bidi w:val="0"/>
        <w:spacing w:before="0" w:after="240"/>
        <w:jc w:val="both"/>
        <w:rPr/>
      </w:pPr>
      <w:r>
        <w:rPr>
          <w:color w:val="000000"/>
        </w:rPr>
        <w:t>“</w:t>
      </w:r>
      <w:r>
        <w:rPr>
          <w:rFonts w:ascii="Times New Roman" w:hAnsi="Times New Roman"/>
          <w:color w:val="000000"/>
          <w:sz w:val="22"/>
          <w:u w:val="single"/>
        </w:rPr>
        <w:t>New Lender</w:t>
      </w:r>
      <w:r>
        <w:rPr>
          <w:rFonts w:ascii="Times New Roman" w:hAnsi="Times New Roman"/>
          <w:color w:val="000000"/>
          <w:sz w:val="20"/>
        </w:rPr>
        <w:t>”</w:t>
      </w:r>
      <w:r>
        <w:rPr>
          <w:rFonts w:ascii="Times New Roman" w:hAnsi="Times New Roman"/>
          <w:color w:val="000000"/>
          <w:sz w:val="22"/>
        </w:rPr>
        <w:t>: as defined in Section 2.24(b).</w:t>
      </w:r>
    </w:p>
    <w:p>
      <w:pPr>
        <w:pStyle w:val="TextBody"/>
        <w:bidi w:val="0"/>
        <w:spacing w:before="0" w:after="240"/>
        <w:jc w:val="both"/>
        <w:rPr/>
      </w:pPr>
      <w:r>
        <w:rPr>
          <w:color w:val="000000"/>
        </w:rPr>
        <w:t>“</w:t>
      </w:r>
      <w:r>
        <w:rPr>
          <w:rFonts w:ascii="Times New Roman" w:hAnsi="Times New Roman"/>
          <w:color w:val="000000"/>
          <w:sz w:val="22"/>
          <w:u w:val="single"/>
        </w:rPr>
        <w:t>New Lender Supplement</w:t>
      </w:r>
      <w:r>
        <w:rPr>
          <w:rFonts w:ascii="Times New Roman" w:hAnsi="Times New Roman"/>
          <w:color w:val="000000"/>
          <w:sz w:val="20"/>
        </w:rPr>
        <w:t>”</w:t>
      </w:r>
      <w:r>
        <w:rPr>
          <w:rFonts w:ascii="Times New Roman" w:hAnsi="Times New Roman"/>
          <w:color w:val="000000"/>
          <w:sz w:val="22"/>
        </w:rPr>
        <w:t>: as defined in Section 2.24(b).</w:t>
      </w:r>
    </w:p>
    <w:p>
      <w:pPr>
        <w:pStyle w:val="TextBody"/>
        <w:bidi w:val="0"/>
        <w:spacing w:before="0" w:after="240"/>
        <w:jc w:val="both"/>
        <w:rPr/>
      </w:pPr>
      <w:r>
        <w:rPr>
          <w:color w:val="000000"/>
        </w:rPr>
        <w:t>“</w:t>
      </w:r>
      <w:r>
        <w:rPr>
          <w:rFonts w:ascii="Times New Roman" w:hAnsi="Times New Roman"/>
          <w:color w:val="000000"/>
          <w:sz w:val="22"/>
          <w:u w:val="single"/>
        </w:rPr>
        <w:t>Ninth Amendment</w:t>
      </w:r>
      <w:r>
        <w:rPr>
          <w:rFonts w:ascii="Times New Roman" w:hAnsi="Times New Roman"/>
          <w:color w:val="000000"/>
          <w:sz w:val="20"/>
        </w:rPr>
        <w:t>”</w:t>
      </w:r>
      <w:r>
        <w:rPr>
          <w:rFonts w:ascii="Times New Roman" w:hAnsi="Times New Roman"/>
          <w:color w:val="000000"/>
          <w:sz w:val="22"/>
        </w:rPr>
        <w:t>: the ninth amendment, dated as of June 23, 2022 by and among the Borrower, the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Non-Excluded Taxes</w:t>
      </w:r>
      <w:r>
        <w:rPr>
          <w:rFonts w:ascii="Times New Roman" w:hAnsi="Times New Roman"/>
          <w:color w:val="000000"/>
          <w:sz w:val="20"/>
        </w:rPr>
        <w:t>”</w:t>
      </w:r>
      <w:r>
        <w:rPr>
          <w:rFonts w:ascii="Times New Roman" w:hAnsi="Times New Roman"/>
          <w:color w:val="000000"/>
          <w:sz w:val="22"/>
        </w:rPr>
        <w:t>: as defined in Section 2.19(a).</w:t>
      </w:r>
    </w:p>
    <w:p>
      <w:pPr>
        <w:pStyle w:val="TextBody"/>
        <w:bidi w:val="0"/>
        <w:spacing w:before="0" w:after="240"/>
        <w:jc w:val="both"/>
        <w:rPr/>
      </w:pPr>
      <w:r>
        <w:rPr>
          <w:color w:val="000000"/>
        </w:rPr>
        <w:t>“</w:t>
      </w:r>
      <w:r>
        <w:rPr>
          <w:rFonts w:ascii="Times New Roman" w:hAnsi="Times New Roman"/>
          <w:color w:val="000000"/>
          <w:sz w:val="22"/>
          <w:u w:val="single"/>
        </w:rPr>
        <w:t>Non-Material Subsidiary</w:t>
      </w:r>
      <w:r>
        <w:rPr>
          <w:rFonts w:ascii="Times New Roman" w:hAnsi="Times New Roman"/>
          <w:color w:val="000000"/>
          <w:sz w:val="20"/>
        </w:rPr>
        <w:t>”</w:t>
      </w:r>
      <w:r>
        <w:rPr>
          <w:rFonts w:ascii="Times New Roman" w:hAnsi="Times New Roman"/>
          <w:color w:val="000000"/>
          <w:sz w:val="22"/>
        </w:rPr>
        <w:t xml:space="preserve">: any Subsidiary of the Borrower that does not have total book assets (including Capital Stock, but excluding intercompany accounts and accounts receivable) with an aggregate value exceeding $10,000,000, and either (a) the Borrower shall have furnished written notice to the Administrative Agent that such Subsidiary is a “Non-Material Subsidiary” and furnished supporting documentation for such assertion, or (b) such Subsidiary is identified as a Non-Material Subsidiary on Schedule 1.1C 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at such time as any such Subsidiary becomes a party to this Agreement or any other Loan Document or executes and delivers a guarantee, security agreement, mortgage or other similar agreement supporting the obligations of the Borrower under this Agreement or the other Loan Documents, such Subsidiary shall at all times thereafter not be deemed a Non-Material Subsidiary irrespective of the book value of its assets, (ii) at any time a Non-Material Subsidiary’s assets exceed $10,000,000 as set forth above, it shall no longer be deemed a Non-Material Subsidiary and (iii) the assets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all Non-Material Subsidiaries shall at no time have an aggregate book value in excess of the Non-Material Subsidiary Cap.</w:t>
      </w:r>
    </w:p>
    <w:p>
      <w:pPr>
        <w:pStyle w:val="TextBody"/>
        <w:bidi w:val="0"/>
        <w:spacing w:before="0" w:after="240"/>
        <w:jc w:val="both"/>
        <w:rPr/>
      </w:pPr>
      <w:r>
        <w:rPr>
          <w:color w:val="000000"/>
        </w:rPr>
        <w:t>“</w:t>
      </w:r>
      <w:r>
        <w:rPr>
          <w:rFonts w:ascii="Times New Roman" w:hAnsi="Times New Roman"/>
          <w:color w:val="000000"/>
          <w:sz w:val="22"/>
          <w:u w:val="single"/>
        </w:rPr>
        <w:t>Non-Material Subsidiary Cap</w:t>
      </w:r>
      <w:r>
        <w:rPr>
          <w:rFonts w:ascii="Times New Roman" w:hAnsi="Times New Roman"/>
          <w:color w:val="000000"/>
          <w:sz w:val="20"/>
        </w:rPr>
        <w:t>”</w:t>
      </w:r>
      <w:r>
        <w:rPr>
          <w:rFonts w:ascii="Times New Roman" w:hAnsi="Times New Roman"/>
          <w:color w:val="000000"/>
          <w:sz w:val="22"/>
        </w:rPr>
        <w:t>: 10% of Consolidated Tangible Assets measured as of the last day of the most recent fiscal quarter for which financial statements have been delivered pursuant to Sections 6.1(a) or 6.1(b).</w:t>
      </w:r>
    </w:p>
    <w:p>
      <w:pPr>
        <w:pStyle w:val="TextBody"/>
        <w:bidi w:val="0"/>
        <w:spacing w:before="0" w:after="240"/>
        <w:jc w:val="both"/>
        <w:rPr/>
      </w:pPr>
      <w:r>
        <w:rPr>
          <w:color w:val="000000"/>
        </w:rPr>
        <w:t>“</w:t>
      </w:r>
      <w:r>
        <w:rPr>
          <w:rFonts w:ascii="Times New Roman" w:hAnsi="Times New Roman"/>
          <w:color w:val="000000"/>
          <w:sz w:val="22"/>
          <w:u w:val="single"/>
        </w:rPr>
        <w:t>Non-U.S. Lender</w:t>
      </w:r>
      <w:r>
        <w:rPr>
          <w:rFonts w:ascii="Times New Roman" w:hAnsi="Times New Roman"/>
          <w:color w:val="000000"/>
          <w:sz w:val="20"/>
        </w:rPr>
        <w:t>”</w:t>
      </w:r>
      <w:r>
        <w:rPr>
          <w:rFonts w:ascii="Times New Roman" w:hAnsi="Times New Roman"/>
          <w:color w:val="000000"/>
          <w:sz w:val="22"/>
        </w:rPr>
        <w:t>: as defined in Section 2.19(d)(ii).</w:t>
      </w:r>
    </w:p>
    <w:p>
      <w:pPr>
        <w:pStyle w:val="TextBody"/>
        <w:bidi w:val="0"/>
        <w:spacing w:before="0" w:after="240"/>
        <w:jc w:val="both"/>
        <w:rPr/>
      </w:pPr>
      <w:r>
        <w:rPr>
          <w:color w:val="000000"/>
        </w:rPr>
        <w:t>“</w:t>
      </w:r>
      <w:r>
        <w:rPr>
          <w:rFonts w:ascii="Times New Roman" w:hAnsi="Times New Roman"/>
          <w:color w:val="000000"/>
          <w:sz w:val="22"/>
          <w:u w:val="single"/>
        </w:rPr>
        <w:t>Notes</w:t>
      </w:r>
      <w:r>
        <w:rPr>
          <w:rFonts w:ascii="Times New Roman" w:hAnsi="Times New Roman"/>
          <w:color w:val="000000"/>
          <w:sz w:val="20"/>
        </w:rPr>
        <w:t>”</w:t>
      </w:r>
      <w:r>
        <w:rPr>
          <w:rFonts w:ascii="Times New Roman" w:hAnsi="Times New Roman"/>
          <w:color w:val="000000"/>
          <w:sz w:val="22"/>
        </w:rPr>
        <w:t>: the collective reference to any promissory note evidencing Loans.</w:t>
      </w:r>
    </w:p>
    <w:p>
      <w:pPr>
        <w:pStyle w:val="TextBody"/>
        <w:bidi w:val="0"/>
        <w:spacing w:before="0" w:after="240"/>
        <w:jc w:val="both"/>
        <w:rPr/>
      </w:pPr>
      <w:r>
        <w:rPr>
          <w:color w:val="000000"/>
        </w:rPr>
        <w:t>“</w:t>
      </w:r>
      <w:r>
        <w:rPr>
          <w:rFonts w:ascii="Times New Roman" w:hAnsi="Times New Roman"/>
          <w:color w:val="000000"/>
          <w:sz w:val="22"/>
          <w:u w:val="single"/>
        </w:rPr>
        <w:t>NYFRB</w:t>
      </w:r>
      <w:r>
        <w:rPr>
          <w:rFonts w:ascii="Times New Roman" w:hAnsi="Times New Roman"/>
          <w:color w:val="000000"/>
          <w:sz w:val="20"/>
        </w:rPr>
        <w:t xml:space="preserve">” </w:t>
      </w:r>
      <w:r>
        <w:rPr>
          <w:rFonts w:ascii="Times New Roman" w:hAnsi="Times New Roman"/>
          <w:color w:val="000000"/>
          <w:sz w:val="22"/>
        </w:rPr>
        <w:t>the Federal Reserve Bank of New York.</w:t>
      </w:r>
    </w:p>
    <w:p>
      <w:pPr>
        <w:pStyle w:val="TextBody"/>
        <w:bidi w:val="0"/>
        <w:spacing w:before="0" w:after="240"/>
        <w:jc w:val="both"/>
        <w:rPr/>
      </w:pPr>
      <w:r>
        <w:rPr>
          <w:color w:val="000000"/>
        </w:rPr>
        <w:t>“</w:t>
      </w:r>
      <w:r>
        <w:rPr>
          <w:rFonts w:ascii="Times New Roman" w:hAnsi="Times New Roman"/>
          <w:color w:val="000000"/>
          <w:sz w:val="22"/>
          <w:u w:val="single"/>
        </w:rPr>
        <w:t>NYFRB Rate</w:t>
      </w:r>
      <w:r>
        <w:rPr>
          <w:rFonts w:ascii="Times New Roman" w:hAnsi="Times New Roman"/>
          <w:color w:val="000000"/>
          <w:sz w:val="20"/>
        </w:rPr>
        <w:t>”</w:t>
      </w:r>
      <w:r>
        <w:rPr>
          <w:rFonts w:ascii="Times New Roman" w:hAnsi="Times New Roman"/>
          <w:color w:val="000000"/>
          <w:sz w:val="22"/>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2"/>
        </w:rPr>
        <w:t>, that if any of the aforesaid rates as so determined be less than zero, such rate shall be deemed to be zero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NYFRB’s Website</w:t>
      </w:r>
      <w:r>
        <w:rPr>
          <w:rFonts w:ascii="Times New Roman" w:hAnsi="Times New Roman"/>
          <w:color w:val="000000"/>
          <w:sz w:val="20"/>
        </w:rPr>
        <w:t>”</w:t>
      </w:r>
      <w:r>
        <w:rPr>
          <w:rFonts w:ascii="Times New Roman" w:hAnsi="Times New Roman"/>
          <w:color w:val="000000"/>
          <w:sz w:val="22"/>
        </w:rPr>
        <w:t>: the website of the NYFRB at http://www.newyorkfed.org, or any successor source.</w:t>
      </w:r>
    </w:p>
    <w:p>
      <w:pPr>
        <w:pStyle w:val="TextBody"/>
        <w:bidi w:val="0"/>
        <w:spacing w:before="0" w:after="24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w:t>
      </w:r>
      <w:r>
        <w:rPr>
          <w:rFonts w:ascii="Times New Roman" w:hAnsi="Times New Roman"/>
          <w:color w:val="000000"/>
          <w:sz w:val="22"/>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(or, in the case of Specified Cash Management Agreements, any affiliate of any Lender and, in the case of Specified Swap Agreements, any Person that was a Lender or an affiliate of a Lender at the time such Specified Swap Agreement was entered into),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pStyle w:val="TextBody"/>
        <w:bidi w:val="0"/>
        <w:spacing w:before="0" w:after="24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w:t>
      </w:r>
      <w:r>
        <w:rPr>
          <w:rFonts w:ascii="Times New Roman" w:hAnsi="Times New Roman"/>
          <w:color w:val="000000"/>
          <w:sz w:val="22"/>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pStyle w:val="TextBody"/>
        <w:bidi w:val="0"/>
        <w:spacing w:before="0" w:after="240"/>
        <w:jc w:val="both"/>
        <w:rPr/>
      </w:pPr>
      <w:r>
        <w:rPr>
          <w:color w:val="000000"/>
        </w:rPr>
        <w:t>“</w:t>
      </w:r>
      <w:r>
        <w:rPr>
          <w:rFonts w:ascii="Times New Roman" w:hAnsi="Times New Roman"/>
          <w:color w:val="000000"/>
          <w:sz w:val="22"/>
          <w:u w:val="single"/>
        </w:rPr>
        <w:t>Overnight Bank Funding Rate</w:t>
      </w:r>
      <w:r>
        <w:rPr>
          <w:rFonts w:ascii="Times New Roman" w:hAnsi="Times New Roman"/>
          <w:color w:val="000000"/>
          <w:sz w:val="20"/>
        </w:rPr>
        <w:t>”</w:t>
      </w:r>
      <w:r>
        <w:rPr>
          <w:rFonts w:ascii="Times New Roman" w:hAnsi="Times New Roman"/>
          <w:color w:val="000000"/>
          <w:sz w:val="22"/>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with respect to any Lender, any Person as to which such Lender is, directly or indirectly, a subsidiary.</w:t>
      </w:r>
    </w:p>
    <w:p>
      <w:pPr>
        <w:pStyle w:val="TextBody"/>
        <w:bidi w:val="0"/>
        <w:spacing w:before="0" w:after="24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as defined in Section 10.6(c).</w:t>
      </w:r>
    </w:p>
    <w:p>
      <w:pPr>
        <w:pStyle w:val="TextBody"/>
        <w:bidi w:val="0"/>
        <w:spacing w:before="0" w:after="24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as defined in Section 10.6(c).</w:t>
      </w:r>
    </w:p>
    <w:p>
      <w:pPr>
        <w:pStyle w:val="TextBody"/>
        <w:bidi w:val="0"/>
        <w:spacing w:before="0" w:after="240"/>
        <w:jc w:val="both"/>
        <w:rPr/>
      </w:pPr>
      <w:r>
        <w:rPr>
          <w:color w:val="000000"/>
        </w:rPr>
        <w:t>“</w:t>
      </w:r>
      <w:r>
        <w:rPr>
          <w:rFonts w:ascii="Times New Roman" w:hAnsi="Times New Roman"/>
          <w:color w:val="000000"/>
          <w:sz w:val="22"/>
          <w:u w:val="single"/>
        </w:rPr>
        <w:t>Patriot Act</w:t>
      </w:r>
      <w:r>
        <w:rPr>
          <w:rFonts w:ascii="Times New Roman" w:hAnsi="Times New Roman"/>
          <w:color w:val="000000"/>
          <w:sz w:val="20"/>
        </w:rPr>
        <w:t>”</w:t>
      </w:r>
      <w:r>
        <w:rPr>
          <w:rFonts w:ascii="Times New Roman" w:hAnsi="Times New Roman"/>
          <w:color w:val="000000"/>
          <w:sz w:val="22"/>
        </w:rPr>
        <w:t>: as defined in Section 10.17.</w:t>
      </w:r>
    </w:p>
    <w:p>
      <w:pPr>
        <w:pStyle w:val="TextBody"/>
        <w:bidi w:val="0"/>
        <w:spacing w:before="0" w:after="240"/>
        <w:jc w:val="both"/>
        <w:rPr/>
      </w:pPr>
      <w:r>
        <w:rPr>
          <w:color w:val="000000"/>
        </w:rPr>
        <w:t>“</w:t>
      </w:r>
      <w:r>
        <w:rPr>
          <w:rFonts w:ascii="Times New Roman" w:hAnsi="Times New Roman"/>
          <w:color w:val="000000"/>
          <w:sz w:val="22"/>
          <w:u w:val="single"/>
        </w:rPr>
        <w:t>Payment</w:t>
      </w:r>
      <w:r>
        <w:rPr>
          <w:rFonts w:ascii="Times New Roman" w:hAnsi="Times New Roman"/>
          <w:color w:val="000000"/>
          <w:sz w:val="20"/>
        </w:rPr>
        <w:t>”</w:t>
      </w:r>
      <w:r>
        <w:rPr>
          <w:rFonts w:ascii="Times New Roman" w:hAnsi="Times New Roman"/>
          <w:color w:val="000000"/>
          <w:sz w:val="22"/>
        </w:rPr>
        <w:t>: has the meaning assigned to it in ‎Section 9.12(a).</w:t>
      </w:r>
    </w:p>
    <w:p>
      <w:pPr>
        <w:pStyle w:val="TextBody"/>
        <w:bidi w:val="0"/>
        <w:spacing w:before="0" w:after="240"/>
        <w:jc w:val="both"/>
        <w:rPr/>
      </w:pPr>
      <w:r>
        <w:rPr>
          <w:color w:val="000000"/>
        </w:rPr>
        <w:t>“</w:t>
      </w:r>
      <w:r>
        <w:rPr>
          <w:rFonts w:ascii="Times New Roman" w:hAnsi="Times New Roman"/>
          <w:color w:val="000000"/>
          <w:sz w:val="22"/>
          <w:u w:val="single"/>
        </w:rPr>
        <w:t>Payment Notice</w:t>
      </w:r>
      <w:r>
        <w:rPr>
          <w:rFonts w:ascii="Times New Roman" w:hAnsi="Times New Roman"/>
          <w:color w:val="000000"/>
          <w:sz w:val="20"/>
        </w:rPr>
        <w:t>”</w:t>
      </w:r>
      <w:r>
        <w:rPr>
          <w:rFonts w:ascii="Times New Roman" w:hAnsi="Times New Roman"/>
          <w:color w:val="000000"/>
          <w:sz w:val="22"/>
        </w:rPr>
        <w:t>: has the meaning assigned to it in ‎Section 9.12(b).</w:t>
      </w:r>
    </w:p>
    <w:p>
      <w:pPr>
        <w:pStyle w:val="TextBody"/>
        <w:bidi w:val="0"/>
        <w:spacing w:before="0" w:after="24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w:t>
      </w:r>
      <w:r>
        <w:rPr>
          <w:rFonts w:ascii="Times New Roman" w:hAnsi="Times New Roman"/>
          <w:color w:val="000000"/>
          <w:sz w:val="22"/>
        </w:rPr>
        <w:t>: the Pension Benefit Guaranty Corporation established pursuant to Subtitle A of Title IV of ERISA (or any successor).</w:t>
      </w:r>
    </w:p>
    <w:p>
      <w:pPr>
        <w:pStyle w:val="TextBody"/>
        <w:bidi w:val="0"/>
        <w:spacing w:before="0" w:after="240"/>
        <w:jc w:val="both"/>
        <w:rPr/>
      </w:pPr>
      <w:r>
        <w:rPr>
          <w:color w:val="000000"/>
        </w:rPr>
        <w:t>“</w:t>
      </w:r>
      <w:r>
        <w:rPr>
          <w:rFonts w:ascii="Times New Roman" w:hAnsi="Times New Roman"/>
          <w:color w:val="000000"/>
          <w:sz w:val="22"/>
          <w:u w:val="single"/>
        </w:rPr>
        <w:t>Pension Plan</w:t>
      </w:r>
      <w:r>
        <w:rPr>
          <w:rFonts w:ascii="Times New Roman" w:hAnsi="Times New Roman"/>
          <w:color w:val="000000"/>
          <w:sz w:val="20"/>
        </w:rPr>
        <w:t>”</w:t>
      </w:r>
      <w:r>
        <w:rPr>
          <w:rFonts w:ascii="Times New Roman" w:hAnsi="Times New Roman"/>
          <w:color w:val="000000"/>
          <w:sz w:val="22"/>
        </w:rPr>
        <w:t>: any Plan (other than a Multiemployer Plan) subject to the provisions of Title IV of ERISA or Section 412 of the Code or Section 302 of ERISA, and in respect of which any Group Member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color w:val="000000"/>
          <w:sz w:val="22"/>
          <w:u w:val="single"/>
        </w:rPr>
        <w:t>Permitted Bond Hedge</w:t>
      </w:r>
      <w:r>
        <w:rPr>
          <w:rFonts w:ascii="Times New Roman" w:hAnsi="Times New Roman"/>
          <w:color w:val="000000"/>
          <w:sz w:val="20"/>
        </w:rPr>
        <w:t>”</w:t>
      </w:r>
      <w:r>
        <w:rPr>
          <w:rFonts w:ascii="Times New Roman" w:hAnsi="Times New Roman"/>
          <w:color w:val="000000"/>
          <w:sz w:val="22"/>
        </w:rPr>
        <w:t>: any call option(s) or capped call option(s) in respect of the Borrower’s common stock purchased by the Borrower concurrently with the issuance of Convertible Notes to hedge the Borrower’s or the Subsidiary issuer’s equity price risk in respect of such Indebtedness.</w:t>
      </w:r>
    </w:p>
    <w:p>
      <w:pPr>
        <w:pStyle w:val="TextBody"/>
        <w:bidi w:val="0"/>
        <w:spacing w:before="0" w:after="240"/>
        <w:jc w:val="both"/>
        <w:rPr/>
      </w:pPr>
      <w:r>
        <w:rPr>
          <w:color w:val="000000"/>
        </w:rPr>
        <w:t>“</w:t>
      </w:r>
      <w:r>
        <w:rPr>
          <w:rFonts w:ascii="Times New Roman" w:hAnsi="Times New Roman"/>
          <w:color w:val="000000"/>
          <w:sz w:val="22"/>
          <w:u w:val="single"/>
        </w:rPr>
        <w:t>Permitted Warrant</w:t>
      </w:r>
      <w:r>
        <w:rPr>
          <w:rFonts w:ascii="Times New Roman" w:hAnsi="Times New Roman"/>
          <w:color w:val="000000"/>
          <w:sz w:val="20"/>
        </w:rPr>
        <w:t>”</w:t>
      </w:r>
      <w:r>
        <w:rPr>
          <w:rFonts w:ascii="Times New Roman" w:hAnsi="Times New Roman"/>
          <w:color w:val="000000"/>
          <w:sz w:val="22"/>
        </w:rPr>
        <w:t>: any call option in respect of the Borrower’s common stock sold by the Borrower concurrently with the issuance of Convertible Notes.</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w:t>
      </w:r>
      <w:r>
        <w:rPr>
          <w:rFonts w:ascii="Times New Roman" w:hAnsi="Times New Roman"/>
          <w:color w:val="000000"/>
          <w:sz w:val="22"/>
        </w:rPr>
        <w:t>: an individual, partnership, corporation, limited liability company, business trust, joint stock company, trust, unincorporated association, joint venture, Governmental Authority or other entity of whatever nature.</w:t>
      </w:r>
    </w:p>
    <w:p>
      <w:pPr>
        <w:pStyle w:val="TextBody"/>
        <w:bidi w:val="0"/>
        <w:spacing w:before="0" w:after="240"/>
        <w:jc w:val="both"/>
        <w:rPr/>
      </w:pPr>
      <w:r>
        <w:rPr>
          <w:color w:val="000000"/>
        </w:rPr>
        <w:t>“</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Group Member or any ERISA Affiliate is an “employer” as defined in Section 3(5) of ERISA.</w:t>
      </w:r>
    </w:p>
    <w:p>
      <w:pPr>
        <w:pStyle w:val="TextBody"/>
        <w:bidi w:val="0"/>
        <w:spacing w:before="0" w:after="240"/>
        <w:jc w:val="both"/>
        <w:rPr/>
      </w:pPr>
      <w:r>
        <w:rPr>
          <w:color w:val="000000"/>
        </w:rPr>
        <w:t>“</w:t>
      </w:r>
      <w:r>
        <w:rPr>
          <w:rFonts w:ascii="Times New Roman" w:hAnsi="Times New Roman"/>
          <w:color w:val="000000"/>
          <w:sz w:val="22"/>
          <w:u w:val="single"/>
        </w:rPr>
        <w:t>Plan Asset Regulations</w:t>
      </w:r>
      <w:r>
        <w:rPr>
          <w:rFonts w:ascii="Times New Roman" w:hAnsi="Times New Roman"/>
          <w:color w:val="000000"/>
          <w:sz w:val="20"/>
        </w:rPr>
        <w:t>”</w:t>
      </w:r>
      <w:r>
        <w:rPr>
          <w:rFonts w:ascii="Times New Roman" w:hAnsi="Times New Roman"/>
          <w:color w:val="000000"/>
          <w:sz w:val="22"/>
        </w:rPr>
        <w:t xml:space="preserve">: 29 CFR § 2510.3-101 </w:t>
      </w:r>
      <w:r>
        <w:rPr>
          <w:rFonts w:ascii="Times New Roman" w:hAnsi="Times New Roman"/>
          <w:i/>
          <w:color w:val="000000"/>
          <w:sz w:val="22"/>
        </w:rPr>
        <w:t>et seq.</w:t>
      </w:r>
      <w:r>
        <w:rPr>
          <w:rFonts w:ascii="Times New Roman" w:hAnsi="Times New Roman"/>
          <w:color w:val="000000"/>
          <w:sz w:val="22"/>
        </w:rPr>
        <w:t>, as modified by Section 3(42) of ERISA, as amended from time to time.</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0"/>
        </w:rPr>
        <w:t>”</w:t>
      </w:r>
      <w:r>
        <w:rPr>
          <w:rFonts w:ascii="Times New Roman" w:hAnsi="Times New Roman"/>
          <w:color w:val="000000"/>
          <w:sz w:val="22"/>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color w:val="000000"/>
          <w:sz w:val="22"/>
          <w:u w:val="single"/>
        </w:rPr>
        <w:t>Pro Forma Balance Sheet</w:t>
      </w:r>
      <w:r>
        <w:rPr>
          <w:rFonts w:ascii="Times New Roman" w:hAnsi="Times New Roman"/>
          <w:color w:val="000000"/>
          <w:sz w:val="20"/>
        </w:rPr>
        <w:t>”</w:t>
      </w:r>
      <w:r>
        <w:rPr>
          <w:rFonts w:ascii="Times New Roman" w:hAnsi="Times New Roman"/>
          <w:color w:val="000000"/>
          <w:sz w:val="22"/>
        </w:rPr>
        <w:t>: as defined in Section 4.1(a).</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Projections</w:t>
      </w:r>
      <w:r>
        <w:rPr>
          <w:rFonts w:ascii="Times New Roman" w:hAnsi="Times New Roman"/>
          <w:color w:val="000000"/>
          <w:sz w:val="20"/>
        </w:rPr>
        <w:t>”</w:t>
      </w:r>
      <w:r>
        <w:rPr>
          <w:rFonts w:ascii="Times New Roman" w:hAnsi="Times New Roman"/>
          <w:color w:val="000000"/>
          <w:sz w:val="22"/>
        </w:rPr>
        <w:t>: as defined in Section 6.2(c).</w:t>
      </w:r>
    </w:p>
    <w:p>
      <w:pPr>
        <w:pStyle w:val="TextBody"/>
        <w:bidi w:val="0"/>
        <w:spacing w:before="0" w:after="240"/>
        <w:jc w:val="both"/>
        <w:rPr/>
      </w:pPr>
      <w:r>
        <w:rPr>
          <w:color w:val="000000"/>
        </w:rPr>
        <w:t>“</w:t>
      </w:r>
      <w:r>
        <w:rPr>
          <w:rFonts w:ascii="Times New Roman" w:hAnsi="Times New Roman"/>
          <w:color w:val="000000"/>
          <w:sz w:val="22"/>
          <w:u w:val="single"/>
        </w:rPr>
        <w:t>Properties</w:t>
      </w:r>
      <w:r>
        <w:rPr>
          <w:rFonts w:ascii="Times New Roman" w:hAnsi="Times New Roman"/>
          <w:color w:val="000000"/>
          <w:sz w:val="20"/>
        </w:rPr>
        <w:t>”</w:t>
      </w:r>
      <w:r>
        <w:rPr>
          <w:rFonts w:ascii="Times New Roman" w:hAnsi="Times New Roman"/>
          <w:color w:val="000000"/>
          <w:sz w:val="22"/>
        </w:rPr>
        <w:t>: as defined in Section 4.17(a).</w:t>
      </w:r>
    </w:p>
    <w:p>
      <w:pPr>
        <w:pStyle w:val="TextBody"/>
        <w:bidi w:val="0"/>
        <w:spacing w:before="0" w:after="240"/>
        <w:jc w:val="both"/>
        <w:rPr/>
      </w:pPr>
      <w:r>
        <w:rPr>
          <w:color w:val="000000"/>
        </w:rPr>
        <w:t>“</w:t>
      </w:r>
      <w:r>
        <w:rPr>
          <w:rFonts w:ascii="Times New Roman" w:hAnsi="Times New Roman"/>
          <w:color w:val="000000"/>
          <w:sz w:val="22"/>
          <w:u w:val="single"/>
        </w:rPr>
        <w:t>PTE</w:t>
      </w:r>
      <w:r>
        <w:rPr>
          <w:rFonts w:ascii="Times New Roman" w:hAnsi="Times New Roman"/>
          <w:color w:val="000000"/>
          <w:sz w:val="20"/>
        </w:rPr>
        <w:t>”</w:t>
      </w:r>
      <w:r>
        <w:rPr>
          <w:rFonts w:ascii="Times New Roman" w:hAnsi="Times New Roman"/>
          <w:color w:val="000000"/>
          <w:sz w:val="22"/>
        </w:rPr>
        <w:t>: a prohibited transaction class exemption issued by the U.S. Department of Labor, as amended from time to time.</w:t>
      </w:r>
    </w:p>
    <w:p>
      <w:pPr>
        <w:pStyle w:val="TextBody"/>
        <w:bidi w:val="0"/>
        <w:spacing w:before="0" w:after="240"/>
        <w:jc w:val="both"/>
        <w:rPr/>
      </w:pPr>
      <w:r>
        <w:rPr>
          <w:color w:val="000000"/>
        </w:rPr>
        <w:t>“</w:t>
      </w:r>
      <w:r>
        <w:rPr>
          <w:rFonts w:ascii="Times New Roman" w:hAnsi="Times New Roman"/>
          <w:color w:val="000000"/>
          <w:sz w:val="22"/>
          <w:u w:val="single"/>
        </w:rPr>
        <w:t>QFC</w:t>
      </w:r>
      <w:r>
        <w:rPr>
          <w:rFonts w:ascii="Times New Roman" w:hAnsi="Times New Roman"/>
          <w:color w:val="000000"/>
          <w:sz w:val="20"/>
        </w:rPr>
        <w:t>”</w:t>
      </w:r>
      <w:r>
        <w:rPr>
          <w:rFonts w:ascii="Times New Roman" w:hAnsi="Times New Roman"/>
          <w:color w:val="000000"/>
          <w:sz w:val="22"/>
        </w:rPr>
        <w:t>: as defined as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w:t>
      </w:r>
      <w:r>
        <w:rPr>
          <w:rFonts w:ascii="Times New Roman" w:hAnsi="Times New Roman"/>
          <w:color w:val="000000"/>
          <w:sz w:val="22"/>
        </w:rPr>
        <w:t>: as defined in Section 10.19.</w:t>
      </w:r>
    </w:p>
    <w:p>
      <w:pPr>
        <w:pStyle w:val="TextBody"/>
        <w:bidi w:val="0"/>
        <w:spacing w:before="0" w:after="240"/>
        <w:jc w:val="both"/>
        <w:rPr/>
      </w:pPr>
      <w:r>
        <w:rPr>
          <w:color w:val="000000"/>
        </w:rPr>
        <w:t>“</w:t>
      </w:r>
      <w:r>
        <w:rPr>
          <w:rFonts w:ascii="Times New Roman" w:hAnsi="Times New Roman"/>
          <w:color w:val="000000"/>
          <w:sz w:val="22"/>
          <w:u w:val="single"/>
        </w:rPr>
        <w:t>Receivables Financing</w:t>
      </w:r>
      <w:r>
        <w:rPr>
          <w:rFonts w:ascii="Times New Roman" w:hAnsi="Times New Roman"/>
          <w:color w:val="000000"/>
          <w:sz w:val="20"/>
        </w:rPr>
        <w:t>”</w:t>
      </w:r>
      <w:r>
        <w:rPr>
          <w:rFonts w:ascii="Times New Roman" w:hAnsi="Times New Roman"/>
          <w:color w:val="000000"/>
          <w:sz w:val="22"/>
        </w:rPr>
        <w:t xml:space="preserve">: the Existing Receivables Facility and any future financing arrangement among the Borrower, certain Subsidiaries of the Borrower, including a Specified Receivables Subsidiary, and certain other parties pursuant to which Subsidiaries of the Borrower will sell substantially all of their accounts receivable from time to time to the Specified Receivables Subsidiary which will, in turn, sell or pledge such receivables to certain third party lenders or investors for a purchase price or loan from such lenders or investors, as applicable;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 xml:space="preserve">that, </w:t>
      </w:r>
      <w:r>
        <w:rPr>
          <w:rFonts w:ascii="Times New Roman" w:hAnsi="Times New Roman"/>
          <w:color w:val="000000"/>
          <w:sz w:val="22"/>
        </w:rPr>
        <w:t>the aggregate outstanding amount of such purchase price or loan from such lenders or investors under all Receivables Financings shall not at any time exceed $600,000,000.</w:t>
      </w:r>
    </w:p>
    <w:p>
      <w:pPr>
        <w:pStyle w:val="TextBody"/>
        <w:bidi w:val="0"/>
        <w:spacing w:before="0" w:after="240"/>
        <w:jc w:val="both"/>
        <w:rPr/>
      </w:pPr>
      <w:r>
        <w:rPr>
          <w:color w:val="000000"/>
        </w:rPr>
        <w:t>“</w:t>
      </w:r>
      <w:r>
        <w:rPr>
          <w:rFonts w:ascii="Times New Roman" w:hAnsi="Times New Roman"/>
          <w:color w:val="000000"/>
          <w:sz w:val="22"/>
          <w:u w:val="single"/>
        </w:rPr>
        <w:t>Recovery Event</w:t>
      </w:r>
      <w:r>
        <w:rPr>
          <w:rFonts w:ascii="Times New Roman" w:hAnsi="Times New Roman"/>
          <w:color w:val="000000"/>
          <w:sz w:val="20"/>
        </w:rPr>
        <w:t>”</w:t>
      </w:r>
      <w:r>
        <w:rPr>
          <w:rFonts w:ascii="Times New Roman" w:hAnsi="Times New Roman"/>
          <w:color w:val="000000"/>
          <w:sz w:val="22"/>
        </w:rPr>
        <w:t>: any settlement of or payment in respect of any property or casualty insurance claim (excluding any business interruption insurance) or any condemnation proceeding relating to any asset of any Group Member.</w:t>
      </w:r>
    </w:p>
    <w:p>
      <w:pPr>
        <w:pStyle w:val="TextBody"/>
        <w:bidi w:val="0"/>
        <w:spacing w:before="0" w:after="240"/>
        <w:jc w:val="both"/>
        <w:rPr/>
      </w:pPr>
      <w:r>
        <w:rPr>
          <w:color w:val="000000"/>
        </w:rPr>
        <w:t>“</w:t>
      </w:r>
      <w:r>
        <w:rPr>
          <w:rFonts w:ascii="Times New Roman" w:hAnsi="Times New Roman"/>
          <w:color w:val="000000"/>
          <w:sz w:val="22"/>
          <w:u w:val="single"/>
        </w:rPr>
        <w:t>Reference Time</w:t>
      </w:r>
      <w:r>
        <w:rPr>
          <w:rFonts w:ascii="Times New Roman" w:hAnsi="Times New Roman"/>
          <w:color w:val="000000"/>
          <w:sz w:val="20"/>
        </w:rPr>
        <w:t>”</w:t>
      </w:r>
      <w:r>
        <w:rPr>
          <w:rFonts w:ascii="Times New Roman" w:hAnsi="Times New Roman"/>
          <w:color w:val="000000"/>
          <w:sz w:val="22"/>
        </w:rPr>
        <w:t>: with respect to any setting of the then-current Benchmark means (1) if such Benchmark is the Term SOFR Rate, 5:00 a.m. (Chicago time) on the day that is two U.S. Government Securities Business Days preceding the date of such setting , (2) if following a Benchmark Transition Event and a Benchmark Replacement Date with respect to the Term SOFR Rate, RFR for such Benchmark is Daily Simple SOFR, then four U.S. Government Securities Business Days prior to such setting or (3) if such Benchmark is none of the Term SOFR Rate or Daily Simple SOFR, the time determined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2"/>
          <w:u w:val="single"/>
        </w:rPr>
        <w:t>Refinancing Indebtedness</w:t>
      </w:r>
      <w:r>
        <w:rPr>
          <w:rFonts w:ascii="Times New Roman" w:hAnsi="Times New Roman"/>
          <w:color w:val="000000"/>
          <w:sz w:val="20"/>
        </w:rPr>
        <w:t>”</w:t>
      </w:r>
      <w:r>
        <w:rPr>
          <w:rFonts w:ascii="Times New Roman" w:hAnsi="Times New Roman"/>
          <w:color w:val="000000"/>
          <w:sz w:val="22"/>
        </w:rPr>
        <w:t>: as defined in Section 7.2(m).</w:t>
      </w:r>
    </w:p>
    <w:p>
      <w:pPr>
        <w:pStyle w:val="TextBody"/>
        <w:bidi w:val="0"/>
        <w:spacing w:before="0" w:after="240"/>
        <w:jc w:val="both"/>
        <w:rPr/>
      </w:pPr>
      <w:r>
        <w:rPr>
          <w:color w:val="000000"/>
        </w:rPr>
        <w:t>“</w:t>
      </w:r>
      <w:r>
        <w:rPr>
          <w:rFonts w:ascii="Times New Roman" w:hAnsi="Times New Roman"/>
          <w:color w:val="000000"/>
          <w:sz w:val="22"/>
          <w:u w:val="single"/>
        </w:rPr>
        <w:t>Refunded Swingline Loans</w:t>
      </w:r>
      <w:r>
        <w:rPr>
          <w:rFonts w:ascii="Times New Roman" w:hAnsi="Times New Roman"/>
          <w:color w:val="000000"/>
          <w:sz w:val="20"/>
        </w:rPr>
        <w:t>”</w:t>
      </w:r>
      <w:r>
        <w:rPr>
          <w:rFonts w:ascii="Times New Roman" w:hAnsi="Times New Roman"/>
          <w:color w:val="000000"/>
          <w:sz w:val="22"/>
        </w:rPr>
        <w:t>: as defined in Section 2.7(b).</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as defined in Section 10.6(b)(iv).</w:t>
      </w:r>
    </w:p>
    <w:p>
      <w:pPr>
        <w:pStyle w:val="TextBody"/>
        <w:bidi w:val="0"/>
        <w:spacing w:before="0" w:after="240"/>
        <w:jc w:val="both"/>
        <w:rPr/>
      </w:pPr>
      <w:r>
        <w:rPr>
          <w:color w:val="000000"/>
        </w:rPr>
        <w:t>“</w:t>
      </w:r>
      <w:r>
        <w:rPr>
          <w:rFonts w:ascii="Times New Roman" w:hAnsi="Times New Roman"/>
          <w:color w:val="000000"/>
          <w:sz w:val="22"/>
          <w:u w:val="single"/>
        </w:rPr>
        <w:t>Regulation U</w:t>
      </w:r>
      <w:r>
        <w:rPr>
          <w:rFonts w:ascii="Times New Roman" w:hAnsi="Times New Roman"/>
          <w:color w:val="000000"/>
          <w:sz w:val="20"/>
        </w:rPr>
        <w:t>”</w:t>
      </w:r>
      <w:r>
        <w:rPr>
          <w:rFonts w:ascii="Times New Roman" w:hAnsi="Times New Roman"/>
          <w:color w:val="000000"/>
          <w:sz w:val="22"/>
        </w:rPr>
        <w:t>: Regulation U of the Board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Regulatory Authority</w:t>
      </w:r>
      <w:r>
        <w:rPr>
          <w:rFonts w:ascii="Times New Roman" w:hAnsi="Times New Roman"/>
          <w:color w:val="000000"/>
          <w:sz w:val="20"/>
        </w:rPr>
        <w:t>”</w:t>
      </w:r>
      <w:r>
        <w:rPr>
          <w:rFonts w:ascii="Times New Roman" w:hAnsi="Times New Roman"/>
          <w:color w:val="000000"/>
          <w:sz w:val="22"/>
        </w:rPr>
        <w:t>: as defined in Section 10.15.</w:t>
      </w:r>
    </w:p>
    <w:p>
      <w:pPr>
        <w:pStyle w:val="TextBody"/>
        <w:bidi w:val="0"/>
        <w:spacing w:before="0" w:after="240"/>
        <w:jc w:val="both"/>
        <w:rPr/>
      </w:pPr>
      <w:r>
        <w:rPr>
          <w:color w:val="000000"/>
        </w:rPr>
        <w:t>“</w:t>
      </w:r>
      <w:r>
        <w:rPr>
          <w:rFonts w:ascii="Times New Roman" w:hAnsi="Times New Roman"/>
          <w:color w:val="000000"/>
          <w:sz w:val="22"/>
          <w:u w:val="single"/>
        </w:rPr>
        <w:t>Reimbursement Obligation</w:t>
      </w:r>
      <w:r>
        <w:rPr>
          <w:rFonts w:ascii="Times New Roman" w:hAnsi="Times New Roman"/>
          <w:color w:val="000000"/>
          <w:sz w:val="20"/>
        </w:rPr>
        <w:t>”</w:t>
      </w:r>
      <w:r>
        <w:rPr>
          <w:rFonts w:ascii="Times New Roman" w:hAnsi="Times New Roman"/>
          <w:color w:val="000000"/>
          <w:sz w:val="22"/>
        </w:rPr>
        <w:t>: the obligation of the Borrower to reimburse the applicable Issuing Lender pursuant to Section 3.5 for amounts drawn under Letters of Credit.</w:t>
      </w:r>
    </w:p>
    <w:p>
      <w:pPr>
        <w:pStyle w:val="TextBody"/>
        <w:bidi w:val="0"/>
        <w:spacing w:before="0" w:after="240"/>
        <w:jc w:val="both"/>
        <w:rPr/>
      </w:pPr>
      <w:r>
        <w:rPr>
          <w:color w:val="000000"/>
        </w:rPr>
        <w:t>“</w:t>
      </w:r>
      <w:r>
        <w:rPr>
          <w:rFonts w:ascii="Times New Roman" w:hAnsi="Times New Roman"/>
          <w:color w:val="000000"/>
          <w:sz w:val="22"/>
          <w:u w:val="single"/>
        </w:rPr>
        <w:t>Reinvestment Deferred Amount</w:t>
      </w:r>
      <w:r>
        <w:rPr>
          <w:rFonts w:ascii="Times New Roman" w:hAnsi="Times New Roman"/>
          <w:color w:val="000000"/>
          <w:sz w:val="20"/>
        </w:rPr>
        <w:t>”</w:t>
      </w:r>
      <w:r>
        <w:rPr>
          <w:rFonts w:ascii="Times New Roman" w:hAnsi="Times New Roman"/>
          <w:color w:val="000000"/>
          <w:sz w:val="22"/>
        </w:rPr>
        <w:t>: with respect to any Reinvestment Event, the aggregate Net Cash Proceeds received by any Group Member in connection therewith that are not applied to prepay the Term Loans or reduce the Revolving Commitments pursuant to Section 2.11(b) as a result of the delivery of a Reinvestment Notice.</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Reinvestment Event</w:t>
      </w:r>
      <w:r>
        <w:rPr>
          <w:rFonts w:ascii="Times New Roman" w:hAnsi="Times New Roman"/>
          <w:color w:val="000000"/>
          <w:sz w:val="20"/>
        </w:rPr>
        <w:t>”</w:t>
      </w:r>
      <w:r>
        <w:rPr>
          <w:rFonts w:ascii="Times New Roman" w:hAnsi="Times New Roman"/>
          <w:color w:val="000000"/>
          <w:sz w:val="22"/>
        </w:rPr>
        <w:t>: any Asset Sale or Recovery Event in respect of which the Borrower has delivered a Reinvestment Notice.</w:t>
      </w:r>
    </w:p>
    <w:p>
      <w:pPr>
        <w:pStyle w:val="TextBody"/>
        <w:bidi w:val="0"/>
        <w:spacing w:before="0" w:after="240"/>
        <w:jc w:val="both"/>
        <w:rPr/>
      </w:pPr>
      <w:r>
        <w:rPr>
          <w:color w:val="000000"/>
        </w:rPr>
        <w:t>“</w:t>
      </w:r>
      <w:r>
        <w:rPr>
          <w:rFonts w:ascii="Times New Roman" w:hAnsi="Times New Roman"/>
          <w:color w:val="000000"/>
          <w:sz w:val="22"/>
          <w:u w:val="single"/>
        </w:rPr>
        <w:t>Reinvestment Notice</w:t>
      </w:r>
      <w:r>
        <w:rPr>
          <w:rFonts w:ascii="Times New Roman" w:hAnsi="Times New Roman"/>
          <w:color w:val="000000"/>
          <w:sz w:val="20"/>
        </w:rPr>
        <w:t>”</w:t>
      </w:r>
      <w:r>
        <w:rPr>
          <w:rFonts w:ascii="Times New Roman" w:hAnsi="Times New Roman"/>
          <w:color w:val="000000"/>
          <w:sz w:val="22"/>
        </w:rPr>
        <w:t>: a written notice executed by a Responsible Officer stating that no Event of Default has occurred and is continuing and that the Borrower (directly or indirectly through a Subsidiary) intends and expects to use all or a specified portion of the Net Cash Proceeds of an Asset Sale or Recovery Event to acquire, replace or repair assets useful in its business.</w:t>
      </w:r>
    </w:p>
    <w:p>
      <w:pPr>
        <w:pStyle w:val="TextBody"/>
        <w:bidi w:val="0"/>
        <w:spacing w:before="0" w:after="240"/>
        <w:jc w:val="both"/>
        <w:rPr/>
      </w:pPr>
      <w:r>
        <w:rPr>
          <w:color w:val="000000"/>
        </w:rPr>
        <w:t>“</w:t>
      </w:r>
      <w:r>
        <w:rPr>
          <w:rFonts w:ascii="Times New Roman" w:hAnsi="Times New Roman"/>
          <w:color w:val="000000"/>
          <w:sz w:val="22"/>
          <w:u w:val="single"/>
        </w:rPr>
        <w:t>Reinvestment Prepayment Amount</w:t>
      </w:r>
      <w:r>
        <w:rPr>
          <w:rFonts w:ascii="Times New Roman" w:hAnsi="Times New Roman"/>
          <w:color w:val="000000"/>
          <w:sz w:val="20"/>
        </w:rPr>
        <w:t>”</w:t>
      </w:r>
      <w:r>
        <w:rPr>
          <w:rFonts w:ascii="Times New Roman" w:hAnsi="Times New Roman"/>
          <w:color w:val="000000"/>
          <w:sz w:val="22"/>
        </w:rPr>
        <w:t>: with respect to any Reinvestment Event, the Reinvestment Deferred Amount relating thereto less any amount expended prior to the relevant Reinvestment Prepayment Date to acquire, replace or repair assets useful in the Borrower’s business.</w:t>
      </w:r>
    </w:p>
    <w:p>
      <w:pPr>
        <w:pStyle w:val="TextBody"/>
        <w:bidi w:val="0"/>
        <w:spacing w:before="0" w:after="240"/>
        <w:jc w:val="both"/>
        <w:rPr/>
      </w:pPr>
      <w:r>
        <w:rPr>
          <w:color w:val="000000"/>
        </w:rPr>
        <w:t>“</w:t>
      </w:r>
      <w:r>
        <w:rPr>
          <w:rFonts w:ascii="Times New Roman" w:hAnsi="Times New Roman"/>
          <w:color w:val="000000"/>
          <w:sz w:val="22"/>
          <w:u w:val="single"/>
        </w:rPr>
        <w:t>Reinvestment Prepayment Date</w:t>
      </w:r>
      <w:r>
        <w:rPr>
          <w:rFonts w:ascii="Times New Roman" w:hAnsi="Times New Roman"/>
          <w:color w:val="000000"/>
          <w:sz w:val="20"/>
        </w:rPr>
        <w:t>”</w:t>
      </w:r>
      <w:r>
        <w:rPr>
          <w:rFonts w:ascii="Times New Roman" w:hAnsi="Times New Roman"/>
          <w:color w:val="000000"/>
          <w:sz w:val="22"/>
        </w:rPr>
        <w:t>: with respect to any Reinvestment Event, the earlier of (a) the date occurring fifteen months after such Reinvestment Event and (b) the date on which the Borrower shall have determined not to, or shall have otherwise ceased to, acquire or repair assets useful in the Borrower’s business with all or any portion of the relevant Reinvestment Deferred Amount.</w:t>
      </w:r>
    </w:p>
    <w:p>
      <w:pPr>
        <w:pStyle w:val="TextBody"/>
        <w:bidi w:val="0"/>
        <w:spacing w:before="0" w:after="240"/>
        <w:jc w:val="both"/>
        <w:rPr/>
      </w:pPr>
      <w:r>
        <w:rPr>
          <w:color w:val="000000"/>
        </w:rPr>
        <w:t>“</w:t>
      </w:r>
      <w:r>
        <w:rPr>
          <w:rFonts w:ascii="Times New Roman" w:hAnsi="Times New Roman"/>
          <w:color w:val="000000"/>
          <w:sz w:val="22"/>
          <w:u w:val="single"/>
        </w:rPr>
        <w:t>Relevant Governmental Body</w:t>
      </w:r>
      <w:r>
        <w:rPr>
          <w:rFonts w:ascii="Times New Roman" w:hAnsi="Times New Roman"/>
          <w:color w:val="000000"/>
          <w:sz w:val="20"/>
        </w:rPr>
        <w:t>”</w:t>
      </w:r>
      <w:r>
        <w:rPr>
          <w:rFonts w:ascii="Times New Roman" w:hAnsi="Times New Roman"/>
          <w:color w:val="000000"/>
          <w:sz w:val="22"/>
        </w:rPr>
        <w:t>: the Federal Reserve Board and/or the NYFRB, or a committee officially endorsed or convened by the Federal Reserve Board and/or the NYFRB or, in each case, any successor thereto.</w:t>
      </w:r>
    </w:p>
    <w:p>
      <w:pPr>
        <w:pStyle w:val="TextBody"/>
        <w:bidi w:val="0"/>
        <w:spacing w:before="0" w:after="240"/>
        <w:jc w:val="both"/>
        <w:rPr/>
      </w:pPr>
      <w:r>
        <w:rPr>
          <w:color w:val="000000"/>
        </w:rPr>
        <w:t>“</w:t>
      </w:r>
      <w:r>
        <w:rPr>
          <w:rFonts w:ascii="Times New Roman" w:hAnsi="Times New Roman"/>
          <w:color w:val="000000"/>
          <w:sz w:val="22"/>
          <w:u w:val="single"/>
        </w:rPr>
        <w:t>Relevant Rate</w:t>
      </w:r>
      <w:r>
        <w:rPr>
          <w:rFonts w:ascii="Times New Roman" w:hAnsi="Times New Roman"/>
          <w:color w:val="000000"/>
          <w:sz w:val="20"/>
        </w:rPr>
        <w:t>”</w:t>
      </w:r>
      <w:r>
        <w:rPr>
          <w:rFonts w:ascii="Times New Roman" w:hAnsi="Times New Roman"/>
          <w:color w:val="000000"/>
          <w:sz w:val="22"/>
        </w:rPr>
        <w:t>: (i) with respect to any Term Benchmark Borrowing, the Adjusted Term SOFR Rate or (ii) with respect to any RFR Borrowing, the Adjusted Daily Simple SOFR, as applicable.</w:t>
      </w:r>
    </w:p>
    <w:p>
      <w:pPr>
        <w:pStyle w:val="TextBody"/>
        <w:bidi w:val="0"/>
        <w:spacing w:before="0" w:after="240"/>
        <w:jc w:val="both"/>
        <w:rPr/>
      </w:pPr>
      <w:r>
        <w:rPr>
          <w:color w:val="000000"/>
        </w:rPr>
        <w:t>“</w:t>
      </w:r>
      <w:r>
        <w:rPr>
          <w:rFonts w:ascii="Times New Roman" w:hAnsi="Times New Roman"/>
          <w:color w:val="000000"/>
          <w:sz w:val="22"/>
          <w:u w:val="single"/>
        </w:rPr>
        <w:t>Replacement Term Loans</w:t>
      </w:r>
      <w:r>
        <w:rPr>
          <w:rFonts w:ascii="Times New Roman" w:hAnsi="Times New Roman"/>
          <w:color w:val="000000"/>
          <w:sz w:val="20"/>
        </w:rPr>
        <w:t>”</w:t>
      </w:r>
      <w:r>
        <w:rPr>
          <w:rFonts w:ascii="Times New Roman" w:hAnsi="Times New Roman"/>
          <w:color w:val="000000"/>
          <w:sz w:val="22"/>
        </w:rPr>
        <w:t>: as defined in Section 10.1(c).</w:t>
      </w:r>
    </w:p>
    <w:p>
      <w:pPr>
        <w:pStyle w:val="TextBody"/>
        <w:bidi w:val="0"/>
        <w:spacing w:before="0" w:after="240"/>
        <w:jc w:val="both"/>
        <w:rPr/>
      </w:pPr>
      <w:r>
        <w:rPr>
          <w:color w:val="000000"/>
        </w:rPr>
        <w:t>“</w:t>
      </w:r>
      <w:r>
        <w:rPr>
          <w:rFonts w:ascii="Times New Roman" w:hAnsi="Times New Roman"/>
          <w:color w:val="000000"/>
          <w:sz w:val="22"/>
          <w:u w:val="single"/>
        </w:rPr>
        <w:t>Reportable Event</w:t>
      </w:r>
      <w:r>
        <w:rPr>
          <w:rFonts w:ascii="Times New Roman" w:hAnsi="Times New Roman"/>
          <w:color w:val="000000"/>
          <w:sz w:val="20"/>
        </w:rPr>
        <w:t>”</w:t>
      </w:r>
      <w:r>
        <w:rPr>
          <w:rFonts w:ascii="Times New Roman" w:hAnsi="Times New Roman"/>
          <w:color w:val="000000"/>
          <w:sz w:val="22"/>
        </w:rPr>
        <w:t>: any of the events set forth in Section 4043(c) of ERISA with respect to a Pension Plan, other than those events as to which the thirty day notice period is waived.</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w:t>
      </w:r>
      <w:r>
        <w:rPr>
          <w:rFonts w:ascii="Times New Roman" w:hAnsi="Times New Roman"/>
          <w:color w:val="000000"/>
          <w:sz w:val="22"/>
        </w:rPr>
        <w:t>: at any time, the holders of more than 50% of (a) until the Closing Date, the Commitments then in effect and (b) thereafter, the sum of (i) the aggregate unpaid principal amount of the Term Loans then outstanding, (ii) the Total Revolving Commitments or, if the Revolving Commitments have been terminated, the Total Revolving Extensions of Credit then outstanding</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(iii) the total amount of the 2026 Delayed Draw Term Loan Commitments outstanding at such time</w:t>
      </w:r>
      <w:r>
        <w:rPr>
          <w:rFonts w:ascii="Times New Roman" w:hAnsi="Times New Roman"/>
          <w:color w:val="0000FF"/>
          <w:sz w:val="20"/>
          <w:u w:val="single"/>
        </w:rPr>
        <w:t xml:space="preserve"> </w:t>
      </w:r>
      <w:r>
        <w:rPr>
          <w:rFonts w:ascii="Times New Roman" w:hAnsi="Times New Roman"/>
          <w:color w:val="0000FF"/>
          <w:sz w:val="22"/>
          <w:u w:val="single"/>
        </w:rPr>
        <w:t>and (iv) the total amount of the 2026-2 Delayed Draw Term Loan Commitments outstanding at such time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Requirement of Law</w:t>
      </w:r>
      <w:r>
        <w:rPr>
          <w:rFonts w:ascii="Times New Roman" w:hAnsi="Times New Roman"/>
          <w:color w:val="000000"/>
          <w:sz w:val="20"/>
        </w:rPr>
        <w:t>”</w:t>
      </w:r>
      <w:r>
        <w:rPr>
          <w:rFonts w:ascii="Times New Roman" w:hAnsi="Times New Roman"/>
          <w:color w:val="000000"/>
          <w:sz w:val="22"/>
        </w:rPr>
        <w:t>: as to any Person, (i) the certificate of incorporation and by</w:t>
        <w:noBreakHyphen/>
        <w:t>laws or other organizational or governing documents of such Person, (ii) any law, treaty, rule or regulation or determination of an arbitrator or a court or other Governmental Authority, and (iii) any orders, directives, guidelines, instructions, decisions, bulletins, policies or requirements enacted, adopted, promulgated or imposed by any Governmental Authority,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w:t>
      </w:r>
      <w:r>
        <w:rPr>
          <w:rFonts w:ascii="Times New Roman" w:hAnsi="Times New Roman"/>
          <w:color w:val="000000"/>
          <w:sz w:val="22"/>
        </w:rPr>
        <w:t>: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w:t>
      </w:r>
      <w:r>
        <w:rPr>
          <w:rFonts w:ascii="Times New Roman" w:hAnsi="Times New Roman"/>
          <w:color w:val="000000"/>
          <w:sz w:val="22"/>
        </w:rPr>
        <w:t>: the chief executive officer, president, chief financial officer or vice president and treasurer of the Borrower, but in any event, with respect to financial matters, the chief financial officer of the Borrower.</w:t>
      </w:r>
    </w:p>
    <w:p>
      <w:pPr>
        <w:pStyle w:val="TextBody"/>
        <w:bidi w:val="0"/>
        <w:spacing w:before="0" w:after="240"/>
        <w:jc w:val="both"/>
        <w:rPr/>
      </w:pPr>
      <w:r>
        <w:rPr>
          <w:color w:val="000000"/>
        </w:rPr>
        <w:t>“</w:t>
      </w:r>
      <w:r>
        <w:rPr>
          <w:rFonts w:ascii="Times New Roman" w:hAnsi="Times New Roman"/>
          <w:color w:val="000000"/>
          <w:sz w:val="22"/>
          <w:u w:val="single"/>
        </w:rPr>
        <w:t>Restricted Payments</w:t>
      </w:r>
      <w:r>
        <w:rPr>
          <w:rFonts w:ascii="Times New Roman" w:hAnsi="Times New Roman"/>
          <w:color w:val="000000"/>
          <w:sz w:val="20"/>
        </w:rPr>
        <w:t>”</w:t>
      </w:r>
      <w:r>
        <w:rPr>
          <w:rFonts w:ascii="Times New Roman" w:hAnsi="Times New Roman"/>
          <w:color w:val="000000"/>
          <w:sz w:val="22"/>
        </w:rPr>
        <w:t>: as defined in Section 7.6.</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Revolving Borrowing</w:t>
      </w:r>
      <w:r>
        <w:rPr>
          <w:rFonts w:ascii="Times New Roman" w:hAnsi="Times New Roman"/>
          <w:color w:val="000000"/>
          <w:sz w:val="20"/>
        </w:rPr>
        <w:t>”</w:t>
      </w:r>
      <w:r>
        <w:rPr>
          <w:rFonts w:ascii="Times New Roman" w:hAnsi="Times New Roman"/>
          <w:color w:val="000000"/>
          <w:sz w:val="22"/>
        </w:rPr>
        <w:t>: Revolving Loans of the same Type, made, converted or continued on the same date and, in the case of Term Benchmark Loans, as to which a single Interest Period is in effect.</w:t>
      </w:r>
    </w:p>
    <w:p>
      <w:pPr>
        <w:pStyle w:val="TextBody"/>
        <w:bidi w:val="0"/>
        <w:spacing w:before="0" w:after="240"/>
        <w:jc w:val="both"/>
        <w:rPr/>
      </w:pPr>
      <w:r>
        <w:rPr>
          <w:color w:val="000000"/>
        </w:rPr>
        <w:t>“</w:t>
      </w:r>
      <w:r>
        <w:rPr>
          <w:rFonts w:ascii="Times New Roman" w:hAnsi="Times New Roman"/>
          <w:color w:val="000000"/>
          <w:sz w:val="22"/>
          <w:u w:val="single"/>
        </w:rPr>
        <w:t>Revolving Commitment</w:t>
      </w:r>
      <w:r>
        <w:rPr>
          <w:rFonts w:ascii="Times New Roman" w:hAnsi="Times New Roman"/>
          <w:color w:val="000000"/>
          <w:sz w:val="20"/>
        </w:rPr>
        <w:t>”</w:t>
      </w:r>
      <w:r>
        <w:rPr>
          <w:rFonts w:ascii="Times New Roman" w:hAnsi="Times New Roman"/>
          <w:color w:val="000000"/>
          <w:sz w:val="22"/>
        </w:rPr>
        <w:t xml:space="preserve">: as to any Lender, the obligation of such Lender, if any, to make Revolving Loans and participate in Swingline Loans and Letters of Credit in an aggregate principal and/or face amount not to exceed the amount set forth under the heading “Revolving Commitment” opposite such Lender’s name on Schedule 1.1A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amount set forth under the heading “2026 Incremental Revolving Commitment” opposite such Lender’s name on Schedule 1.1A or in the Assignment and Assumption pursuant to which such Lender became a party hereto, as the same may be changed from time to time pursuant to the terms hereof. The original amount of the Total Revolving Commitments was $1,300,000,000. The amount of the Total Revolving Commitments as of the Eleventh Amendment Effective Date, after giving effect to the 2026 Incremental Revolving Commitments, is $1,500,000,000. After giving effect to (a) any reduction in such amount from time to time pursuant to Section 2.9 and (b) any reduction or increase in such amount from time to time pursuant to assignments by or to such Lender pursuant to Section 10.6, at no time shall the Revolving Extensions of Credit of any Lender exceed its Revolving Commitment.</w:t>
      </w:r>
    </w:p>
    <w:p>
      <w:pPr>
        <w:pStyle w:val="TextBody"/>
        <w:bidi w:val="0"/>
        <w:spacing w:before="0" w:after="240"/>
        <w:jc w:val="both"/>
        <w:rPr/>
      </w:pPr>
      <w:r>
        <w:rPr>
          <w:color w:val="000000"/>
        </w:rPr>
        <w:t>“</w:t>
      </w:r>
      <w:r>
        <w:rPr>
          <w:rFonts w:ascii="Times New Roman" w:hAnsi="Times New Roman"/>
          <w:color w:val="000000"/>
          <w:sz w:val="22"/>
          <w:u w:val="single"/>
        </w:rPr>
        <w:t>Revolving Commitment Period</w:t>
      </w:r>
      <w:r>
        <w:rPr>
          <w:rFonts w:ascii="Times New Roman" w:hAnsi="Times New Roman"/>
          <w:color w:val="000000"/>
          <w:sz w:val="20"/>
        </w:rPr>
        <w:t>”</w:t>
      </w:r>
      <w:r>
        <w:rPr>
          <w:rFonts w:ascii="Times New Roman" w:hAnsi="Times New Roman"/>
          <w:color w:val="000000"/>
          <w:sz w:val="22"/>
        </w:rPr>
        <w:t>: the period from and including the Closing Date to the Revolving Termination Date.</w:t>
      </w:r>
    </w:p>
    <w:p>
      <w:pPr>
        <w:pStyle w:val="TextBody"/>
        <w:bidi w:val="0"/>
        <w:spacing w:before="0" w:after="240"/>
        <w:jc w:val="both"/>
        <w:rPr/>
      </w:pPr>
      <w:r>
        <w:rPr>
          <w:color w:val="000000"/>
        </w:rPr>
        <w:t>“</w:t>
      </w:r>
      <w:r>
        <w:rPr>
          <w:rFonts w:ascii="Times New Roman" w:hAnsi="Times New Roman"/>
          <w:color w:val="000000"/>
          <w:sz w:val="22"/>
          <w:u w:val="single"/>
        </w:rPr>
        <w:t>Revolving Extensions of Credit</w:t>
      </w:r>
      <w:r>
        <w:rPr>
          <w:rFonts w:ascii="Times New Roman" w:hAnsi="Times New Roman"/>
          <w:color w:val="000000"/>
          <w:sz w:val="20"/>
        </w:rPr>
        <w:t>”</w:t>
      </w:r>
      <w:r>
        <w:rPr>
          <w:rFonts w:ascii="Times New Roman" w:hAnsi="Times New Roman"/>
          <w:color w:val="000000"/>
          <w:sz w:val="22"/>
        </w:rPr>
        <w:t>: as to any Revolving Lender at any time, an amount equal to the sum of (a) the aggregate principal amount of all Revolving Loans held by such Lender then outstanding, (b) such Lender’s Revolving Percentage of the L/C Obligations then outstanding and (c) (x) such Lender’s Revolving Percentage of the aggregate principal amount of Swingline Loans then outstanding, other than with respect to any Swingline Loans made by such Lender in its capacity as the Swingline Lender and (y) in the case of the Swingline Lender, the aggregate principal amount of all Swingline Loans made by it as the Swingline Lender outstanding at such time (less the amount of the Swingline Participation Amounts to be funded by the other Lenders in such Swingline Loans).</w:t>
      </w:r>
    </w:p>
    <w:p>
      <w:pPr>
        <w:pStyle w:val="TextBody"/>
        <w:bidi w:val="0"/>
        <w:spacing w:before="0" w:after="240"/>
        <w:jc w:val="both"/>
        <w:rPr/>
      </w:pPr>
      <w:r>
        <w:rPr>
          <w:color w:val="000000"/>
        </w:rPr>
        <w:t>“</w:t>
      </w:r>
      <w:r>
        <w:rPr>
          <w:rFonts w:ascii="Times New Roman" w:hAnsi="Times New Roman"/>
          <w:color w:val="000000"/>
          <w:sz w:val="22"/>
          <w:u w:val="single"/>
        </w:rPr>
        <w:t>Revolving Lender</w:t>
      </w:r>
      <w:r>
        <w:rPr>
          <w:rFonts w:ascii="Times New Roman" w:hAnsi="Times New Roman"/>
          <w:color w:val="000000"/>
          <w:sz w:val="20"/>
        </w:rPr>
        <w:t>”</w:t>
      </w:r>
      <w:r>
        <w:rPr>
          <w:rFonts w:ascii="Times New Roman" w:hAnsi="Times New Roman"/>
          <w:color w:val="000000"/>
          <w:sz w:val="22"/>
        </w:rPr>
        <w:t>: each Lender (including each 2026 Incremental Revolving Lender) that has a Revolving Commitment or that holds Revolving Loans.</w:t>
      </w:r>
    </w:p>
    <w:p>
      <w:pPr>
        <w:pStyle w:val="TextBody"/>
        <w:bidi w:val="0"/>
        <w:spacing w:before="0" w:after="240"/>
        <w:jc w:val="both"/>
        <w:rPr/>
      </w:pPr>
      <w:r>
        <w:rPr>
          <w:color w:val="000000"/>
        </w:rPr>
        <w:t>“</w:t>
      </w:r>
      <w:r>
        <w:rPr>
          <w:rFonts w:ascii="Times New Roman" w:hAnsi="Times New Roman"/>
          <w:color w:val="000000"/>
          <w:sz w:val="22"/>
          <w:u w:val="single"/>
        </w:rPr>
        <w:t>Revolving Loans</w:t>
      </w:r>
      <w:r>
        <w:rPr>
          <w:rFonts w:ascii="Times New Roman" w:hAnsi="Times New Roman"/>
          <w:color w:val="000000"/>
          <w:sz w:val="20"/>
        </w:rPr>
        <w:t>”</w:t>
      </w:r>
      <w:r>
        <w:rPr>
          <w:rFonts w:ascii="Times New Roman" w:hAnsi="Times New Roman"/>
          <w:color w:val="000000"/>
          <w:sz w:val="22"/>
        </w:rPr>
        <w:t>: as defined in Section 2.4(a).</w:t>
      </w:r>
    </w:p>
    <w:p>
      <w:pPr>
        <w:pStyle w:val="TextBody"/>
        <w:bidi w:val="0"/>
        <w:spacing w:before="0" w:after="240"/>
        <w:jc w:val="both"/>
        <w:rPr/>
      </w:pPr>
      <w:r>
        <w:rPr>
          <w:color w:val="000000"/>
        </w:rPr>
        <w:t>“</w:t>
      </w:r>
      <w:r>
        <w:rPr>
          <w:rFonts w:ascii="Times New Roman" w:hAnsi="Times New Roman"/>
          <w:color w:val="000000"/>
          <w:sz w:val="22"/>
          <w:u w:val="single"/>
        </w:rPr>
        <w:t>Revolving Percentage</w:t>
      </w:r>
      <w:r>
        <w:rPr>
          <w:rFonts w:ascii="Times New Roman" w:hAnsi="Times New Roman"/>
          <w:color w:val="000000"/>
          <w:sz w:val="20"/>
        </w:rPr>
        <w:t>”</w:t>
      </w:r>
      <w:r>
        <w:rPr>
          <w:rFonts w:ascii="Times New Roman" w:hAnsi="Times New Roman"/>
          <w:color w:val="000000"/>
          <w:sz w:val="22"/>
        </w:rPr>
        <w:t xml:space="preserve">: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 </w:t>
      </w:r>
      <w:r>
        <w:rPr>
          <w:rFonts w:ascii="Times New Roman" w:hAnsi="Times New Roman"/>
          <w:color w:val="000000"/>
          <w:sz w:val="22"/>
          <w:u w:val="single"/>
        </w:rPr>
        <w:t>provided</w:t>
      </w:r>
      <w:r>
        <w:rPr>
          <w:rFonts w:ascii="Times New Roman" w:hAnsi="Times New Roman"/>
          <w:color w:val="000000"/>
          <w:sz w:val="22"/>
        </w:rPr>
        <w:t xml:space="preserve">, that, in the event that the Revolving Loans are paid in full prior to the reduction to zero of the Total Revolving Extensions of Credit, the Revolving Percentages shall be determined in a manner designed to ensure that the other outstanding Revolving Extensions of Credit shall be held by the Revolving Lenders on a comparable basis,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the case of Section 2.23 when a Defaulting Lender shall exist, “Revolving Percentage” shall mean the percentage of the Total Revolving Commitments (disregarding any Defaulting Lender’s Revolving Commitment) represented by such Lender’s Revolving Commitment.</w:t>
      </w:r>
    </w:p>
    <w:p>
      <w:pPr>
        <w:pStyle w:val="TextBody"/>
        <w:bidi w:val="0"/>
        <w:spacing w:before="0" w:after="240"/>
        <w:jc w:val="both"/>
        <w:rPr/>
      </w:pPr>
      <w:r>
        <w:rPr>
          <w:color w:val="000000"/>
        </w:rPr>
        <w:t>“</w:t>
      </w:r>
      <w:r>
        <w:rPr>
          <w:rFonts w:ascii="Times New Roman" w:hAnsi="Times New Roman"/>
          <w:color w:val="000000"/>
          <w:sz w:val="22"/>
          <w:u w:val="single"/>
        </w:rPr>
        <w:t>Revolving Termination Date</w:t>
      </w:r>
      <w:r>
        <w:rPr>
          <w:rFonts w:ascii="Times New Roman" w:hAnsi="Times New Roman"/>
          <w:color w:val="000000"/>
          <w:sz w:val="20"/>
        </w:rPr>
        <w:t>”</w:t>
      </w:r>
      <w:r>
        <w:rPr>
          <w:rFonts w:ascii="Times New Roman" w:hAnsi="Times New Roman"/>
          <w:color w:val="000000"/>
          <w:sz w:val="22"/>
        </w:rPr>
        <w:t>: September 26, 2029.</w:t>
      </w:r>
    </w:p>
    <w:p>
      <w:pPr>
        <w:pStyle w:val="TextBody"/>
        <w:bidi w:val="0"/>
        <w:spacing w:before="0" w:after="240"/>
        <w:jc w:val="both"/>
        <w:rPr/>
      </w:pPr>
      <w:r>
        <w:rPr>
          <w:color w:val="000000"/>
        </w:rPr>
        <w:t>“</w:t>
      </w:r>
      <w:r>
        <w:rPr>
          <w:rFonts w:ascii="Times New Roman" w:hAnsi="Times New Roman"/>
          <w:color w:val="000000"/>
          <w:sz w:val="22"/>
          <w:u w:val="single"/>
        </w:rPr>
        <w:t>RFR Borrowing</w:t>
      </w:r>
      <w:r>
        <w:rPr>
          <w:rFonts w:ascii="Times New Roman" w:hAnsi="Times New Roman"/>
          <w:color w:val="000000"/>
          <w:sz w:val="20"/>
        </w:rPr>
        <w:t>”</w:t>
      </w:r>
      <w:r>
        <w:rPr>
          <w:rFonts w:ascii="Times New Roman" w:hAnsi="Times New Roman"/>
          <w:color w:val="000000"/>
          <w:sz w:val="22"/>
        </w:rPr>
        <w:t>: as to any Borrowing, the RFR Loans comprising such Borrowing.</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RFR Loan</w:t>
      </w:r>
      <w:r>
        <w:rPr>
          <w:rFonts w:ascii="Times New Roman" w:hAnsi="Times New Roman"/>
          <w:color w:val="000000"/>
          <w:sz w:val="20"/>
        </w:rPr>
        <w:t>”</w:t>
      </w:r>
      <w:r>
        <w:rPr>
          <w:rFonts w:ascii="Times New Roman" w:hAnsi="Times New Roman"/>
          <w:color w:val="000000"/>
          <w:sz w:val="22"/>
        </w:rPr>
        <w:t>: any Loan that bears interest at a rate based on the Adjusted Daily Simple SOFR.</w:t>
      </w:r>
    </w:p>
    <w:p>
      <w:pPr>
        <w:pStyle w:val="TextBody"/>
        <w:bidi w:val="0"/>
        <w:spacing w:before="0" w:after="24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w:t>
      </w:r>
      <w:r>
        <w:rPr>
          <w:rFonts w:ascii="Times New Roman" w:hAnsi="Times New Roman"/>
          <w:color w:val="000000"/>
          <w:sz w:val="22"/>
        </w:rPr>
        <w:t>: Standard &amp; Poor’s Financial Services LLC.</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w:t>
      </w:r>
      <w:r>
        <w:rPr>
          <w:rFonts w:ascii="Times New Roman" w:hAnsi="Times New Roman"/>
          <w:color w:val="000000"/>
          <w:sz w:val="22"/>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w:t>
      </w:r>
      <w:r>
        <w:rPr>
          <w:rFonts w:ascii="Times New Roman" w:hAnsi="Times New Roman"/>
          <w:color w:val="000000"/>
          <w:sz w:val="22"/>
        </w:rPr>
        <w:t>: at any time, a country, region or territory which is itself the subject or target of any Sanctions (at the time of the Tenth Amendment, the so - called Donetsk People’s Republic, the so - called Luhansk People’s Republic, the Crimea, Zaporizhzhia and Kherson Regions of Ukraine, Cuba, Iran, North Korea and Syria).</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w:t>
      </w:r>
      <w:r>
        <w:rPr>
          <w:rFonts w:ascii="Times New Roman" w:hAnsi="Times New Roman"/>
          <w:color w:val="000000"/>
          <w:sz w:val="22"/>
        </w:rPr>
        <w:t>: at any time, any Person that is a target or subject of Sanctions, including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the Securities and Exchange Commission, any successor thereto and any analogous Governmental Authority.</w:t>
      </w:r>
    </w:p>
    <w:p>
      <w:pPr>
        <w:pStyle w:val="TextBody"/>
        <w:bidi w:val="0"/>
        <w:spacing w:before="0" w:after="240"/>
        <w:jc w:val="both"/>
        <w:rPr/>
      </w:pPr>
      <w:r>
        <w:rPr>
          <w:color w:val="000000"/>
        </w:rPr>
        <w:t>“</w:t>
      </w:r>
      <w:r>
        <w:rPr>
          <w:rFonts w:ascii="Times New Roman" w:hAnsi="Times New Roman"/>
          <w:color w:val="000000"/>
          <w:sz w:val="22"/>
          <w:u w:val="single"/>
        </w:rPr>
        <w:t>Second Amendment</w:t>
      </w:r>
      <w:r>
        <w:rPr>
          <w:rFonts w:ascii="Times New Roman" w:hAnsi="Times New Roman"/>
          <w:color w:val="000000"/>
          <w:sz w:val="20"/>
        </w:rPr>
        <w:t>”</w:t>
      </w:r>
      <w:r>
        <w:rPr>
          <w:rFonts w:ascii="Times New Roman" w:hAnsi="Times New Roman"/>
          <w:color w:val="000000"/>
          <w:sz w:val="22"/>
        </w:rPr>
        <w:t>: the second amendment, dated as of September 21, 2012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Secured Guarantor</w:t>
      </w:r>
      <w:r>
        <w:rPr>
          <w:rFonts w:ascii="Times New Roman" w:hAnsi="Times New Roman"/>
          <w:color w:val="000000"/>
          <w:sz w:val="20"/>
        </w:rPr>
        <w:t>”</w:t>
      </w:r>
      <w:r>
        <w:rPr>
          <w:rFonts w:ascii="Times New Roman" w:hAnsi="Times New Roman"/>
          <w:color w:val="000000"/>
          <w:sz w:val="22"/>
        </w:rPr>
        <w:t>: each Subsidiary of the Borrower other than any Excluded Foreign Subsidiary, Non-Material Subsidiary, Specified Joint Venture or, solely with respect to any Subsidiary created or acquired after November 15, 2010, any such Subsidiary that is not required to become a Secured Guarantor pursuant to Section 6.10(</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Secured Parties</w:t>
      </w:r>
      <w:r>
        <w:rPr>
          <w:rFonts w:ascii="Times New Roman" w:hAnsi="Times New Roman"/>
          <w:color w:val="000000"/>
          <w:sz w:val="20"/>
        </w:rPr>
        <w:t>”</w:t>
      </w:r>
      <w:r>
        <w:rPr>
          <w:rFonts w:ascii="Times New Roman" w:hAnsi="Times New Roman"/>
          <w:color w:val="000000"/>
          <w:sz w:val="22"/>
        </w:rPr>
        <w:t>: as defined in the Collateral Agreement.</w:t>
      </w:r>
    </w:p>
    <w:p>
      <w:pPr>
        <w:pStyle w:val="TextBody"/>
        <w:bidi w:val="0"/>
        <w:spacing w:before="0" w:after="240"/>
        <w:jc w:val="both"/>
        <w:rPr/>
      </w:pPr>
      <w:r>
        <w:rPr>
          <w:color w:val="000000"/>
        </w:rPr>
        <w:t>“</w:t>
      </w:r>
      <w:r>
        <w:rPr>
          <w:rFonts w:ascii="Times New Roman" w:hAnsi="Times New Roman"/>
          <w:color w:val="000000"/>
          <w:sz w:val="22"/>
          <w:u w:val="single"/>
        </w:rPr>
        <w:t>Secured Senior Notes</w:t>
      </w:r>
      <w:r>
        <w:rPr>
          <w:rFonts w:ascii="Times New Roman" w:hAnsi="Times New Roman"/>
          <w:color w:val="000000"/>
          <w:sz w:val="20"/>
        </w:rPr>
        <w:t>”</w:t>
      </w:r>
      <w:r>
        <w:rPr>
          <w:rFonts w:ascii="Times New Roman" w:hAnsi="Times New Roman"/>
          <w:color w:val="000000"/>
          <w:sz w:val="22"/>
        </w:rPr>
        <w:t>: collectively, the 2.65% 2030 Secured Senior Notes, the 2.65% 2032 Secured Senior Notes, the 1.65% 2026 Secured Senior Notes, the 4.625% Secured Senior Notes and the 5.050% Secured Senior Notes.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Security Documents</w:t>
      </w:r>
      <w:r>
        <w:rPr>
          <w:rFonts w:ascii="Times New Roman" w:hAnsi="Times New Roman"/>
          <w:color w:val="000000"/>
          <w:sz w:val="20"/>
        </w:rPr>
        <w:t>”</w:t>
      </w:r>
      <w:r>
        <w:rPr>
          <w:rFonts w:ascii="Times New Roman" w:hAnsi="Times New Roman"/>
          <w:color w:val="000000"/>
          <w:sz w:val="22"/>
        </w:rPr>
        <w:t>: the collective reference to the Collateral Agreement, the Subsidiary Guarantee Agreement and all other security documents hereafter delivered to the Administrative Agent granting a Lien on any property of any Person to secure the obligations and liabilities of any Loan Party under any Loan Document.</w:t>
      </w:r>
    </w:p>
    <w:p>
      <w:pPr>
        <w:pStyle w:val="TextBody"/>
        <w:bidi w:val="0"/>
        <w:spacing w:before="0" w:after="240"/>
        <w:jc w:val="both"/>
        <w:rPr/>
      </w:pPr>
      <w:r>
        <w:rPr>
          <w:color w:val="000000"/>
        </w:rPr>
        <w:t>“</w:t>
      </w:r>
      <w:r>
        <w:rPr>
          <w:rFonts w:ascii="Times New Roman" w:hAnsi="Times New Roman"/>
          <w:color w:val="000000"/>
          <w:sz w:val="22"/>
          <w:u w:val="single"/>
        </w:rPr>
        <w:t>Senior Indebtedness</w:t>
      </w:r>
      <w:r>
        <w:rPr>
          <w:rFonts w:ascii="Times New Roman" w:hAnsi="Times New Roman"/>
          <w:color w:val="000000"/>
          <w:sz w:val="20"/>
        </w:rPr>
        <w:t xml:space="preserve">” </w:t>
      </w:r>
      <w:r>
        <w:rPr>
          <w:rFonts w:ascii="Times New Roman" w:hAnsi="Times New Roman"/>
          <w:color w:val="000000"/>
          <w:sz w:val="22"/>
        </w:rPr>
        <w:t>as defined in Section 10.1(a)(xi).</w:t>
      </w:r>
    </w:p>
    <w:p>
      <w:pPr>
        <w:pStyle w:val="TextBody"/>
        <w:bidi w:val="0"/>
        <w:spacing w:before="0" w:after="240"/>
        <w:jc w:val="both"/>
        <w:rPr/>
      </w:pPr>
      <w:r>
        <w:rPr>
          <w:color w:val="000000"/>
        </w:rPr>
        <w:t>“</w:t>
      </w:r>
      <w:r>
        <w:rPr>
          <w:rFonts w:ascii="Times New Roman" w:hAnsi="Times New Roman"/>
          <w:color w:val="000000"/>
          <w:sz w:val="22"/>
          <w:u w:val="single"/>
        </w:rPr>
        <w:t>Seventh Amendment</w:t>
      </w:r>
      <w:r>
        <w:rPr>
          <w:rFonts w:ascii="Times New Roman" w:hAnsi="Times New Roman"/>
          <w:color w:val="000000"/>
          <w:sz w:val="20"/>
        </w:rPr>
        <w:t>”</w:t>
      </w:r>
      <w:r>
        <w:rPr>
          <w:rFonts w:ascii="Times New Roman" w:hAnsi="Times New Roman"/>
          <w:color w:val="000000"/>
          <w:sz w:val="22"/>
        </w:rPr>
        <w:t>: the seventh amendment, dated as of August 24, 2021 by and among the Borrower, the Secured Guarantors, the Administrative Agent and the Lenders party thereto.</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Sixth Amendment</w:t>
      </w:r>
      <w:r>
        <w:rPr>
          <w:rFonts w:ascii="Times New Roman" w:hAnsi="Times New Roman"/>
          <w:color w:val="000000"/>
          <w:sz w:val="20"/>
        </w:rPr>
        <w:t>”</w:t>
      </w:r>
      <w:r>
        <w:rPr>
          <w:rFonts w:ascii="Times New Roman" w:hAnsi="Times New Roman"/>
          <w:color w:val="000000"/>
          <w:sz w:val="22"/>
        </w:rPr>
        <w:t>: the sixth amendment, dated as of October 23, 2018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Sixth Amendment Effective Date</w:t>
      </w:r>
      <w:r>
        <w:rPr>
          <w:rFonts w:ascii="Times New Roman" w:hAnsi="Times New Roman"/>
          <w:color w:val="000000"/>
          <w:sz w:val="20"/>
        </w:rPr>
        <w:t>”</w:t>
      </w:r>
      <w:r>
        <w:rPr>
          <w:rFonts w:ascii="Times New Roman" w:hAnsi="Times New Roman"/>
          <w:color w:val="000000"/>
          <w:sz w:val="22"/>
        </w:rPr>
        <w:t>: as defined in the Sixth Amendment.</w:t>
      </w:r>
    </w:p>
    <w:p>
      <w:pPr>
        <w:pStyle w:val="TextBody"/>
        <w:bidi w:val="0"/>
        <w:spacing w:before="0" w:after="24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w:t>
      </w:r>
      <w:r>
        <w:rPr>
          <w:rFonts w:ascii="Times New Roman" w:hAnsi="Times New Roman"/>
          <w:color w:val="000000"/>
          <w:sz w:val="22"/>
        </w:rPr>
        <w:t>: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2"/>
          <w:u w:val="single"/>
        </w:rPr>
        <w:t>SOFR Administrator</w:t>
      </w:r>
      <w:r>
        <w:rPr>
          <w:rFonts w:ascii="Times New Roman" w:hAnsi="Times New Roman"/>
          <w:color w:val="000000"/>
          <w:sz w:val="20"/>
        </w:rPr>
        <w:t>”</w:t>
      </w:r>
      <w:r>
        <w:rPr>
          <w:rFonts w:ascii="Times New Roman" w:hAnsi="Times New Roman"/>
          <w:color w:val="000000"/>
          <w:sz w:val="22"/>
        </w:rPr>
        <w:t>: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2"/>
          <w:u w:val="single"/>
        </w:rPr>
        <w:t>SOFR Administrator’s Website</w:t>
      </w:r>
      <w:r>
        <w:rPr>
          <w:rFonts w:ascii="Times New Roman" w:hAnsi="Times New Roman"/>
          <w:color w:val="000000"/>
          <w:sz w:val="20"/>
        </w:rPr>
        <w:t>”</w:t>
      </w:r>
      <w:r>
        <w:rPr>
          <w:rFonts w:ascii="Times New Roman" w:hAnsi="Times New Roman"/>
          <w:color w:val="000000"/>
          <w:sz w:val="22"/>
        </w:rPr>
        <w:t>: the NYFRB’s website, currently at http://www.newyorkfed.org,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color w:val="000000"/>
          <w:sz w:val="22"/>
          <w:u w:val="single"/>
        </w:rPr>
        <w:t>SOFR Determination Date</w:t>
      </w:r>
      <w:r>
        <w:rPr>
          <w:rFonts w:ascii="Times New Roman" w:hAnsi="Times New Roman"/>
          <w:color w:val="000000"/>
          <w:sz w:val="20"/>
        </w:rPr>
        <w:t>”</w:t>
      </w:r>
      <w:r>
        <w:rPr>
          <w:rFonts w:ascii="Times New Roman" w:hAnsi="Times New Roman"/>
          <w:color w:val="000000"/>
          <w:sz w:val="22"/>
        </w:rPr>
        <w:t>: has the meaning assigned to it in the definition of “Daily Simple SOFR”.</w:t>
      </w:r>
    </w:p>
    <w:p>
      <w:pPr>
        <w:pStyle w:val="TextBody"/>
        <w:bidi w:val="0"/>
        <w:spacing w:before="0" w:after="240"/>
        <w:jc w:val="both"/>
        <w:rPr/>
      </w:pPr>
      <w:r>
        <w:rPr>
          <w:color w:val="000000"/>
        </w:rPr>
        <w:t>“</w:t>
      </w:r>
      <w:r>
        <w:rPr>
          <w:rFonts w:ascii="Times New Roman" w:hAnsi="Times New Roman"/>
          <w:color w:val="000000"/>
          <w:sz w:val="22"/>
          <w:u w:val="single"/>
        </w:rPr>
        <w:t>SOFR Rate Day</w:t>
      </w:r>
      <w:r>
        <w:rPr>
          <w:rFonts w:ascii="Times New Roman" w:hAnsi="Times New Roman"/>
          <w:color w:val="000000"/>
          <w:sz w:val="20"/>
        </w:rPr>
        <w:t>”</w:t>
      </w:r>
      <w:r>
        <w:rPr>
          <w:rFonts w:ascii="Times New Roman" w:hAnsi="Times New Roman"/>
          <w:color w:val="000000"/>
          <w:sz w:val="22"/>
        </w:rPr>
        <w:t>: has the meaning assigned to it in the definition of “Daily Simple SOFR”.</w:t>
      </w:r>
    </w:p>
    <w:p>
      <w:pPr>
        <w:pStyle w:val="TextBody"/>
        <w:bidi w:val="0"/>
        <w:spacing w:before="0" w:after="240"/>
        <w:jc w:val="both"/>
        <w:rPr/>
      </w:pPr>
      <w:r>
        <w:rPr>
          <w:color w:val="000000"/>
        </w:rPr>
        <w:t>“</w:t>
      </w:r>
      <w:r>
        <w:rPr>
          <w:rFonts w:ascii="Times New Roman" w:hAnsi="Times New Roman"/>
          <w:color w:val="000000"/>
          <w:sz w:val="22"/>
          <w:u w:val="single"/>
        </w:rPr>
        <w:t>Solvent</w:t>
      </w:r>
      <w:r>
        <w:rPr>
          <w:rFonts w:ascii="Times New Roman" w:hAnsi="Times New Roman"/>
          <w:color w:val="000000"/>
          <w:sz w:val="20"/>
        </w:rPr>
        <w:t>”</w:t>
      </w:r>
      <w:r>
        <w:rPr>
          <w:rFonts w:ascii="Times New Roman" w:hAnsi="Times New Roman"/>
          <w:color w:val="000000"/>
          <w:sz w:val="22"/>
        </w:rPr>
        <w: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bidi w:val="0"/>
        <w:spacing w:before="0" w:after="240"/>
        <w:jc w:val="both"/>
        <w:rPr/>
      </w:pPr>
      <w:r>
        <w:rPr>
          <w:color w:val="000000"/>
        </w:rPr>
        <w:t>“</w:t>
      </w:r>
      <w:r>
        <w:rPr>
          <w:rFonts w:ascii="Times New Roman" w:hAnsi="Times New Roman"/>
          <w:color w:val="000000"/>
          <w:sz w:val="22"/>
          <w:u w:val="single"/>
        </w:rPr>
        <w:t>Specified Cash Management Agreement</w:t>
      </w:r>
      <w:r>
        <w:rPr>
          <w:rFonts w:ascii="Times New Roman" w:hAnsi="Times New Roman"/>
          <w:color w:val="000000"/>
          <w:sz w:val="20"/>
        </w:rPr>
        <w:t>”</w:t>
      </w:r>
      <w:r>
        <w:rPr>
          <w:rFonts w:ascii="Times New Roman" w:hAnsi="Times New Roman"/>
          <w:color w:val="000000"/>
          <w:sz w:val="22"/>
        </w:rPr>
        <w:t>: any agreement providing for treasury, depositary, purchasing card or cash management services, including in connection with any automated clearing house transfers of funds or any similar transactions between the Borrower or any Secured Guarantor and any Lender or affiliate thereof.</w:t>
      </w:r>
    </w:p>
    <w:p>
      <w:pPr>
        <w:pStyle w:val="TextBody"/>
        <w:bidi w:val="0"/>
        <w:spacing w:before="0" w:after="240"/>
        <w:jc w:val="both"/>
        <w:rPr/>
      </w:pPr>
      <w:r>
        <w:rPr>
          <w:color w:val="000000"/>
        </w:rPr>
        <w:t>“</w:t>
      </w:r>
      <w:r>
        <w:rPr>
          <w:rFonts w:ascii="Times New Roman" w:hAnsi="Times New Roman"/>
          <w:color w:val="000000"/>
          <w:sz w:val="22"/>
          <w:u w:val="single"/>
        </w:rPr>
        <w:t>Specified Change of Control</w:t>
      </w:r>
      <w:r>
        <w:rPr>
          <w:rFonts w:ascii="Times New Roman" w:hAnsi="Times New Roman"/>
          <w:color w:val="000000"/>
          <w:sz w:val="20"/>
        </w:rPr>
        <w:t>”</w:t>
      </w:r>
      <w:r>
        <w:rPr>
          <w:rFonts w:ascii="Times New Roman" w:hAnsi="Times New Roman"/>
          <w:color w:val="000000"/>
          <w:sz w:val="22"/>
        </w:rPr>
        <w:t>: a “Change of Control” (or any other defined term having a similar purpose) as defined in the 2020 Indenture, the 2021 Indenture or the 2024 Indenture.</w:t>
      </w:r>
    </w:p>
    <w:p>
      <w:pPr>
        <w:pStyle w:val="TextBody"/>
        <w:bidi w:val="0"/>
        <w:spacing w:before="0" w:after="240"/>
        <w:jc w:val="both"/>
        <w:rPr/>
      </w:pPr>
      <w:r>
        <w:rPr>
          <w:color w:val="000000"/>
        </w:rPr>
        <w:t>“</w:t>
      </w:r>
      <w:r>
        <w:rPr>
          <w:rFonts w:ascii="Times New Roman" w:hAnsi="Times New Roman"/>
          <w:color w:val="000000"/>
          <w:sz w:val="22"/>
          <w:u w:val="single"/>
        </w:rPr>
        <w:t>Specified Joint Ventures</w:t>
      </w:r>
      <w:r>
        <w:rPr>
          <w:rFonts w:ascii="Times New Roman" w:hAnsi="Times New Roman"/>
          <w:color w:val="000000"/>
          <w:sz w:val="20"/>
        </w:rPr>
        <w:t>”</w:t>
      </w:r>
      <w:r>
        <w:rPr>
          <w:rFonts w:ascii="Times New Roman" w:hAnsi="Times New Roman"/>
          <w:color w:val="000000"/>
          <w:sz w:val="22"/>
        </w:rPr>
        <w:t>: the collective reference to</w:t>
      </w:r>
      <w:r>
        <w:rPr>
          <w:rFonts w:ascii="Times New Roman" w:hAnsi="Times New Roman"/>
          <w:color w:val="000000"/>
          <w:sz w:val="20"/>
        </w:rPr>
        <w:t xml:space="preserve"> </w:t>
      </w:r>
      <w:r>
        <w:rPr>
          <w:rFonts w:ascii="Times New Roman" w:hAnsi="Times New Roman"/>
          <w:color w:val="000000"/>
          <w:sz w:val="22"/>
        </w:rPr>
        <w:t>(i) Summerlin Hospital Medical Center LLC, a Delaware limited liability company, (ii) Summerlin Medical Center, L.P., a Delaware limited partnership, (iii) Laredo Regional Medical Center L.P., a Delaware limited partnership, (iv) Friends Behavioral Health System, L.P., a Pennsylvania limited partnership, (v) Cornerstone Regional Hospital, LP, a Texas limited partnership, (vi) Community Behavioral Health, L.L.C., a Delaware limited liability company, (vii) Cornerstone Hospital Properties, L.P., a Texas limited partnership, (viii) Radiation Oncology Center of Aiken, L.L.C., a South Carolina limited liability company, (ix) Friends GP, LLC,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Pennsylvania limited liability company, (x) Arrowhead Behavioral Health, LLC, a Delaware limited liability company, (xi) Cape Girardeau Behavioral Health, LLC, a Missouri limited liability company, (xii) Laredo FED JV1, LLC, a Texas limited liability company, (xiii) UHS-Evolution Homecare, LLC, a Delaware limited liability company, (xiv) Spokane Behavioral Health, LLC, a Washington limited liability company, (xv) Lancaster Behavioral Health Hospital, LLC, a Pennsylvania limited liability company, (xvi) Quail Surgical and Pain Management Center, LLC, a Nevada limited liability company, (xvii) Surgery Center of the Temecula Valley, LLC, a Delaware limited liability company, (xviii) Clive Behavioral Health, LLC, a Delaware limited liability company, (xix) Michigan BH JV, LLC, a Michigan limited liability company, (xx) WRMCABNS, LLC, a Florida limited liability company, (xxi) BH AZ Master, LLC, an Arizona limited liability company, (xxii) Cornerstone Hospital Management LLC, a Texas limited liability company, (xxiii) Westside Outpatient Center, LLC, a Florida limited liability company, (xxiv) Surgery Center of Amarillo, LLC, a Delaware limited liability company, (xxv) UHS-LVHN JV, LLC, a Pennsylvania limited liability company and (xxvi) from and after the Tenth Amendment Effective Date, any joint venture entered into by the Borrower or any Subsidiary designated as a Specified Joint Venture by the Borrower after the Closing Date in a written notice to the Administrative Agent; </w:t>
      </w:r>
      <w:r>
        <w:rPr>
          <w:rFonts w:ascii="Times New Roman" w:hAnsi="Times New Roman"/>
          <w:color w:val="000000"/>
          <w:sz w:val="22"/>
          <w:u w:val="single"/>
        </w:rPr>
        <w:t>provided</w:t>
      </w:r>
      <w:r>
        <w:rPr>
          <w:rFonts w:ascii="Times New Roman" w:hAnsi="Times New Roman"/>
          <w:color w:val="000000"/>
          <w:sz w:val="22"/>
        </w:rPr>
        <w:t xml:space="preserve">, that, (a) the aggregate amount invested by Borrower or its Subsidiaries in all such joint ventures under this clause (xxvi) shall not exceed $1,000,000,000 for all such joint ventures, (b) at the time of such designation, no Default or Event of Default shall have occurred and be continuing or would result therefrom and (c) no such Specified Joint Venture shall engage in any business or other activity other than Business of the same general type in which the Borrower and its Subsidiaries are engaged on the Closing Date or that are reasonably related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event that any of the foregoing Persons described in clauses (i) through (xxv) above shall become a Wholly Owned Subsidiary of a Loan Party, such Person shall cease to be a “Specified Joint Venture.”</w:t>
      </w:r>
    </w:p>
    <w:p>
      <w:pPr>
        <w:pStyle w:val="TextBody"/>
        <w:bidi w:val="0"/>
        <w:spacing w:before="0" w:after="240"/>
        <w:jc w:val="both"/>
        <w:rPr/>
      </w:pPr>
      <w:r>
        <w:rPr>
          <w:color w:val="000000"/>
        </w:rPr>
        <w:t>“</w:t>
      </w:r>
      <w:r>
        <w:rPr>
          <w:rFonts w:ascii="Times New Roman" w:hAnsi="Times New Roman"/>
          <w:color w:val="000000"/>
          <w:sz w:val="22"/>
          <w:u w:val="single"/>
        </w:rPr>
        <w:t>Specified Receivables Subsidiary</w:t>
      </w:r>
      <w:r>
        <w:rPr>
          <w:rFonts w:ascii="Times New Roman" w:hAnsi="Times New Roman"/>
          <w:color w:val="000000"/>
          <w:sz w:val="20"/>
        </w:rPr>
        <w:t>”</w:t>
      </w:r>
      <w:r>
        <w:rPr>
          <w:rFonts w:ascii="Times New Roman" w:hAnsi="Times New Roman"/>
          <w:color w:val="000000"/>
          <w:sz w:val="22"/>
        </w:rPr>
        <w:t xml:space="preserve">: any Subsidiary of the Borrower that is identified as such on Schedule 1.1D or otherwise designated as a Specified Receivables Subsidiary by the Borrower on or after the Closing Date in a written notice to the Administrative Agent; </w:t>
      </w:r>
      <w:r>
        <w:rPr>
          <w:rFonts w:ascii="Times New Roman" w:hAnsi="Times New Roman"/>
          <w:color w:val="000000"/>
          <w:sz w:val="22"/>
          <w:u w:val="single"/>
        </w:rPr>
        <w:t>provided</w:t>
      </w:r>
      <w:r>
        <w:rPr>
          <w:rFonts w:ascii="Times New Roman" w:hAnsi="Times New Roman"/>
          <w:color w:val="000000"/>
          <w:sz w:val="22"/>
        </w:rPr>
        <w:t>, that, in each case, (i) at no time shall any creditor of any such Subsidiary have any claim (whether pursuant to a Guarantee Obligation or otherwise) against the Borrower or any of its other Subsidiaries (other than another Specified Receivables Subsidiary) in respect of any Indebtedness or other obligation (except for (x) obligations arising by operation of law, including joint and several liability for taxes, ERISA and similar items, (y) obligations resulting from any breach of a representation by the Borrower or such Subsidiary in connection with the sale of any applicable account receivable and (z) obligations relating to any administrative and collection agent duties of the Borrower or such Subsidiary in connection with the sale of any applicable account receivable) of any such Subsidiary; (ii) neither the Borrower nor any of its Subsidiaries (other than another Specified Receivables Subsidiary) shall become a general partner of any such Subsidiary; (iii) no default with respect to any Indebtedness of any such Subsidiary (including any right which the holders thereof may have to take enforcement action against any such Subsidiary), shall permit solely as a result of such Indebtedness being in default or accelerated (upon notice, lapse of time or both) any holder of any Indebtedness of the Borrower or its other Subsidiaries (other than another Specified Receivables Subsidiary) to declare a default on such other Indebtedness or cause the payment thereof to be accelerated or payable prior to its final scheduled maturity; (iv) no such Subsidiary shall own any Capital Stock of, or own or hold any Lien on any property of, the Borrower or any other Subsidiary of the Borrower (other than another Specified Receivables Subsidiary); (v) no Investments may be made in any such Subsidiary by the Borrower or any of its Subsidiaries (other than by another Specified Receivables Subsidiary); (vi) at the time of such designation, no Default or Event of Default shall have occurred and be continuing or would result therefrom; and (vii) no such Subsidiary shall engage in any business or other activity other than those directly related to its participation in a Receivables Financing permitted by this Agreement.</w:t>
      </w:r>
    </w:p>
    <w:p>
      <w:pPr>
        <w:pStyle w:val="TextBody"/>
        <w:bidi w:val="0"/>
        <w:spacing w:before="0" w:after="240"/>
        <w:jc w:val="both"/>
        <w:rPr/>
      </w:pPr>
      <w:r>
        <w:rPr>
          <w:color w:val="000000"/>
        </w:rPr>
        <w:t>“</w:t>
      </w:r>
      <w:r>
        <w:rPr>
          <w:rFonts w:ascii="Times New Roman" w:hAnsi="Times New Roman"/>
          <w:color w:val="000000"/>
          <w:sz w:val="22"/>
          <w:u w:val="single"/>
        </w:rPr>
        <w:t>Specified Swap Agreement</w:t>
      </w:r>
      <w:r>
        <w:rPr>
          <w:rFonts w:ascii="Times New Roman" w:hAnsi="Times New Roman"/>
          <w:color w:val="000000"/>
          <w:sz w:val="20"/>
        </w:rPr>
        <w:t>”</w:t>
      </w:r>
      <w:r>
        <w:rPr>
          <w:rFonts w:ascii="Times New Roman" w:hAnsi="Times New Roman"/>
          <w:color w:val="000000"/>
          <w:sz w:val="22"/>
        </w:rPr>
        <w:t>: any Swap Agreement in respect of interest rates, currency exchange rates or commodity prices entered into by the Borrower or any Secured Guarantor and (a)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 that is a Lender or an affiliate of a Lender at the time such Swap Agreement is entered into or (b) in the case of Swap Agreements in effect on the Closing Date, any Person that becomes a Lender on the Closing Date or an affiliate of a Person that becomes a Lender on the Closing Date.</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w:t>
      </w:r>
      <w:r>
        <w:rPr>
          <w:rFonts w:ascii="Times New Roman" w:hAnsi="Times New Roman"/>
          <w:color w:val="000000"/>
          <w:sz w:val="22"/>
        </w:rPr>
        <w:t>: Indebtedness the payment of which is subordinated to the payment of the Obligations.</w:t>
      </w:r>
    </w:p>
    <w:p>
      <w:pPr>
        <w:pStyle w:val="TextBody"/>
        <w:bidi w:val="0"/>
        <w:spacing w:before="0" w:after="240"/>
        <w:jc w:val="both"/>
        <w:rPr/>
      </w:pPr>
      <w:r>
        <w:rPr>
          <w:color w:val="000000"/>
        </w:rPr>
        <w:t>“</w:t>
      </w:r>
      <w:r>
        <w:rPr>
          <w:rFonts w:ascii="Times New Roman" w:hAnsi="Times New Roman"/>
          <w:color w:val="000000"/>
          <w:sz w:val="22"/>
          <w:u w:val="single"/>
        </w:rPr>
        <w:t>Subsequently Incurred Tranche B Term Loans</w:t>
      </w:r>
      <w:r>
        <w:rPr>
          <w:rFonts w:ascii="Times New Roman" w:hAnsi="Times New Roman"/>
          <w:color w:val="000000"/>
          <w:sz w:val="20"/>
        </w:rPr>
        <w:t>”</w:t>
      </w:r>
      <w:r>
        <w:rPr>
          <w:rFonts w:ascii="Times New Roman" w:hAnsi="Times New Roman"/>
          <w:color w:val="000000"/>
          <w:sz w:val="22"/>
        </w:rPr>
        <w:t>: any Tranche B Term Loans that are incurred after an initial incurrence of Tranche B Term Loans under Section 2.24.</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w:t>
      </w:r>
      <w:r>
        <w:rPr>
          <w:rFonts w:ascii="Times New Roman" w:hAnsi="Times New Roman"/>
          <w:color w:val="000000"/>
          <w:sz w:val="22"/>
        </w:rPr>
        <w:t xml:space="preserve">: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 </w:t>
      </w:r>
      <w:r>
        <w:rPr>
          <w:rFonts w:ascii="Times New Roman" w:hAnsi="Times New Roman"/>
          <w:color w:val="000000"/>
          <w:sz w:val="22"/>
          <w:u w:val="single"/>
        </w:rPr>
        <w:t>provided</w:t>
      </w:r>
      <w:r>
        <w:rPr>
          <w:rFonts w:ascii="Times New Roman" w:hAnsi="Times New Roman"/>
          <w:color w:val="000000"/>
          <w:sz w:val="22"/>
        </w:rPr>
        <w:t>, that Specified Receivables Subsidiaries shall be deemed not to constitute “Subsidiaries” for the purposes of this Agreement (other than when such term is used in the definition of “Specified Receivables Subsidiary”).</w:t>
      </w:r>
    </w:p>
    <w:p>
      <w:pPr>
        <w:pStyle w:val="TextBody"/>
        <w:bidi w:val="0"/>
        <w:spacing w:before="0" w:after="240"/>
        <w:jc w:val="both"/>
        <w:rPr/>
      </w:pPr>
      <w:r>
        <w:rPr>
          <w:color w:val="000000"/>
        </w:rPr>
        <w:t>“</w:t>
      </w:r>
      <w:r>
        <w:rPr>
          <w:rFonts w:ascii="Times New Roman" w:hAnsi="Times New Roman"/>
          <w:color w:val="000000"/>
          <w:sz w:val="22"/>
          <w:u w:val="single"/>
        </w:rPr>
        <w:t>Subsidiary Guarantee Agreement</w:t>
      </w:r>
      <w:r>
        <w:rPr>
          <w:rFonts w:ascii="Times New Roman" w:hAnsi="Times New Roman"/>
          <w:color w:val="000000"/>
          <w:sz w:val="20"/>
        </w:rPr>
        <w:t>”</w:t>
      </w:r>
      <w:r>
        <w:rPr>
          <w:rFonts w:ascii="Times New Roman" w:hAnsi="Times New Roman"/>
          <w:color w:val="000000"/>
          <w:sz w:val="22"/>
        </w:rPr>
        <w:t>: the Guarantee Agreement dated as of November 15, 2010 and executed and delivered by the each Secured Guarantor and any Unsecured Guarantor as party thereto from time to time (if any), substantially in the form of Exhibit B.</w:t>
      </w:r>
    </w:p>
    <w:p>
      <w:pPr>
        <w:pStyle w:val="TextBody"/>
        <w:bidi w:val="0"/>
        <w:spacing w:before="0" w:after="240"/>
        <w:jc w:val="both"/>
        <w:rPr/>
      </w:pPr>
      <w:r>
        <w:rPr>
          <w:color w:val="000000"/>
        </w:rPr>
        <w:t>“</w:t>
      </w:r>
      <w:r>
        <w:rPr>
          <w:rFonts w:ascii="Times New Roman" w:hAnsi="Times New Roman"/>
          <w:color w:val="000000"/>
          <w:sz w:val="22"/>
          <w:u w:val="single"/>
        </w:rPr>
        <w:t>Supported QFC</w:t>
      </w:r>
      <w:r>
        <w:rPr>
          <w:rFonts w:ascii="Times New Roman" w:hAnsi="Times New Roman"/>
          <w:color w:val="000000"/>
          <w:sz w:val="20"/>
        </w:rPr>
        <w:t>”</w:t>
      </w:r>
      <w:r>
        <w:rPr>
          <w:rFonts w:ascii="Times New Roman" w:hAnsi="Times New Roman"/>
          <w:color w:val="000000"/>
          <w:sz w:val="22"/>
        </w:rPr>
        <w:t>: as defined in ‎Section 10.19.</w:t>
      </w:r>
    </w:p>
    <w:p>
      <w:pPr>
        <w:pStyle w:val="TextBody"/>
        <w:bidi w:val="0"/>
        <w:spacing w:before="0" w:after="240"/>
        <w:jc w:val="both"/>
        <w:rPr/>
      </w:pPr>
      <w:r>
        <w:rPr>
          <w:color w:val="000000"/>
        </w:rPr>
        <w:t>“</w:t>
      </w:r>
      <w:r>
        <w:rPr>
          <w:rFonts w:ascii="Times New Roman" w:hAnsi="Times New Roman"/>
          <w:color w:val="000000"/>
          <w:sz w:val="22"/>
          <w:u w:val="single"/>
        </w:rPr>
        <w:t>Swap</w:t>
      </w:r>
      <w:r>
        <w:rPr>
          <w:rFonts w:ascii="Times New Roman" w:hAnsi="Times New Roman"/>
          <w:color w:val="000000"/>
          <w:sz w:val="20"/>
        </w:rPr>
        <w:t>”</w:t>
      </w:r>
      <w:r>
        <w:rPr>
          <w:rFonts w:ascii="Times New Roman" w:hAnsi="Times New Roman"/>
          <w:color w:val="000000"/>
          <w:sz w:val="22"/>
        </w:rPr>
        <w:t>: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2"/>
          <w:u w:val="single"/>
        </w:rPr>
        <w:t>Swap Agreement</w:t>
      </w:r>
      <w:r>
        <w:rPr>
          <w:rFonts w:ascii="Times New Roman" w:hAnsi="Times New Roman"/>
          <w:color w:val="000000"/>
          <w:sz w:val="20"/>
        </w:rPr>
        <w:t>”</w:t>
      </w:r>
      <w:r>
        <w:rPr>
          <w:rFonts w:ascii="Times New Roman" w:hAnsi="Times New Roman"/>
          <w:color w:val="000000"/>
          <w:sz w:val="22"/>
        </w:rPr>
        <w:t xml:space="preserve">: any agreement with respect to any swap, forward, future, cap, collar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phantom stock or similar plan providing for payments only on account of services provided by current or former directors, officers, employees or consultants of the Borrower or any of its Subsidiaries shall be a “Swap Agreement”.</w:t>
      </w:r>
    </w:p>
    <w:p>
      <w:pPr>
        <w:pStyle w:val="TextBody"/>
        <w:bidi w:val="0"/>
        <w:spacing w:before="0" w:after="240"/>
        <w:jc w:val="both"/>
        <w:rPr/>
      </w:pPr>
      <w:r>
        <w:rPr>
          <w:color w:val="000000"/>
        </w:rPr>
        <w:t>“</w:t>
      </w:r>
      <w:r>
        <w:rPr>
          <w:rFonts w:ascii="Times New Roman" w:hAnsi="Times New Roman"/>
          <w:color w:val="000000"/>
          <w:sz w:val="22"/>
          <w:u w:val="single"/>
        </w:rPr>
        <w:t>Swap Obligation</w:t>
      </w:r>
      <w:r>
        <w:rPr>
          <w:rFonts w:ascii="Times New Roman" w:hAnsi="Times New Roman"/>
          <w:color w:val="000000"/>
          <w:sz w:val="20"/>
        </w:rPr>
        <w:t>”</w:t>
      </w:r>
      <w:r>
        <w:rPr>
          <w:rFonts w:ascii="Times New Roman" w:hAnsi="Times New Roman"/>
          <w:color w:val="000000"/>
          <w:sz w:val="22"/>
        </w:rPr>
        <w:t>: with respect to any person, any obligation to pay or perform under any Swap.</w:t>
      </w:r>
    </w:p>
    <w:p>
      <w:pPr>
        <w:pStyle w:val="TextBody"/>
        <w:bidi w:val="0"/>
        <w:spacing w:before="0" w:after="240"/>
        <w:jc w:val="both"/>
        <w:rPr/>
      </w:pPr>
      <w:r>
        <w:rPr>
          <w:color w:val="000000"/>
        </w:rPr>
        <w:t>“</w:t>
      </w:r>
      <w:r>
        <w:rPr>
          <w:rFonts w:ascii="Times New Roman" w:hAnsi="Times New Roman"/>
          <w:color w:val="000000"/>
          <w:sz w:val="22"/>
          <w:u w:val="single"/>
        </w:rPr>
        <w:t>Swap Termination Value</w:t>
      </w:r>
      <w:r>
        <w:rPr>
          <w:rFonts w:ascii="Times New Roman" w:hAnsi="Times New Roman"/>
          <w:color w:val="000000"/>
          <w:sz w:val="20"/>
        </w:rPr>
        <w:t>”</w:t>
      </w:r>
      <w:r>
        <w:rPr>
          <w:rFonts w:ascii="Times New Roman" w:hAnsi="Times New Roman"/>
          <w:color w:val="000000"/>
          <w:sz w:val="22"/>
        </w:rPr>
        <w:t>: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Swingline Commitment</w:t>
      </w:r>
      <w:r>
        <w:rPr>
          <w:rFonts w:ascii="Times New Roman" w:hAnsi="Times New Roman"/>
          <w:color w:val="000000"/>
          <w:sz w:val="20"/>
        </w:rPr>
        <w:t>”</w:t>
      </w:r>
      <w:r>
        <w:rPr>
          <w:rFonts w:ascii="Times New Roman" w:hAnsi="Times New Roman"/>
          <w:color w:val="000000"/>
          <w:sz w:val="22"/>
        </w:rPr>
        <w:t>: the obligation of the Swingline Lender to make Swingline Loans pursuant to Section 2.6 in an aggregate principal amount at any one time outstanding not to exceed $75,000,000.</w:t>
      </w:r>
    </w:p>
    <w:p>
      <w:pPr>
        <w:pStyle w:val="TextBody"/>
        <w:bidi w:val="0"/>
        <w:spacing w:before="0" w:after="240"/>
        <w:jc w:val="both"/>
        <w:rPr/>
      </w:pPr>
      <w:r>
        <w:rPr>
          <w:color w:val="000000"/>
        </w:rPr>
        <w:t>“</w:t>
      </w:r>
      <w:r>
        <w:rPr>
          <w:rFonts w:ascii="Times New Roman" w:hAnsi="Times New Roman"/>
          <w:color w:val="000000"/>
          <w:sz w:val="22"/>
          <w:u w:val="single"/>
        </w:rPr>
        <w:t>Swingline Lender</w:t>
      </w:r>
      <w:r>
        <w:rPr>
          <w:rFonts w:ascii="Times New Roman" w:hAnsi="Times New Roman"/>
          <w:color w:val="000000"/>
          <w:sz w:val="20"/>
        </w:rPr>
        <w:t>”</w:t>
      </w:r>
      <w:r>
        <w:rPr>
          <w:rFonts w:ascii="Times New Roman" w:hAnsi="Times New Roman"/>
          <w:color w:val="000000"/>
          <w:sz w:val="22"/>
        </w:rPr>
        <w:t>: JPMorgan Chase Bank, N.A., in its capacity as the lender of Swingline Loans.</w:t>
      </w:r>
    </w:p>
    <w:p>
      <w:pPr>
        <w:pStyle w:val="TextBody"/>
        <w:bidi w:val="0"/>
        <w:spacing w:before="0" w:after="240"/>
        <w:jc w:val="both"/>
        <w:rPr/>
      </w:pPr>
      <w:r>
        <w:rPr>
          <w:color w:val="000000"/>
        </w:rPr>
        <w:t>“</w:t>
      </w:r>
      <w:r>
        <w:rPr>
          <w:rFonts w:ascii="Times New Roman" w:hAnsi="Times New Roman"/>
          <w:color w:val="000000"/>
          <w:sz w:val="22"/>
          <w:u w:val="single"/>
        </w:rPr>
        <w:t>Swingline Loans</w:t>
      </w:r>
      <w:r>
        <w:rPr>
          <w:rFonts w:ascii="Times New Roman" w:hAnsi="Times New Roman"/>
          <w:color w:val="000000"/>
          <w:sz w:val="20"/>
        </w:rPr>
        <w:t>”</w:t>
      </w:r>
      <w:r>
        <w:rPr>
          <w:rFonts w:ascii="Times New Roman" w:hAnsi="Times New Roman"/>
          <w:color w:val="000000"/>
          <w:sz w:val="22"/>
        </w:rPr>
        <w:t>: as defined in Section 2.6(a).</w:t>
      </w:r>
    </w:p>
    <w:p>
      <w:pPr>
        <w:pStyle w:val="TextBody"/>
        <w:bidi w:val="0"/>
        <w:spacing w:before="0" w:after="240"/>
        <w:jc w:val="both"/>
        <w:rPr/>
      </w:pPr>
      <w:r>
        <w:rPr>
          <w:color w:val="000000"/>
        </w:rPr>
        <w:t>“</w:t>
      </w:r>
      <w:r>
        <w:rPr>
          <w:rFonts w:ascii="Times New Roman" w:hAnsi="Times New Roman"/>
          <w:color w:val="000000"/>
          <w:sz w:val="22"/>
          <w:u w:val="single"/>
        </w:rPr>
        <w:t>Swingline Participation Amount</w:t>
      </w:r>
      <w:r>
        <w:rPr>
          <w:rFonts w:ascii="Times New Roman" w:hAnsi="Times New Roman"/>
          <w:color w:val="000000"/>
          <w:sz w:val="20"/>
        </w:rPr>
        <w:t>”</w:t>
      </w:r>
      <w:r>
        <w:rPr>
          <w:rFonts w:ascii="Times New Roman" w:hAnsi="Times New Roman"/>
          <w:color w:val="000000"/>
          <w:sz w:val="22"/>
        </w:rPr>
        <w:t>: as defined in Section 2.7(c).</w:t>
      </w:r>
    </w:p>
    <w:p>
      <w:pPr>
        <w:pStyle w:val="TextBody"/>
        <w:bidi w:val="0"/>
        <w:spacing w:before="0" w:after="240"/>
        <w:jc w:val="both"/>
        <w:rPr/>
      </w:pPr>
      <w:r>
        <w:rPr>
          <w:color w:val="000000"/>
        </w:rPr>
        <w:t>“</w:t>
      </w:r>
      <w:r>
        <w:rPr>
          <w:rFonts w:ascii="Times New Roman" w:hAnsi="Times New Roman"/>
          <w:color w:val="000000"/>
          <w:sz w:val="22"/>
          <w:u w:val="single"/>
        </w:rPr>
        <w:t>Talkspace Acquisition</w:t>
      </w:r>
      <w:r>
        <w:rPr>
          <w:rFonts w:ascii="Times New Roman" w:hAnsi="Times New Roman"/>
          <w:color w:val="000000"/>
          <w:sz w:val="20"/>
        </w:rPr>
        <w:t>”</w:t>
      </w:r>
      <w:r>
        <w:rPr>
          <w:rFonts w:ascii="Times New Roman" w:hAnsi="Times New Roman"/>
          <w:color w:val="000000"/>
          <w:sz w:val="22"/>
        </w:rPr>
        <w:t>: the Borrower’s acquisition of Talkspace, Inc. pursuant to the Agreement and Plan of Merger, dated as of March 9, 2026, between the Company, UHS Merger Subsidiary, Inc. and Talkspace, Inc.</w:t>
      </w:r>
    </w:p>
    <w:p>
      <w:pPr>
        <w:pStyle w:val="TextBody"/>
        <w:bidi w:val="0"/>
        <w:spacing w:before="0" w:after="240"/>
        <w:jc w:val="both"/>
        <w:rPr/>
      </w:pPr>
      <w:r>
        <w:rPr>
          <w:color w:val="000000"/>
        </w:rPr>
        <w:t>“</w:t>
      </w:r>
      <w:r>
        <w:rPr>
          <w:rFonts w:ascii="Times New Roman" w:hAnsi="Times New Roman"/>
          <w:color w:val="000000"/>
          <w:sz w:val="22"/>
          <w:u w:val="single"/>
        </w:rPr>
        <w:t>Talkspace Acquisition Closing Date</w:t>
      </w:r>
      <w:r>
        <w:rPr>
          <w:rFonts w:ascii="Times New Roman" w:hAnsi="Times New Roman"/>
          <w:color w:val="000000"/>
          <w:sz w:val="20"/>
        </w:rPr>
        <w:t>”</w:t>
      </w:r>
      <w:r>
        <w:rPr>
          <w:rFonts w:ascii="Times New Roman" w:hAnsi="Times New Roman"/>
          <w:color w:val="000000"/>
          <w:sz w:val="22"/>
        </w:rPr>
        <w:t>: date of consummation of the Talkspace Acquisition.</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w:t>
      </w:r>
      <w:r>
        <w:rPr>
          <w:rFonts w:ascii="Times New Roman" w:hAnsi="Times New Roman"/>
          <w:color w:val="000000"/>
          <w:sz w:val="22"/>
        </w:rPr>
        <w:t>: as defined in Section 2.19(a).</w:t>
      </w:r>
    </w:p>
    <w:p>
      <w:pPr>
        <w:pStyle w:val="TextBody"/>
        <w:bidi w:val="0"/>
        <w:spacing w:before="0" w:after="240"/>
        <w:jc w:val="both"/>
        <w:rPr/>
      </w:pPr>
      <w:r>
        <w:rPr>
          <w:color w:val="000000"/>
        </w:rPr>
        <w:t>“</w:t>
      </w:r>
      <w:r>
        <w:rPr>
          <w:rFonts w:ascii="Times New Roman" w:hAnsi="Times New Roman"/>
          <w:color w:val="000000"/>
          <w:sz w:val="22"/>
          <w:u w:val="single"/>
        </w:rPr>
        <w:t>Tenth Amendment</w:t>
      </w:r>
      <w:r>
        <w:rPr>
          <w:rFonts w:ascii="Times New Roman" w:hAnsi="Times New Roman"/>
          <w:color w:val="000000"/>
          <w:sz w:val="20"/>
        </w:rPr>
        <w:t>”</w:t>
      </w:r>
      <w:r>
        <w:rPr>
          <w:rFonts w:ascii="Times New Roman" w:hAnsi="Times New Roman"/>
          <w:color w:val="000000"/>
          <w:sz w:val="22"/>
        </w:rPr>
        <w:t>: the tenth amendment, dated as of September 26, 2024 by and among the Borrower, the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Tenth Amendment Effective Date</w:t>
      </w:r>
      <w:r>
        <w:rPr>
          <w:rFonts w:ascii="Times New Roman" w:hAnsi="Times New Roman"/>
          <w:color w:val="000000"/>
          <w:sz w:val="20"/>
        </w:rPr>
        <w:t>”</w:t>
      </w:r>
      <w:r>
        <w:rPr>
          <w:rFonts w:ascii="Times New Roman" w:hAnsi="Times New Roman"/>
          <w:color w:val="000000"/>
          <w:sz w:val="22"/>
        </w:rPr>
        <w:t>: as defined in the Tenth Amendment.</w:t>
      </w:r>
    </w:p>
    <w:p>
      <w:pPr>
        <w:pStyle w:val="TextBody"/>
        <w:bidi w:val="0"/>
        <w:spacing w:before="0" w:after="240"/>
        <w:jc w:val="both"/>
        <w:rPr/>
      </w:pPr>
      <w:r>
        <w:rPr>
          <w:color w:val="000000"/>
        </w:rPr>
        <w:t>“</w:t>
      </w:r>
      <w:r>
        <w:rPr>
          <w:rFonts w:ascii="Times New Roman" w:hAnsi="Times New Roman"/>
          <w:color w:val="000000"/>
          <w:sz w:val="22"/>
          <w:u w:val="single"/>
        </w:rPr>
        <w:t>Term Benchmark</w:t>
      </w:r>
      <w:r>
        <w:rPr>
          <w:rFonts w:ascii="Times New Roman" w:hAnsi="Times New Roman"/>
          <w:color w:val="000000"/>
          <w:sz w:val="20"/>
        </w:rPr>
        <w:t>”</w:t>
      </w:r>
      <w:r>
        <w:rPr>
          <w:rFonts w:ascii="Times New Roman" w:hAnsi="Times New Roman"/>
          <w:color w:val="000000"/>
          <w:sz w:val="22"/>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240"/>
        <w:jc w:val="both"/>
        <w:rPr/>
      </w:pPr>
      <w:r>
        <w:rPr>
          <w:color w:val="000000"/>
        </w:rPr>
        <w:t>“</w:t>
      </w:r>
      <w:r>
        <w:rPr>
          <w:rFonts w:ascii="Times New Roman" w:hAnsi="Times New Roman"/>
          <w:color w:val="000000"/>
          <w:sz w:val="22"/>
          <w:u w:val="single"/>
        </w:rPr>
        <w:t>Term Benchmark Tranche</w:t>
      </w:r>
      <w:r>
        <w:rPr>
          <w:rFonts w:ascii="Times New Roman" w:hAnsi="Times New Roman"/>
          <w:color w:val="000000"/>
          <w:sz w:val="20"/>
        </w:rPr>
        <w:t>”</w:t>
      </w:r>
      <w:r>
        <w:rPr>
          <w:rFonts w:ascii="Times New Roman" w:hAnsi="Times New Roman"/>
          <w:color w:val="000000"/>
          <w:sz w:val="22"/>
        </w:rPr>
        <w:t>: the collective reference to Term Benchmark Loans under a particular Facility the then current Interest Periods with respect to all of which begin on the same date and end on the same later date (whether or not such Loans shall originally have been made on the same day).</w:t>
      </w:r>
    </w:p>
    <w:p>
      <w:pPr>
        <w:pStyle w:val="TextBody"/>
        <w:bidi w:val="0"/>
        <w:spacing w:before="0" w:after="240"/>
        <w:jc w:val="both"/>
        <w:rPr/>
      </w:pPr>
      <w:r>
        <w:rPr>
          <w:color w:val="000000"/>
        </w:rPr>
        <w:t>“</w:t>
      </w:r>
      <w:r>
        <w:rPr>
          <w:rFonts w:ascii="Times New Roman" w:hAnsi="Times New Roman"/>
          <w:color w:val="000000"/>
          <w:sz w:val="22"/>
          <w:u w:val="single"/>
        </w:rPr>
        <w:t>Term Loan Borrowing</w:t>
      </w:r>
      <w:r>
        <w:rPr>
          <w:rFonts w:ascii="Times New Roman" w:hAnsi="Times New Roman"/>
          <w:color w:val="000000"/>
          <w:sz w:val="20"/>
        </w:rPr>
        <w:t>”</w:t>
      </w:r>
      <w:r>
        <w:rPr>
          <w:rFonts w:ascii="Times New Roman" w:hAnsi="Times New Roman"/>
          <w:color w:val="000000"/>
          <w:sz w:val="22"/>
        </w:rPr>
        <w:t>: Term Loans of the same Type, made, converted or continued on the same date and, in the case of Term Benchmark Loans, as to which a single Interest Period is in effect.</w:t>
      </w:r>
    </w:p>
    <w:p>
      <w:pPr>
        <w:pStyle w:val="TextBody"/>
        <w:bidi w:val="0"/>
        <w:spacing w:before="0" w:after="240"/>
        <w:jc w:val="both"/>
        <w:rPr/>
      </w:pPr>
      <w:r>
        <w:rPr>
          <w:color w:val="000000"/>
        </w:rPr>
        <w:t>“</w:t>
      </w:r>
      <w:r>
        <w:rPr>
          <w:rFonts w:ascii="Times New Roman" w:hAnsi="Times New Roman"/>
          <w:color w:val="000000"/>
          <w:sz w:val="22"/>
          <w:u w:val="single"/>
        </w:rPr>
        <w:t>Term Lenders</w:t>
      </w:r>
      <w:r>
        <w:rPr>
          <w:rFonts w:ascii="Times New Roman" w:hAnsi="Times New Roman"/>
          <w:color w:val="000000"/>
          <w:sz w:val="20"/>
        </w:rPr>
        <w:t>”</w:t>
      </w:r>
      <w:r>
        <w:rPr>
          <w:rFonts w:ascii="Times New Roman" w:hAnsi="Times New Roman"/>
          <w:color w:val="000000"/>
          <w:sz w:val="22"/>
        </w:rPr>
        <w:t>: the collective reference to the Tranche A Term Lenders and any Incremental Term Lenders (including the 2026 Incremental Term Lenders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the 2026 Delayed Draw Term Lenders</w:t>
      </w:r>
      <w:r>
        <w:rPr>
          <w:rFonts w:ascii="Times New Roman" w:hAnsi="Times New Roman"/>
          <w:color w:val="0000FF"/>
          <w:sz w:val="20"/>
          <w:u w:val="single"/>
        </w:rPr>
        <w:t xml:space="preserve"> </w:t>
      </w:r>
      <w:r>
        <w:rPr>
          <w:rFonts w:ascii="Times New Roman" w:hAnsi="Times New Roman"/>
          <w:color w:val="0000FF"/>
          <w:sz w:val="22"/>
          <w:u w:val="single"/>
        </w:rPr>
        <w:t>and the 2026-2 Delayed Draw Term Lenders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Loans</w:t>
      </w:r>
      <w:r>
        <w:rPr>
          <w:rFonts w:ascii="Times New Roman" w:hAnsi="Times New Roman"/>
          <w:color w:val="000000"/>
          <w:sz w:val="20"/>
        </w:rPr>
        <w:t>”</w:t>
      </w:r>
      <w:r>
        <w:rPr>
          <w:rFonts w:ascii="Times New Roman" w:hAnsi="Times New Roman"/>
          <w:color w:val="000000"/>
          <w:sz w:val="22"/>
        </w:rPr>
        <w:t>: the collective reference to the Tranche A Term Loans and any Incremental Term Loans (including the 2026 Incremental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the 2026 Delayed Draw Term Loans</w:t>
      </w:r>
      <w:r>
        <w:rPr>
          <w:rFonts w:ascii="Times New Roman" w:hAnsi="Times New Roman"/>
          <w:color w:val="0000FF"/>
          <w:sz w:val="20"/>
          <w:u w:val="single"/>
        </w:rPr>
        <w:t xml:space="preserve"> </w:t>
      </w:r>
      <w:r>
        <w:rPr>
          <w:rFonts w:ascii="Times New Roman" w:hAnsi="Times New Roman"/>
          <w:color w:val="0000FF"/>
          <w:sz w:val="22"/>
          <w:u w:val="single"/>
        </w:rPr>
        <w:t>and the 2026-2 Delayed Draw Term Loans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SOFR Determination Day</w:t>
      </w:r>
      <w:r>
        <w:rPr>
          <w:rFonts w:ascii="Times New Roman" w:hAnsi="Times New Roman"/>
          <w:color w:val="000000"/>
          <w:sz w:val="20"/>
        </w:rPr>
        <w:t>”</w:t>
      </w:r>
      <w:r>
        <w:rPr>
          <w:rFonts w:ascii="Times New Roman" w:hAnsi="Times New Roman"/>
          <w:color w:val="000000"/>
          <w:sz w:val="22"/>
        </w:rPr>
        <w:t>: has the meaning assigned to it under the definition of Term SOFR Reference Rate.</w:t>
      </w:r>
    </w:p>
    <w:p>
      <w:pPr>
        <w:pStyle w:val="TextBody"/>
        <w:bidi w:val="0"/>
        <w:spacing w:before="0" w:after="240"/>
        <w:jc w:val="both"/>
        <w:rPr/>
      </w:pPr>
      <w:r>
        <w:rPr>
          <w:color w:val="000000"/>
        </w:rPr>
        <w:t>“</w:t>
      </w:r>
      <w:r>
        <w:rPr>
          <w:rFonts w:ascii="Times New Roman" w:hAnsi="Times New Roman"/>
          <w:color w:val="000000"/>
          <w:sz w:val="22"/>
          <w:u w:val="single"/>
        </w:rPr>
        <w:t>Term SOFR Rate</w:t>
      </w:r>
      <w:r>
        <w:rPr>
          <w:rFonts w:ascii="Times New Roman" w:hAnsi="Times New Roman"/>
          <w:color w:val="000000"/>
          <w:sz w:val="20"/>
        </w:rPr>
        <w:t>”</w:t>
      </w:r>
      <w:r>
        <w:rPr>
          <w:rFonts w:ascii="Times New Roman" w:hAnsi="Times New Roman"/>
          <w:color w:val="000000"/>
          <w:sz w:val="22"/>
        </w:rPr>
        <w:t>: with respect to any Term Benchmark Borrowing and for any tenor comparable to the applicable Interest Period, the Term SOFR Reference Rate at approximately 5:00 a.m., Chicago time, two U.S. Government Securities Business Days prior to the commencement of such tenor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comparable to the applicable Interest Period, as such rate is published by the CME Term SOFR Administrator.</w:t>
      </w:r>
    </w:p>
    <w:p>
      <w:pPr>
        <w:pStyle w:val="TextBody"/>
        <w:bidi w:val="0"/>
        <w:spacing w:before="0" w:after="240"/>
        <w:jc w:val="both"/>
        <w:rPr/>
      </w:pPr>
      <w:r>
        <w:rPr>
          <w:color w:val="000000"/>
        </w:rPr>
        <w:t>“</w:t>
      </w:r>
      <w:r>
        <w:rPr>
          <w:rFonts w:ascii="Times New Roman" w:hAnsi="Times New Roman"/>
          <w:color w:val="000000"/>
          <w:sz w:val="22"/>
          <w:u w:val="single"/>
        </w:rPr>
        <w:t>Term SOFR Reference Rate</w:t>
      </w:r>
      <w:r>
        <w:rPr>
          <w:rFonts w:ascii="Times New Roman" w:hAnsi="Times New Roman"/>
          <w:color w:val="000000"/>
          <w:sz w:val="20"/>
        </w:rPr>
        <w:t>”</w:t>
      </w:r>
      <w:r>
        <w:rPr>
          <w:rFonts w:ascii="Times New Roman" w:hAnsi="Times New Roman"/>
          <w:color w:val="000000"/>
          <w:sz w:val="22"/>
        </w:rPr>
        <w:t>: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color w:val="000000"/>
          <w:sz w:val="22"/>
          <w:u w:val="single"/>
        </w:rPr>
        <w:t>Third Amendment</w:t>
      </w:r>
      <w:r>
        <w:rPr>
          <w:rFonts w:ascii="Times New Roman" w:hAnsi="Times New Roman"/>
          <w:color w:val="000000"/>
          <w:sz w:val="20"/>
        </w:rPr>
        <w:t>”</w:t>
      </w:r>
      <w:r>
        <w:rPr>
          <w:rFonts w:ascii="Times New Roman" w:hAnsi="Times New Roman"/>
          <w:color w:val="000000"/>
          <w:sz w:val="22"/>
        </w:rPr>
        <w:t>: the third amendment, dated as of May 16, 2013 by and among the Borrower, the Secured Guarantors, the Administrative Agent and the Lenders party thereto.</w:t>
      </w:r>
    </w:p>
    <w:p>
      <w:pPr>
        <w:pStyle w:val="TextBody"/>
        <w:bidi w:val="0"/>
        <w:spacing w:before="0" w:after="240"/>
        <w:jc w:val="both"/>
        <w:rPr/>
      </w:pPr>
      <w:r>
        <w:rPr>
          <w:color w:val="000000"/>
        </w:rPr>
        <w:t>“</w:t>
      </w:r>
      <w:r>
        <w:rPr>
          <w:rFonts w:ascii="Times New Roman" w:hAnsi="Times New Roman"/>
          <w:color w:val="000000"/>
          <w:sz w:val="22"/>
          <w:u w:val="single"/>
        </w:rPr>
        <w:t>Total Revolving Commitments</w:t>
      </w:r>
      <w:r>
        <w:rPr>
          <w:rFonts w:ascii="Times New Roman" w:hAnsi="Times New Roman"/>
          <w:color w:val="000000"/>
          <w:sz w:val="20"/>
        </w:rPr>
        <w:t>”</w:t>
      </w:r>
      <w:r>
        <w:rPr>
          <w:rFonts w:ascii="Times New Roman" w:hAnsi="Times New Roman"/>
          <w:color w:val="000000"/>
          <w:sz w:val="22"/>
        </w:rPr>
        <w:t>: at any time, the aggregate amount of the Revolving Commitments then in effect.</w:t>
      </w:r>
    </w:p>
    <w:p>
      <w:pPr>
        <w:pStyle w:val="TextBody"/>
        <w:bidi w:val="0"/>
        <w:spacing w:before="0" w:after="240"/>
        <w:jc w:val="both"/>
        <w:rPr/>
      </w:pPr>
      <w:r>
        <w:rPr>
          <w:color w:val="000000"/>
        </w:rPr>
        <w:t>“</w:t>
      </w:r>
      <w:r>
        <w:rPr>
          <w:rFonts w:ascii="Times New Roman" w:hAnsi="Times New Roman"/>
          <w:color w:val="000000"/>
          <w:sz w:val="22"/>
          <w:u w:val="single"/>
        </w:rPr>
        <w:t>Total Revolving Extensions of Credit</w:t>
      </w:r>
      <w:r>
        <w:rPr>
          <w:rFonts w:ascii="Times New Roman" w:hAnsi="Times New Roman"/>
          <w:color w:val="000000"/>
          <w:sz w:val="20"/>
        </w:rPr>
        <w:t>”</w:t>
      </w:r>
      <w:r>
        <w:rPr>
          <w:rFonts w:ascii="Times New Roman" w:hAnsi="Times New Roman"/>
          <w:color w:val="000000"/>
          <w:sz w:val="22"/>
        </w:rPr>
        <w:t>: at any time, the aggregate amount of the Revolving Extensions of Credit of the Revolving Lenders outstanding at such time; provided that the amount described in clause (c)(x) of the definition of the “Revolving Extensions of Credit” shall only be applicable to the extent Lenders shall have funded their respective participations in the outstanding Swingline Loans.</w:t>
      </w:r>
    </w:p>
    <w:p>
      <w:pPr>
        <w:pStyle w:val="TextBody"/>
        <w:bidi w:val="0"/>
        <w:spacing w:before="0" w:after="240"/>
        <w:jc w:val="both"/>
        <w:rPr/>
      </w:pPr>
      <w:r>
        <w:rPr>
          <w:color w:val="000000"/>
        </w:rPr>
        <w:t>“</w:t>
      </w:r>
      <w:r>
        <w:rPr>
          <w:rFonts w:ascii="Times New Roman" w:hAnsi="Times New Roman"/>
          <w:color w:val="000000"/>
          <w:sz w:val="22"/>
          <w:u w:val="single"/>
        </w:rPr>
        <w:t>Tranche A Maturity Date</w:t>
      </w:r>
      <w:r>
        <w:rPr>
          <w:rFonts w:ascii="Times New Roman" w:hAnsi="Times New Roman"/>
          <w:color w:val="000000"/>
          <w:sz w:val="20"/>
        </w:rPr>
        <w:t>”</w:t>
      </w:r>
      <w:r>
        <w:rPr>
          <w:rFonts w:ascii="Times New Roman" w:hAnsi="Times New Roman"/>
          <w:color w:val="000000"/>
          <w:sz w:val="22"/>
        </w:rPr>
        <w:t>: September 26, 2029.</w:t>
      </w:r>
    </w:p>
    <w:p>
      <w:pPr>
        <w:pStyle w:val="TextBody"/>
        <w:bidi w:val="0"/>
        <w:spacing w:before="0" w:after="240"/>
        <w:jc w:val="both"/>
        <w:rPr/>
      </w:pPr>
      <w:r>
        <w:rPr>
          <w:color w:val="000000"/>
        </w:rPr>
        <w:t>“</w:t>
      </w:r>
      <w:r>
        <w:rPr>
          <w:rFonts w:ascii="Times New Roman" w:hAnsi="Times New Roman"/>
          <w:color w:val="000000"/>
          <w:sz w:val="22"/>
          <w:u w:val="single"/>
        </w:rPr>
        <w:t>Tranche A Term Commitments</w:t>
      </w:r>
      <w:r>
        <w:rPr>
          <w:rFonts w:ascii="Times New Roman" w:hAnsi="Times New Roman"/>
          <w:color w:val="000000"/>
          <w:sz w:val="20"/>
        </w:rPr>
        <w:t>”</w:t>
      </w:r>
      <w:r>
        <w:rPr>
          <w:rFonts w:ascii="Times New Roman" w:hAnsi="Times New Roman"/>
          <w:color w:val="000000"/>
          <w:sz w:val="22"/>
        </w:rPr>
        <w:t>: as to any Lender, the obligation of such Lender, if any, to make a Tranche A Term Loan to the Borrower in a principal amount not to exceed the amount set forth under the heading “Tranche A Term Commitment” opposite such Lender’s name on Schedule 1.1A. The aggregate amount of the Tranche A Term Commitments as of the Tenth Amendment Effective Date is $1,200,000,000.</w:t>
      </w:r>
    </w:p>
    <w:p>
      <w:pPr>
        <w:pStyle w:val="TextBody"/>
        <w:bidi w:val="0"/>
        <w:spacing w:before="0" w:after="240"/>
        <w:jc w:val="both"/>
        <w:rPr/>
      </w:pPr>
      <w:r>
        <w:rPr>
          <w:color w:val="000000"/>
        </w:rPr>
        <w:t>“</w:t>
      </w:r>
      <w:r>
        <w:rPr>
          <w:rFonts w:ascii="Times New Roman" w:hAnsi="Times New Roman"/>
          <w:color w:val="000000"/>
          <w:sz w:val="22"/>
          <w:u w:val="single"/>
        </w:rPr>
        <w:t>Tranche A Term Lender</w:t>
      </w:r>
      <w:r>
        <w:rPr>
          <w:rFonts w:ascii="Times New Roman" w:hAnsi="Times New Roman"/>
          <w:color w:val="000000"/>
          <w:sz w:val="20"/>
        </w:rPr>
        <w:t>”</w:t>
      </w:r>
      <w:r>
        <w:rPr>
          <w:rFonts w:ascii="Times New Roman" w:hAnsi="Times New Roman"/>
          <w:color w:val="000000"/>
          <w:sz w:val="22"/>
        </w:rPr>
        <w:t>: each Lender that has a Tranche A Term Commitment or that holds a Tranche A Term Loan.</w:t>
      </w:r>
    </w:p>
    <w:p>
      <w:pPr>
        <w:pStyle w:val="TextBody"/>
        <w:bidi w:val="0"/>
        <w:spacing w:before="0" w:after="240"/>
        <w:jc w:val="both"/>
        <w:rPr/>
      </w:pPr>
      <w:r>
        <w:rPr>
          <w:color w:val="000000"/>
        </w:rPr>
        <w:t>“</w:t>
      </w:r>
      <w:r>
        <w:rPr>
          <w:rFonts w:ascii="Times New Roman" w:hAnsi="Times New Roman"/>
          <w:color w:val="000000"/>
          <w:sz w:val="22"/>
          <w:u w:val="single"/>
        </w:rPr>
        <w:t>Tranche A Term Loan</w:t>
      </w:r>
      <w:r>
        <w:rPr>
          <w:rFonts w:ascii="Times New Roman" w:hAnsi="Times New Roman"/>
          <w:color w:val="000000"/>
          <w:sz w:val="20"/>
        </w:rPr>
        <w:t>”</w:t>
      </w:r>
      <w:r>
        <w:rPr>
          <w:rFonts w:ascii="Times New Roman" w:hAnsi="Times New Roman"/>
          <w:color w:val="000000"/>
          <w:sz w:val="22"/>
        </w:rPr>
        <w:t>: as defined in Section 2.1(a), but shall include any Tranche A Term Loan made hereunder pursuant to the Tenth Amendment on the Tenth Amendment Effective Date.</w:t>
      </w:r>
    </w:p>
    <w:p>
      <w:pPr>
        <w:pStyle w:val="TextBody"/>
        <w:bidi w:val="0"/>
        <w:spacing w:before="0" w:after="240"/>
        <w:jc w:val="both"/>
        <w:rPr/>
      </w:pPr>
      <w:r>
        <w:rPr>
          <w:color w:val="000000"/>
        </w:rPr>
        <w:t>“</w:t>
      </w:r>
      <w:r>
        <w:rPr>
          <w:rFonts w:ascii="Times New Roman" w:hAnsi="Times New Roman"/>
          <w:color w:val="000000"/>
          <w:sz w:val="22"/>
          <w:u w:val="single"/>
        </w:rPr>
        <w:t>Tranche A Term Percentage</w:t>
      </w:r>
      <w:r>
        <w:rPr>
          <w:rFonts w:ascii="Times New Roman" w:hAnsi="Times New Roman"/>
          <w:color w:val="000000"/>
          <w:sz w:val="20"/>
        </w:rPr>
        <w:t>”</w:t>
      </w:r>
      <w:r>
        <w:rPr>
          <w:rFonts w:ascii="Times New Roman" w:hAnsi="Times New Roman"/>
          <w:color w:val="000000"/>
          <w:sz w:val="22"/>
        </w:rPr>
        <w:t>: as to any Tranche A Term Lender at any time, the percentage which such Lender’s Tranche A Term Commitment then constitutes of the aggregate Tranche A Term Commitments (or, at any time after the Closing Date, the percentage which the aggregate principal amount of such Lender’s Tranche A Term Loans then outstanding constitutes of the aggregate principal amount of the Tranche A Term Loans then outstanding).</w:t>
      </w:r>
    </w:p>
    <w:p>
      <w:pPr>
        <w:pStyle w:val="TextBody"/>
        <w:bidi w:val="0"/>
        <w:spacing w:before="0" w:after="240"/>
        <w:jc w:val="both"/>
        <w:rPr/>
      </w:pPr>
      <w:r>
        <w:rPr>
          <w:color w:val="000000"/>
        </w:rPr>
        <w:t>“</w:t>
      </w:r>
      <w:r>
        <w:rPr>
          <w:rFonts w:ascii="Times New Roman" w:hAnsi="Times New Roman"/>
          <w:color w:val="000000"/>
          <w:sz w:val="22"/>
          <w:u w:val="single"/>
        </w:rPr>
        <w:t>Tranche B Term Lender</w:t>
      </w:r>
      <w:r>
        <w:rPr>
          <w:rFonts w:ascii="Times New Roman" w:hAnsi="Times New Roman"/>
          <w:color w:val="000000"/>
          <w:sz w:val="20"/>
        </w:rPr>
        <w:t>”</w:t>
      </w:r>
      <w:r>
        <w:rPr>
          <w:rFonts w:ascii="Times New Roman" w:hAnsi="Times New Roman"/>
          <w:color w:val="000000"/>
          <w:sz w:val="22"/>
        </w:rPr>
        <w:t>: each Lender that holds a Tranche B Term Loan.</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Tranche B Term Loan</w:t>
      </w:r>
      <w:r>
        <w:rPr>
          <w:rFonts w:ascii="Times New Roman" w:hAnsi="Times New Roman"/>
          <w:color w:val="000000"/>
          <w:sz w:val="20"/>
        </w:rPr>
        <w:t>”</w:t>
      </w:r>
      <w:r>
        <w:rPr>
          <w:rFonts w:ascii="Times New Roman" w:hAnsi="Times New Roman"/>
          <w:color w:val="000000"/>
          <w:sz w:val="22"/>
        </w:rPr>
        <w:t>: any Incremental Term Loan under the Incremental Tranche B Facility.</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w:t>
      </w:r>
      <w:r>
        <w:rPr>
          <w:rFonts w:ascii="Times New Roman" w:hAnsi="Times New Roman"/>
          <w:color w:val="000000"/>
          <w:sz w:val="22"/>
        </w:rPr>
        <w:t>: as defined in Section 4.1(a).</w:t>
      </w:r>
    </w:p>
    <w:p>
      <w:pPr>
        <w:pStyle w:val="TextBody"/>
        <w:bidi w:val="0"/>
        <w:spacing w:before="0" w:after="240"/>
        <w:jc w:val="both"/>
        <w:rPr/>
      </w:pPr>
      <w:r>
        <w:rPr>
          <w:color w:val="000000"/>
        </w:rPr>
        <w:t>“</w:t>
      </w:r>
      <w:r>
        <w:rPr>
          <w:rFonts w:ascii="Times New Roman" w:hAnsi="Times New Roman"/>
          <w:color w:val="000000"/>
          <w:sz w:val="22"/>
          <w:u w:val="single"/>
        </w:rPr>
        <w:t>Transferee</w:t>
      </w:r>
      <w:r>
        <w:rPr>
          <w:rFonts w:ascii="Times New Roman" w:hAnsi="Times New Roman"/>
          <w:color w:val="000000"/>
          <w:sz w:val="20"/>
        </w:rPr>
        <w:t>”</w:t>
      </w:r>
      <w:r>
        <w:rPr>
          <w:rFonts w:ascii="Times New Roman" w:hAnsi="Times New Roman"/>
          <w:color w:val="000000"/>
          <w:sz w:val="22"/>
        </w:rPr>
        <w:t>: any Assignee or Participant.</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Twelfth Amendment”: the twelfth amendment and Increased Facility Activation Notice, dated as of July 20, 2026 by and among the Borrower, the Guarantors, the Administrative Agent and the Lenders party thereto.</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Twelfth Amendment Effective Date”: as defined in the Twelfth Amendment.</w:t>
      </w:r>
    </w:p>
    <w:p>
      <w:pPr>
        <w:pStyle w:val="TextBody"/>
        <w:bidi w:val="0"/>
        <w:spacing w:before="0" w:after="24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w:t>
      </w:r>
      <w:r>
        <w:rPr>
          <w:rFonts w:ascii="Times New Roman" w:hAnsi="Times New Roman"/>
          <w:color w:val="000000"/>
          <w:sz w:val="22"/>
        </w:rPr>
        <w:t>: when used in reference to any Loan or Borrowing, refers to whether the rate of interest on such Loan, or on the Loans comprising such Borrowing, is determined by reference to the Adjusted Term SOFR Rate, the ABR or the Adjusted Daily Simple SOFR.</w:t>
      </w:r>
    </w:p>
    <w:p>
      <w:pPr>
        <w:pStyle w:val="TextBody"/>
        <w:bidi w:val="0"/>
        <w:spacing w:before="0" w:after="240"/>
        <w:jc w:val="both"/>
        <w:rPr/>
      </w:pPr>
      <w:r>
        <w:rPr>
          <w:color w:val="000000"/>
        </w:rPr>
        <w:t>“</w:t>
      </w:r>
      <w:r>
        <w:rPr>
          <w:rFonts w:ascii="Times New Roman" w:hAnsi="Times New Roman"/>
          <w:color w:val="000000"/>
          <w:sz w:val="22"/>
          <w:u w:val="single"/>
        </w:rPr>
        <w:t>UK Financial Institutions</w:t>
      </w:r>
      <w:r>
        <w:rPr>
          <w:rFonts w:ascii="Times New Roman" w:hAnsi="Times New Roman"/>
          <w:color w:val="000000"/>
          <w:sz w:val="20"/>
        </w:rPr>
        <w:t>”</w:t>
      </w:r>
      <w:r>
        <w:rPr>
          <w:rFonts w:ascii="Times New Roman" w:hAnsi="Times New Roman"/>
          <w:color w:val="000000"/>
          <w:sz w:val="22"/>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w:t>
      </w:r>
      <w:r>
        <w:rPr>
          <w:rFonts w:ascii="Times New Roman" w:hAnsi="Times New Roman"/>
          <w:color w:val="000000"/>
          <w:sz w:val="22"/>
        </w:rPr>
        <w:t>: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2"/>
          <w:u w:val="single"/>
        </w:rPr>
        <w:t>Unadjusted Benchmark Replacement</w:t>
      </w:r>
      <w:r>
        <w:rPr>
          <w:rFonts w:ascii="Times New Roman" w:hAnsi="Times New Roman"/>
          <w:color w:val="000000"/>
          <w:sz w:val="20"/>
        </w:rPr>
        <w:t>”</w:t>
      </w:r>
      <w:r>
        <w:rPr>
          <w:rFonts w:ascii="Times New Roman" w:hAnsi="Times New Roman"/>
          <w:color w:val="000000"/>
          <w:sz w:val="22"/>
        </w:rPr>
        <w:t>: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2"/>
          <w:u w:val="single"/>
        </w:rPr>
        <w:t>Undrawn Fee</w:t>
      </w:r>
      <w:r>
        <w:rPr>
          <w:rFonts w:ascii="Times New Roman" w:hAnsi="Times New Roman"/>
          <w:color w:val="000000"/>
          <w:sz w:val="20"/>
        </w:rPr>
        <w:t>”</w:t>
      </w:r>
      <w:r>
        <w:rPr>
          <w:rFonts w:ascii="Times New Roman" w:hAnsi="Times New Roman"/>
          <w:color w:val="000000"/>
          <w:sz w:val="22"/>
        </w:rPr>
        <w:t>: as defined in Section 2.8(b).</w:t>
      </w:r>
    </w:p>
    <w:p>
      <w:pPr>
        <w:pStyle w:val="TextBody"/>
        <w:bidi w:val="0"/>
        <w:spacing w:before="0" w:after="240"/>
        <w:jc w:val="both"/>
        <w:rPr/>
      </w:pPr>
      <w:r>
        <w:rPr>
          <w:color w:val="000000"/>
        </w:rPr>
        <w:t>“</w:t>
      </w:r>
      <w:r>
        <w:rPr>
          <w:rFonts w:ascii="Times New Roman" w:hAnsi="Times New Roman"/>
          <w:color w:val="000000"/>
          <w:sz w:val="22"/>
          <w:u w:val="single"/>
        </w:rPr>
        <w:t>United States</w:t>
      </w:r>
      <w:r>
        <w:rPr>
          <w:rFonts w:ascii="Times New Roman" w:hAnsi="Times New Roman"/>
          <w:color w:val="000000"/>
          <w:sz w:val="20"/>
        </w:rPr>
        <w:t>”</w:t>
      </w:r>
      <w:r>
        <w:rPr>
          <w:rFonts w:ascii="Times New Roman" w:hAnsi="Times New Roman"/>
          <w:color w:val="000000"/>
          <w:sz w:val="22"/>
        </w:rPr>
        <w:t>: the United States of America.</w:t>
      </w:r>
    </w:p>
    <w:p>
      <w:pPr>
        <w:pStyle w:val="TextBody"/>
        <w:bidi w:val="0"/>
        <w:spacing w:before="0" w:after="240"/>
        <w:jc w:val="both"/>
        <w:rPr/>
      </w:pPr>
      <w:r>
        <w:rPr>
          <w:color w:val="000000"/>
        </w:rPr>
        <w:t>“</w:t>
      </w:r>
      <w:r>
        <w:rPr>
          <w:rFonts w:ascii="Times New Roman" w:hAnsi="Times New Roman"/>
          <w:color w:val="000000"/>
          <w:sz w:val="22"/>
          <w:u w:val="single"/>
        </w:rPr>
        <w:t>Unsecured Guarantor</w:t>
      </w:r>
      <w:r>
        <w:rPr>
          <w:rFonts w:ascii="Times New Roman" w:hAnsi="Times New Roman"/>
          <w:color w:val="000000"/>
          <w:sz w:val="20"/>
        </w:rPr>
        <w:t>”</w:t>
      </w:r>
      <w:r>
        <w:rPr>
          <w:rFonts w:ascii="Times New Roman" w:hAnsi="Times New Roman"/>
          <w:color w:val="000000"/>
          <w:sz w:val="22"/>
        </w:rPr>
        <w:t>: each Non-Material Subsidiary of the Borrower that becomes a party to the Subsidiary Guarantee Agreement pursuant to Section 6.10(</w:t>
      </w:r>
      <w:r>
        <w:rPr>
          <w:rFonts w:ascii="Times New Roman" w:hAnsi="Times New Roman"/>
          <w:strike/>
          <w:color w:val="FF0000"/>
          <w:sz w:val="22"/>
        </w:rPr>
        <w:t>f</w:t>
      </w:r>
      <w:r>
        <w:rPr>
          <w:rFonts w:ascii="Times New Roman" w:hAnsi="Times New Roman"/>
          <w:color w:val="0000FF"/>
          <w:sz w:val="22"/>
          <w:u w:val="single"/>
        </w:rPr>
        <w:t>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w:t>
      </w:r>
      <w:r>
        <w:rPr>
          <w:rFonts w:ascii="Times New Roman" w:hAnsi="Times New Roman"/>
          <w:color w:val="000000"/>
          <w:sz w:val="22"/>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2"/>
          <w:u w:val="single"/>
        </w:rPr>
        <w:t>U.S. Special Resolution Regime</w:t>
      </w:r>
      <w:r>
        <w:rPr>
          <w:rFonts w:ascii="Times New Roman" w:hAnsi="Times New Roman"/>
          <w:color w:val="000000"/>
          <w:sz w:val="20"/>
        </w:rPr>
        <w:t>”</w:t>
      </w:r>
      <w:r>
        <w:rPr>
          <w:rFonts w:ascii="Times New Roman" w:hAnsi="Times New Roman"/>
          <w:color w:val="000000"/>
          <w:sz w:val="22"/>
        </w:rPr>
        <w:t>: as defined in Section 10.19.</w:t>
      </w:r>
    </w:p>
    <w:p>
      <w:pPr>
        <w:pStyle w:val="TextBody"/>
        <w:bidi w:val="0"/>
        <w:spacing w:before="0" w:after="240"/>
        <w:jc w:val="both"/>
        <w:rPr/>
      </w:pPr>
      <w:r>
        <w:rPr>
          <w:color w:val="000000"/>
        </w:rPr>
        <w:t>“</w:t>
      </w:r>
      <w:r>
        <w:rPr>
          <w:rFonts w:ascii="Times New Roman" w:hAnsi="Times New Roman"/>
          <w:color w:val="000000"/>
          <w:sz w:val="22"/>
          <w:u w:val="single"/>
        </w:rPr>
        <w:t>Wholly Owned Subsidiary</w:t>
      </w:r>
      <w:r>
        <w:rPr>
          <w:rFonts w:ascii="Times New Roman" w:hAnsi="Times New Roman"/>
          <w:color w:val="000000"/>
          <w:sz w:val="20"/>
        </w:rPr>
        <w:t>”</w:t>
      </w:r>
      <w:r>
        <w:rPr>
          <w:rFonts w:ascii="Times New Roman" w:hAnsi="Times New Roman"/>
          <w:color w:val="000000"/>
          <w:sz w:val="22"/>
        </w:rPr>
        <w:t>: as to any Person, any other Person all of the Capital Stock of which (other than directors’ qualifying shares required by law) is owned by such Person directly and/or through other Wholly Owned Subsidiaries.</w:t>
      </w:r>
    </w:p>
    <w:p>
      <w:pPr>
        <w:pStyle w:val="TextBody"/>
        <w:bidi w:val="0"/>
        <w:spacing w:before="0" w:after="240"/>
        <w:jc w:val="both"/>
        <w:rPr/>
      </w:pPr>
      <w:r>
        <w:rPr>
          <w:color w:val="000000"/>
        </w:rPr>
        <w:t>“</w:t>
      </w:r>
      <w:r>
        <w:rPr>
          <w:rFonts w:ascii="Times New Roman" w:hAnsi="Times New Roman"/>
          <w:color w:val="000000"/>
          <w:sz w:val="22"/>
          <w:u w:val="single"/>
        </w:rPr>
        <w:t>Wholly Owned Subsidiary Guarantor</w:t>
      </w:r>
      <w:r>
        <w:rPr>
          <w:rFonts w:ascii="Times New Roman" w:hAnsi="Times New Roman"/>
          <w:color w:val="000000"/>
          <w:sz w:val="20"/>
        </w:rPr>
        <w:t>”</w:t>
      </w:r>
      <w:r>
        <w:rPr>
          <w:rFonts w:ascii="Times New Roman" w:hAnsi="Times New Roman"/>
          <w:color w:val="000000"/>
          <w:sz w:val="22"/>
        </w:rPr>
        <w:t>: any Guarantor that is a Wholly Owned Subsidiary of the Borrower.</w:t>
      </w:r>
    </w:p>
    <w:p>
      <w:pPr>
        <w:pStyle w:val="TextBody"/>
        <w:bidi w:val="0"/>
        <w:spacing w:before="0" w:after="240"/>
        <w:jc w:val="both"/>
        <w:rPr/>
      </w:pPr>
      <w:r>
        <w:rPr>
          <w:color w:val="000000"/>
        </w:rPr>
        <w:t>“</w:t>
      </w:r>
      <w:r>
        <w:rPr>
          <w:rFonts w:ascii="Times New Roman" w:hAnsi="Times New Roman"/>
          <w:color w:val="000000"/>
          <w:sz w:val="22"/>
          <w:u w:val="single"/>
        </w:rPr>
        <w:t>Withdrawal Liability</w:t>
      </w:r>
      <w:r>
        <w:rPr>
          <w:rFonts w:ascii="Times New Roman" w:hAnsi="Times New Roman"/>
          <w:color w:val="000000"/>
          <w:sz w:val="20"/>
        </w:rPr>
        <w:t>”</w:t>
      </w:r>
      <w:r>
        <w:rPr>
          <w:rFonts w:ascii="Times New Roman" w:hAnsi="Times New Roman"/>
          <w:color w:val="000000"/>
          <w:sz w:val="22"/>
        </w:rPr>
        <w:t>: any liability to a Multiemployer Plan as a result of a complete or partial withdrawal from such Multiemployer Plan, as such terms are defined in Title IV of ERISA.</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w:t>
      </w:r>
      <w:r>
        <w:rPr>
          <w:rFonts w:ascii="Times New Roman" w:hAnsi="Times New Roman"/>
          <w:color w:val="000000"/>
          <w:sz w:val="22"/>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color w:val="000000"/>
          <w:sz w:val="22"/>
        </w:rPr>
        <w:t>1.2</w:t>
      </w:r>
      <w:r>
        <w:rPr>
          <w:rFonts w:ascii="Times New Roman" w:hAnsi="Times New Roman"/>
          <w:color w:val="000000"/>
          <w:sz w:val="20"/>
          <w:u w:val="single"/>
        </w:rPr>
        <w:t xml:space="preserve"> </w:t>
      </w:r>
      <w:r>
        <w:rPr>
          <w:rFonts w:ascii="Times New Roman" w:hAnsi="Times New Roman"/>
          <w:color w:val="000000"/>
          <w:sz w:val="22"/>
          <w:u w:val="single"/>
        </w:rPr>
        <w:t>Other Definitional Provisions</w:t>
      </w:r>
      <w:r>
        <w:rPr>
          <w:rFonts w:ascii="Times New Roman" w:hAnsi="Times New Roman"/>
          <w:color w:val="000000"/>
          <w:sz w:val="22"/>
        </w:rPr>
        <w:t>. (a) 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(provided that, notwithstanding anything to the contrary herein, all accounting or financial terms used herein shall be construed, and all financial computations pursuant hereto shall be made, without giving effect to any election under Statement of Financial Accounting Standards 159 (or any other Financial Accounting Standard having a similar effect) to value any Indebtedness or other liabilities of any Group Member at “fair value”, as defined therein),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and (v) references to agreements or other Contractual Obligations shall, unless otherwise specified, be deemed to refer to such agreements or Contractual Obligations as amended, supplemented, restated or otherwise modified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meanings given to terms defined herein shall be equally applicable to both the singular and plural forms of such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For purposes of calculating the Consolidated Net Leverage Ratio and Consolidated Secured Net Leverage Ratio to determine compliance with </w:t>
      </w:r>
      <w:r>
        <w:rPr>
          <w:rFonts w:ascii="Times New Roman" w:hAnsi="Times New Roman"/>
          <w:color w:val="000000"/>
          <w:sz w:val="22"/>
          <w:u w:val="single"/>
        </w:rPr>
        <w:t>Section 7</w:t>
      </w:r>
      <w:r>
        <w:rPr>
          <w:rFonts w:ascii="Times New Roman" w:hAnsi="Times New Roman"/>
          <w:color w:val="000000"/>
          <w:sz w:val="22"/>
        </w:rPr>
        <w:t xml:space="preserve">, where applicable (excluding </w:t>
      </w:r>
      <w:r>
        <w:rPr>
          <w:rFonts w:ascii="Times New Roman" w:hAnsi="Times New Roman"/>
          <w:color w:val="000000"/>
          <w:sz w:val="22"/>
          <w:u w:val="single"/>
        </w:rPr>
        <w:t>Section 7.1(a)</w:t>
      </w:r>
      <w:r>
        <w:rPr>
          <w:rFonts w:ascii="Times New Roman" w:hAnsi="Times New Roman"/>
          <w:color w:val="000000"/>
          <w:sz w:val="22"/>
        </w:rPr>
        <w:t xml:space="preserve">), and calculation of the Maximum Incremental Amount, the 2026 </w:t>
      </w:r>
      <w:r>
        <w:rPr>
          <w:rFonts w:ascii="Times New Roman" w:hAnsi="Times New Roman"/>
          <w:color w:val="0000FF"/>
          <w:sz w:val="22"/>
          <w:u w:val="single"/>
        </w:rPr>
        <w:t>Delayed Draw Term Loan</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 xml:space="preserve">Commitments and 2026-2 </w:t>
      </w:r>
      <w:r>
        <w:rPr>
          <w:rFonts w:ascii="Times New Roman" w:hAnsi="Times New Roman"/>
          <w:color w:val="000000"/>
          <w:sz w:val="22"/>
        </w:rPr>
        <w:t xml:space="preserve">Delayed Draw Term Loan Commitments shall be deemed drawn;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the avoidance of doubt, this </w:t>
      </w:r>
      <w:r>
        <w:rPr>
          <w:rFonts w:ascii="Times New Roman" w:hAnsi="Times New Roman"/>
          <w:color w:val="000000"/>
          <w:sz w:val="22"/>
          <w:u w:val="single"/>
        </w:rPr>
        <w:t>Section 1.2(f)</w:t>
      </w:r>
      <w:r>
        <w:rPr>
          <w:rFonts w:ascii="Times New Roman" w:hAnsi="Times New Roman"/>
          <w:color w:val="000000"/>
          <w:sz w:val="20"/>
        </w:rPr>
        <w:t xml:space="preserve"> </w:t>
      </w:r>
      <w:r>
        <w:rPr>
          <w:rFonts w:ascii="Times New Roman" w:hAnsi="Times New Roman"/>
          <w:color w:val="000000"/>
          <w:sz w:val="22"/>
        </w:rPr>
        <w:t xml:space="preserve">shall not apply to the calculation of the Consolidated Net Leverage Ratio and Consolidated Secured Net Leverage Ratio for purposes of determining pricing, fees and the financial maintenance covenant set forth in </w:t>
      </w:r>
      <w:r>
        <w:rPr>
          <w:rFonts w:ascii="Times New Roman" w:hAnsi="Times New Roman"/>
          <w:color w:val="000000"/>
          <w:sz w:val="22"/>
          <w:u w:val="single"/>
        </w:rPr>
        <w:t>Section 7.1(a)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1.3</w:t>
      </w:r>
      <w:r>
        <w:rPr>
          <w:rFonts w:ascii="Times New Roman" w:hAnsi="Times New Roman"/>
          <w:color w:val="000000"/>
          <w:sz w:val="20"/>
          <w:u w:val="single"/>
        </w:rPr>
        <w:t xml:space="preserve"> </w:t>
      </w:r>
      <w:r>
        <w:rPr>
          <w:rFonts w:ascii="Times New Roman" w:hAnsi="Times New Roman"/>
          <w:color w:val="000000"/>
          <w:sz w:val="22"/>
          <w:u w:val="single"/>
        </w:rPr>
        <w:t>Interest Rates; Benchmark Notification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interest rate on a Loan denominated in dollars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2.</w:t>
      </w:r>
      <w:r>
        <w:rPr>
          <w:rFonts w:ascii="Times New Roman" w:hAnsi="Times New Roman"/>
          <w:color w:val="000000"/>
          <w:sz w:val="20"/>
        </w:rPr>
        <w:t xml:space="preserve"> </w:t>
      </w:r>
      <w:r>
        <w:rPr>
          <w:rFonts w:ascii="Times New Roman" w:hAnsi="Times New Roman"/>
          <w:color w:val="000000"/>
          <w:sz w:val="22"/>
        </w:rPr>
        <w:t>AMOUNT AND TERMS OF COMMITMENTS</w:t>
      </w:r>
    </w:p>
    <w:p>
      <w:pPr>
        <w:pStyle w:val="TextBody"/>
        <w:bidi w:val="0"/>
        <w:spacing w:before="0" w:after="240"/>
        <w:jc w:val="both"/>
        <w:rPr>
          <w:rFonts w:ascii="Times New Roman" w:hAnsi="Times New Roman"/>
          <w:sz w:val="20"/>
        </w:rPr>
      </w:pPr>
      <w:r>
        <w:rPr>
          <w:rFonts w:ascii="Times New Roman" w:hAnsi="Times New Roman"/>
          <w:color w:val="000000"/>
          <w:sz w:val="22"/>
        </w:rPr>
        <w:t>2.1</w:t>
      </w:r>
      <w:r>
        <w:rPr>
          <w:rFonts w:ascii="Times New Roman" w:hAnsi="Times New Roman"/>
          <w:color w:val="000000"/>
          <w:sz w:val="20"/>
          <w:u w:val="single"/>
        </w:rPr>
        <w:t xml:space="preserve"> </w:t>
      </w:r>
      <w:r>
        <w:rPr>
          <w:rFonts w:ascii="Times New Roman" w:hAnsi="Times New Roman"/>
          <w:color w:val="000000"/>
          <w:sz w:val="22"/>
          <w:u w:val="single"/>
        </w:rPr>
        <w:t>Term Commitments</w:t>
      </w:r>
      <w:r>
        <w:rPr>
          <w:rFonts w:ascii="Times New Roman" w:hAnsi="Times New Roman"/>
          <w:color w:val="000000"/>
          <w:sz w:val="22"/>
        </w:rPr>
        <w:t>. Subject to the terms and conditions hereof,</w:t>
      </w:r>
    </w:p>
    <w:p>
      <w:pPr>
        <w:pStyle w:val="TextBody"/>
        <w:bidi w:val="0"/>
        <w:spacing w:before="0" w:after="240"/>
        <w:jc w:val="both"/>
        <w:rPr>
          <w:rFonts w:ascii="Times New Roman" w:hAnsi="Times New Roman"/>
          <w:sz w:val="20"/>
        </w:rPr>
      </w:pPr>
      <w:r>
        <w:rPr>
          <w:rFonts w:ascii="Times New Roman" w:hAnsi="Times New Roman"/>
          <w:color w:val="000000"/>
          <w:sz w:val="22"/>
        </w:rPr>
        <w:t>(a) Each Tranche A Term Lender severally, but not jointly, agrees to make a loan (each a “</w:t>
      </w:r>
      <w:r>
        <w:rPr>
          <w:rFonts w:ascii="Times New Roman" w:hAnsi="Times New Roman"/>
          <w:color w:val="000000"/>
          <w:sz w:val="22"/>
          <w:u w:val="single"/>
        </w:rPr>
        <w:t>Tranche A Term Loan</w:t>
      </w:r>
      <w:r>
        <w:rPr>
          <w:rFonts w:ascii="Times New Roman" w:hAnsi="Times New Roman"/>
          <w:color w:val="000000"/>
          <w:sz w:val="20"/>
        </w:rPr>
        <w:t>”</w:t>
      </w:r>
      <w:r>
        <w:rPr>
          <w:rFonts w:ascii="Times New Roman" w:hAnsi="Times New Roman"/>
          <w:color w:val="000000"/>
          <w:sz w:val="22"/>
        </w:rPr>
        <w:t>) on the Tenth Amendment Effective Date to the Borrower in Dollars in an aggregate principal amount equal to $1,200,000,000.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2026 Incremental Term Lender severally, but not jointly, agrees to make a Loan on the Eleventh Amendment Effective Date to the Borrower in Dollars in an aggregate principal amount equal to such 2026 Incremental Term Lender’s 2026 Incremental Term Loan Commitment.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2026 Delayed Draw Term Lender severally, but not jointly, agrees to make, on the Talkspace Acquisition Closing Date (provided that such date is during the 2026 Delayed Draw Commitment Period), a Loan denominated in Dollars in an aggregate principal amount not to exceed such 2026 Delayed Draw Term Lender’s 2026 Delayed Draw Term Loan Commitment.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(d)</w:t>
      </w:r>
      <w:r>
        <w:rPr>
          <w:rFonts w:ascii="Times New Roman" w:hAnsi="Times New Roman"/>
          <w:color w:val="000000"/>
          <w:sz w:val="20"/>
        </w:rPr>
        <w:t xml:space="preserve"> </w:t>
      </w:r>
      <w:r>
        <w:rPr>
          <w:rFonts w:ascii="Times New Roman" w:hAnsi="Times New Roman"/>
          <w:color w:val="0000FF"/>
          <w:sz w:val="22"/>
          <w:u w:val="single"/>
        </w:rPr>
        <w:t>Each 2026-2 Delayed Draw Term Lender severally, but not jointly, agrees to make a Loan during the 2026-2 Delayed Draw Commitment Period, denominated in Dollars in an aggregate principal amount not to exceed such 2026-2 Delayed Draw Term Lender’s 2026-2 Delayed Draw Term Loan Commitment. The Borrower may make only one borrowing under the 2026-2 Delayed Draw Term Loan Commitments.</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d</w:t>
      </w:r>
      <w:r>
        <w:rPr>
          <w:rFonts w:ascii="Times New Roman" w:hAnsi="Times New Roman"/>
          <w:color w:val="0000FF"/>
          <w:sz w:val="22"/>
          <w:u w:val="single"/>
        </w:rPr>
        <w:t>e</w:t>
      </w:r>
      <w:r>
        <w:rPr>
          <w:rFonts w:ascii="Times New Roman" w:hAnsi="Times New Roman"/>
          <w:color w:val="000000"/>
          <w:sz w:val="22"/>
        </w:rPr>
        <w:t>) The Term Loans may from time to time be Term Benchmark Loans or ABR Loans, as determined by the Borrower and notified to the Administrative Agent in accordance with Sections 2.2 and 2.12, or, pursuant to Section 2.16, RFR Loans.</w:t>
      </w:r>
    </w:p>
    <w:p>
      <w:pPr>
        <w:pStyle w:val="TextBody"/>
        <w:bidi w:val="0"/>
        <w:spacing w:before="0" w:after="240"/>
        <w:jc w:val="both"/>
        <w:rPr>
          <w:rFonts w:ascii="Times New Roman" w:hAnsi="Times New Roman"/>
          <w:sz w:val="20"/>
        </w:rPr>
      </w:pPr>
      <w:r>
        <w:rPr>
          <w:rFonts w:ascii="Times New Roman" w:hAnsi="Times New Roman"/>
          <w:color w:val="000000"/>
          <w:sz w:val="22"/>
        </w:rPr>
        <w:t>2.2</w:t>
      </w:r>
      <w:r>
        <w:rPr>
          <w:rFonts w:ascii="Times New Roman" w:hAnsi="Times New Roman"/>
          <w:color w:val="000000"/>
          <w:sz w:val="20"/>
          <w:u w:val="single"/>
        </w:rPr>
        <w:t xml:space="preserve"> </w:t>
      </w:r>
      <w:r>
        <w:rPr>
          <w:rFonts w:ascii="Times New Roman" w:hAnsi="Times New Roman"/>
          <w:color w:val="000000"/>
          <w:sz w:val="22"/>
          <w:u w:val="single"/>
        </w:rPr>
        <w:t>Procedure for Term Loan Borrowing</w:t>
      </w:r>
      <w:r>
        <w:rPr>
          <w:rFonts w:ascii="Times New Roman" w:hAnsi="Times New Roman"/>
          <w:color w:val="000000"/>
          <w:sz w:val="22"/>
        </w:rPr>
        <w:t>. (a) The Borrower shall give the Administrative Agent irrevocable notice (which notice must be received by the Administrative Agent prior to 10:00 A.M., New York City time, one Business Day prior to the anticipated Tenth Amendment Effective Date) requesting that the Tranche A Term Lenders make the Tranche A Term Loans on the Tenth Amendment Effective Date and specifying the amount to be borrowed. Upon receipt of such notice the Administrative Agent shall promptly notify each Tranche A Term Lender thereof. Not later than 12:00 Noon, New York City time, on the Closing Date each Tranche A Term Lender shall make available to the Administrative Agent at the Funding Office an amount in immediately available funds equal to the Tranche A Term Loan or Tranche A Term Loans to be made by such Tranche A Term Lender. The Administrative Agent shall credit the account of the Borrower on the books of such office of the Administrative Agent with the aggregate of the amounts made available to the Administrative Agent by the Tranche A Term Lenders in immediately available funds.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Borrower shall give the Administrative Agent irrevocable notice (which notice must be received by the Administrative Agent prior to 10:00 A.M., New York City time, one Business Day prior to the anticipated Eleventh Amendment Effective Date) requesting that the 2026 Incremental Term Lenders make the 2026 Incremental Term Loans on the Eleventh Amendment Effective Date and specifying the amount to be borrowed. Upon receipt of such notice the Administrative Agent shall promptly notify each 2026 Incremental Term Lender thereof. Not later than 12:00 noon, New York City time, on the Eleventh Amendment Effective Date each 2026 Incremental Term Lender shall make available to the Administrative Agent at the Funding Office an amount in immediately available funds equal to the 2026 Incremental Term Loans to be made by such Lender. The Administrative Agent shall credit the account of the Borrower on the books of such office of the Administrative Agent with the aggregate of the amounts made available to the Administrative Agent by the 2026 Incremental Term Lenders in immediately available funds.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shall give the Administrative Agent irrevocable notice (which notice must be received by the Administrative Agent prior to 10:00 A.M., New York City time, three Business Day prior to the anticipated Talkspace Acquisition Closing Date) requesting that the 2026 Delayed Draw Term Lenders make the 2026 Delayed Draw Term Loans on the Talkspace Acquisition Closing Date and specifying the amount to be borrowed. Upon receipt of such notice the Administrative Agent shall promptly notify each 2026 Delayed Draw Term Lender thereof. Not later than 12:00 noon, New York City time, on the Talkspace Acquisition Closing Date each 2026 Delayed Draw Term Lender shall make available to the Administrative Agent at the Funding Office an amount in immediately available funds equal to the 2026 Delayed Draw Term Loans to be made by such Lender. The Administrative Agent shall credit the account of the Borrower on the books of such office of the Administrative Agent with the aggregate of the amounts made available to the Administrative Agent by the 2026 Delayed Draw Term Lenders in immediately available funds.</w:t>
      </w:r>
    </w:p>
    <w:p>
      <w:pPr>
        <w:pStyle w:val="TextBody"/>
        <w:bidi w:val="0"/>
        <w:spacing w:before="0" w:after="240"/>
        <w:jc w:val="both"/>
        <w:rPr>
          <w:rFonts w:ascii="Times New Roman" w:hAnsi="Times New Roman"/>
          <w:sz w:val="20"/>
        </w:rPr>
      </w:pPr>
      <w:r>
        <w:rPr>
          <w:rFonts w:ascii="Times New Roman" w:hAnsi="Times New Roman"/>
          <w:color w:val="0000FF"/>
          <w:sz w:val="22"/>
          <w:u w:val="single"/>
        </w:rPr>
        <w:t>(d)</w:t>
      </w:r>
      <w:r>
        <w:rPr>
          <w:rFonts w:ascii="Times New Roman" w:hAnsi="Times New Roman"/>
          <w:color w:val="000000"/>
          <w:sz w:val="20"/>
        </w:rPr>
        <w:t xml:space="preserve"> </w:t>
      </w:r>
      <w:r>
        <w:rPr>
          <w:rFonts w:ascii="Times New Roman" w:hAnsi="Times New Roman"/>
          <w:color w:val="0000FF"/>
          <w:sz w:val="22"/>
          <w:u w:val="single"/>
        </w:rPr>
        <w:t>The Borrower shall give the Administrative Agent irrevocable notice (which notice must be received by the Administrative Agent prior to 10:00 A.M., New York City time, three Business Day prior to the requested Borrowing Date during the 2026-2 Delayed Draw Commitment Period) requesting that the 2026-2 Delayed Draw Term Lenders make the 2026-2 Delayed Draw Term Loans on the requested Borrowing Date and specifying the amount to be borrowed. Upon receipt of such notice the Administrative Agent shall promptly notify each 2026-2 Delayed Draw Term Lender thereof. Not later than 12:00 noon, New York City time, on the Borrowing Date requested by the Borrower, each 2026-2 Delayed Draw Term Lender shall make available to the Administrative Agent at the Funding</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Office an amount in immediately available funds equal to the 2026-2 Delayed Draw Term Loans to be made by such Lender. The Administrative Agent shall credit the account of the Borrower on the books of such office of the Administrative Agent with the aggregate of the amounts made available to the Administrative Agent by the 2026-2 Delayed Draw Term Lenders in immediately available funds.</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d</w:t>
      </w:r>
      <w:r>
        <w:rPr>
          <w:rFonts w:ascii="Times New Roman" w:hAnsi="Times New Roman"/>
          <w:color w:val="0000FF"/>
          <w:sz w:val="22"/>
          <w:u w:val="single"/>
        </w:rPr>
        <w:t>e</w:t>
      </w:r>
      <w:r>
        <w:rPr>
          <w:rFonts w:ascii="Times New Roman" w:hAnsi="Times New Roman"/>
          <w:color w:val="000000"/>
          <w:sz w:val="22"/>
        </w:rPr>
        <w:t>) The Incremental Term Loans shall be borrowed in accordance with Section 2.24.</w:t>
      </w:r>
    </w:p>
    <w:p>
      <w:pPr>
        <w:pStyle w:val="TextBody"/>
        <w:bidi w:val="0"/>
        <w:spacing w:before="0" w:after="240"/>
        <w:jc w:val="both"/>
        <w:rPr>
          <w:rFonts w:ascii="Times New Roman" w:hAnsi="Times New Roman"/>
          <w:sz w:val="20"/>
        </w:rPr>
      </w:pPr>
      <w:r>
        <w:rPr>
          <w:rFonts w:ascii="Times New Roman" w:hAnsi="Times New Roman"/>
          <w:color w:val="000000"/>
          <w:sz w:val="22"/>
        </w:rPr>
        <w:t>2.3</w:t>
      </w:r>
      <w:r>
        <w:rPr>
          <w:rFonts w:ascii="Times New Roman" w:hAnsi="Times New Roman"/>
          <w:color w:val="000000"/>
          <w:sz w:val="20"/>
          <w:u w:val="single"/>
        </w:rPr>
        <w:t xml:space="preserve"> </w:t>
      </w:r>
      <w:r>
        <w:rPr>
          <w:rFonts w:ascii="Times New Roman" w:hAnsi="Times New Roman"/>
          <w:color w:val="000000"/>
          <w:sz w:val="22"/>
          <w:u w:val="single"/>
        </w:rPr>
        <w:t>Repayment of Term Loans</w:t>
      </w:r>
      <w:r>
        <w:rPr>
          <w:rFonts w:ascii="Times New Roman" w:hAnsi="Times New Roman"/>
          <w:color w:val="000000"/>
          <w:sz w:val="22"/>
        </w:rPr>
        <w:t>. (a) The Tranche A Term Loan of each Tranche A Term Lender shall mature in consecutive quarterly installments, payable on the last day of each fiscal quarter, beginning with the fiscal quarter ending on December 31, 2024, each of which shall be in an amount equal to such Lender’s Tranche A Term Percentage multiplied by the amount set forth below opposite such installment:</w:t>
      </w:r>
    </w:p>
    <w:tbl>
      <w:tblPr>
        <w:tblW w:w="2957" w:type="dxa"/>
        <w:jc w:val="left"/>
        <w:tblInd w:w="0" w:type="dxa"/>
        <w:tblLayout w:type="fixed"/>
        <w:tblCellMar>
          <w:top w:w="28" w:type="dxa"/>
          <w:left w:w="28" w:type="dxa"/>
          <w:bottom w:w="28" w:type="dxa"/>
          <w:right w:w="28" w:type="dxa"/>
        </w:tblCellMar>
      </w:tblPr>
      <w:tblGrid>
        <w:gridCol w:w="1156"/>
        <w:gridCol w:w="1801"/>
      </w:tblGrid>
      <w:tr>
        <w:trPr/>
        <w:tc>
          <w:tcPr>
            <w:tcW w:w="115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Installment</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9-19</w:t>
            </w:r>
          </w:p>
        </w:tc>
        <w:tc>
          <w:tcPr>
            <w:tcW w:w="180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Principal Amount</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$7,500,000.00</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$15,000,000.00</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Additionally, on the Tranche A Maturity Date, the Borrower shall repay all amounts outstanding under the Tranche A Term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2026 Incremental Term Loans of each 2026 Incremental Term Lender shall mature in consecutive quarterly installments, payable on the last day of each fiscal quarter, beginning with the fiscal quarter ending on September 30, 2026, each of which shall be in an amount equal to such Lender’s 2026 Incremental Term Percentage multiplied by the amount set forth below opposite such installment:</w:t>
      </w:r>
    </w:p>
    <w:tbl>
      <w:tblPr>
        <w:tblW w:w="2957" w:type="dxa"/>
        <w:jc w:val="left"/>
        <w:tblInd w:w="0" w:type="dxa"/>
        <w:tblLayout w:type="fixed"/>
        <w:tblCellMar>
          <w:top w:w="28" w:type="dxa"/>
          <w:left w:w="28" w:type="dxa"/>
          <w:bottom w:w="28" w:type="dxa"/>
          <w:right w:w="28" w:type="dxa"/>
        </w:tblCellMar>
      </w:tblPr>
      <w:tblGrid>
        <w:gridCol w:w="1156"/>
        <w:gridCol w:w="1801"/>
      </w:tblGrid>
      <w:tr>
        <w:trPr/>
        <w:tc>
          <w:tcPr>
            <w:tcW w:w="115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Installment</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9-12</w:t>
            </w:r>
          </w:p>
        </w:tc>
        <w:tc>
          <w:tcPr>
            <w:tcW w:w="180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Principal Amount</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$1,875,000.00</w:t>
            </w:r>
          </w:p>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$3,750,000.00</w:t>
            </w:r>
          </w:p>
        </w:tc>
      </w:tr>
    </w:tbl>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Additionally, on the 2026 Incremental Term Loan Maturity Date, the Borrower shall repay all amounts outstanding under the 2026 Incremental Term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On the 2026 Delayed Draw Term Loan Maturity Date, the Borrower shall repay all amounts outstanding under the 2026 Delayed Draw Term Loans.</w:t>
      </w:r>
    </w:p>
    <w:p>
      <w:pPr>
        <w:pStyle w:val="TextBody"/>
        <w:bidi w:val="0"/>
        <w:spacing w:before="0" w:after="240"/>
        <w:jc w:val="both"/>
        <w:rPr>
          <w:rFonts w:ascii="Times New Roman" w:hAnsi="Times New Roman"/>
          <w:sz w:val="20"/>
        </w:rPr>
      </w:pPr>
      <w:r>
        <w:rPr>
          <w:rFonts w:ascii="Times New Roman" w:hAnsi="Times New Roman"/>
          <w:color w:val="0000FF"/>
          <w:sz w:val="22"/>
          <w:u w:val="single"/>
        </w:rPr>
        <w:t>(d)</w:t>
      </w:r>
      <w:r>
        <w:rPr>
          <w:rFonts w:ascii="Times New Roman" w:hAnsi="Times New Roman"/>
          <w:color w:val="000000"/>
          <w:sz w:val="20"/>
        </w:rPr>
        <w:t xml:space="preserve"> </w:t>
      </w:r>
      <w:r>
        <w:rPr>
          <w:rFonts w:ascii="Times New Roman" w:hAnsi="Times New Roman"/>
          <w:color w:val="0000FF"/>
          <w:sz w:val="22"/>
          <w:u w:val="single"/>
        </w:rPr>
        <w:t>On the 2026-2 Delayed Draw Term Loan Maturity Date, the Borrower shall repay all amounts outstanding under the 2026-2 Delayed Draw Term Loans.</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d</w:t>
      </w:r>
      <w:r>
        <w:rPr>
          <w:rFonts w:ascii="Times New Roman" w:hAnsi="Times New Roman"/>
          <w:color w:val="0000FF"/>
          <w:sz w:val="22"/>
          <w:u w:val="single"/>
        </w:rPr>
        <w:t>e</w:t>
      </w:r>
      <w:r>
        <w:rPr>
          <w:rFonts w:ascii="Times New Roman" w:hAnsi="Times New Roman"/>
          <w:color w:val="000000"/>
          <w:sz w:val="22"/>
        </w:rPr>
        <w:t>) The Incremental Term Loans of each Incremental Term Lender shall mature in consecutive installments (which shall be no more frequent than quarterly) as specified in the Increased Facility Activation Notice pursuant to which such Incremental Term Loans were made.</w:t>
      </w:r>
    </w:p>
    <w:p>
      <w:pPr>
        <w:pStyle w:val="TextBody"/>
        <w:bidi w:val="0"/>
        <w:spacing w:before="0" w:after="240"/>
        <w:jc w:val="both"/>
        <w:rPr>
          <w:rFonts w:ascii="Times New Roman" w:hAnsi="Times New Roman"/>
          <w:sz w:val="20"/>
        </w:rPr>
      </w:pPr>
      <w:r>
        <w:rPr>
          <w:rFonts w:ascii="Times New Roman" w:hAnsi="Times New Roman"/>
          <w:color w:val="000000"/>
          <w:sz w:val="22"/>
        </w:rPr>
        <w:t>2.4</w:t>
      </w:r>
      <w:r>
        <w:rPr>
          <w:rFonts w:ascii="Times New Roman" w:hAnsi="Times New Roman"/>
          <w:color w:val="000000"/>
          <w:sz w:val="20"/>
          <w:u w:val="single"/>
        </w:rPr>
        <w:t xml:space="preserve"> </w:t>
      </w:r>
      <w:r>
        <w:rPr>
          <w:rFonts w:ascii="Times New Roman" w:hAnsi="Times New Roman"/>
          <w:color w:val="000000"/>
          <w:sz w:val="22"/>
          <w:u w:val="single"/>
        </w:rPr>
        <w:t>Revolving Commitments</w:t>
      </w:r>
      <w:r>
        <w:rPr>
          <w:rFonts w:ascii="Times New Roman" w:hAnsi="Times New Roman"/>
          <w:color w:val="000000"/>
          <w:sz w:val="22"/>
        </w:rPr>
        <w:t>. (a) Subject to the terms and conditions hereof, each Revolving Lender severally agrees to make revolving credit loans (“Revolving Loans”) to the Borrower from time to time during the Revolving Commitment Period in an aggregate principal amount at any one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time outstanding which, when added to such Lender’s Revolving Percentage of the sum of (i) the L/C Obligations then outstanding and (ii) the aggregate principal amount of the Swingline Loans then outstanding, does not exceed the amount of such Lender’s Revolving Commitment. During the Revolving Commitment Period the Borrower may use the Revolving Commitments by borrowing, prepaying the Revolving Loans in whole or in part, and reborrowing, all in accordance with the terms and conditions hereof. The Revolving Loans may from time to time be Term Benchmark Loans or ABR Loans, as determined by the Borrower and notified to the Administrative Agent in accordance with Sections 2.5 and 2.12, or, pursuant to Section 2.16, RFR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Borrower shall repay all outstanding Revolving Loans on the Revolving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2.5</w:t>
      </w:r>
      <w:r>
        <w:rPr>
          <w:rFonts w:ascii="Times New Roman" w:hAnsi="Times New Roman"/>
          <w:color w:val="000000"/>
          <w:sz w:val="20"/>
          <w:u w:val="single"/>
        </w:rPr>
        <w:t xml:space="preserve"> </w:t>
      </w:r>
      <w:r>
        <w:rPr>
          <w:rFonts w:ascii="Times New Roman" w:hAnsi="Times New Roman"/>
          <w:color w:val="000000"/>
          <w:sz w:val="22"/>
          <w:u w:val="single"/>
        </w:rPr>
        <w:t>Procedure for Revolving Loan Borrowing</w:t>
      </w:r>
      <w:r>
        <w:rPr>
          <w:rFonts w:ascii="Times New Roman" w:hAnsi="Times New Roman"/>
          <w:color w:val="000000"/>
          <w:sz w:val="22"/>
        </w:rPr>
        <w:t>. The Borrower may borrow under the Revolving Commitments during the Revolving Commitment Period on any Business Day, provided that the Borrower shall give the Administrative Agent irrevocable notice (which notice must be received by the Administrative Agent prior to (a) 2:00</w:t>
      </w:r>
      <w:r>
        <w:rPr>
          <w:rFonts w:ascii="Times New Roman" w:hAnsi="Times New Roman"/>
          <w:color w:val="000000"/>
          <w:sz w:val="20"/>
        </w:rPr>
        <w:t xml:space="preserve"> </w:t>
      </w:r>
      <w:r>
        <w:rPr>
          <w:rFonts w:ascii="Times New Roman" w:hAnsi="Times New Roman"/>
          <w:color w:val="000000"/>
          <w:sz w:val="22"/>
        </w:rPr>
        <w:t>P.M., New York City time, three U.S. Government Securities Business Days prior to the requested Borrowing Date, in the case of Term Benchmark Loans, (b) 1:00 P.M., New York City time, on the requested Borrowing Date, in the case of ABR Loans or (c) 11:00 A.M., New York City time, five U.S. Government Securities Business Days prior to the requested Borrowing Date, in the case of RFR Loans (if available pursuant to Section 2.16)), specifying (i) the amount and Type of Revolving Loans to be borrowed, (ii) the requested Borrowing Date and (iii) in the case of Term Benchmark Loans, the respective amounts of each such Type of Loan and the respective lengths of the initial Interest Period therefor. Each borrowing under the Revolving Commitments shall be in an amount equal to (x) in the case of ABR Loans or RFR Loans, $1,000,000 or a whole multiple thereof (or, if the then aggregate Available Revolving Commitments are less than $1,000,000, such lesser amount) and (y) in the case of Term Benchmark Loans, $5,000,000 or a whole multiple of $1,000,000 in excess thereof; provided, that the Swingline Lender may request, on behalf of the Borrower, borrowings under the Revolving Commitments that are ABR Loans in other amounts pursuant to Section 2.7. Upon receipt of any such notice from the Borrower, the Administrative Agent shall promptly notify each Revolving Lender thereof. Each Revolving Lender will make the amount of its pro rata share of each borrowing available to the Administrative Agent for the account of the Borrower at the Funding Office prior to (i) in the case of Term Benchmark borrowings or RFR borrowings, 12:00 Noon, New York City time, and (ii) in case of ABR borrowings, prior to 2:00 P.M., New York City time, in each case,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Lenders and in like funds as received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2.6</w:t>
      </w:r>
      <w:r>
        <w:rPr>
          <w:rFonts w:ascii="Times New Roman" w:hAnsi="Times New Roman"/>
          <w:color w:val="000000"/>
          <w:sz w:val="20"/>
          <w:u w:val="single"/>
        </w:rPr>
        <w:t xml:space="preserve"> </w:t>
      </w:r>
      <w:r>
        <w:rPr>
          <w:rFonts w:ascii="Times New Roman" w:hAnsi="Times New Roman"/>
          <w:color w:val="000000"/>
          <w:sz w:val="22"/>
          <w:u w:val="single"/>
        </w:rPr>
        <w:t>Swingline Commitment</w:t>
      </w:r>
      <w:r>
        <w:rPr>
          <w:rFonts w:ascii="Times New Roman" w:hAnsi="Times New Roman"/>
          <w:color w:val="000000"/>
          <w:sz w:val="22"/>
        </w:rPr>
        <w:t>. (a) Subject to the terms and conditions hereof, the Swingline Lender agrees to make a portion of the credit otherwise available to the Borrower under the Revolving Commitments from time to time during the Revolving Commitment Period by making swing line loans (“Swingline Loans”) to the Borrower; provided that (i) the aggregate principal amount of Swingline Loans outstanding at any time shall not exceed the Swingline Commitment then in effect, (ii) the Borrower shall not request, and the Swingline Lender shall not make, any Swingline Loan if, after giving effect to the making of such Swingline Loan, (x) the amount of the Swingline Lender’s Available Revolving Commitment would be less than zero or (y) the Total Revolving Extensions of Credit would exceed the Total Revolving Commitments.</w:t>
      </w:r>
    </w:p>
    <w:p>
      <w:pPr>
        <w:pStyle w:val="TextBody"/>
        <w:bidi w:val="0"/>
        <w:spacing w:before="0" w:after="240"/>
        <w:jc w:val="both"/>
        <w:rPr>
          <w:rFonts w:ascii="Times New Roman" w:hAnsi="Times New Roman"/>
          <w:sz w:val="20"/>
        </w:rPr>
      </w:pPr>
      <w:r>
        <w:rPr>
          <w:rFonts w:ascii="Times New Roman" w:hAnsi="Times New Roman"/>
          <w:color w:val="000000"/>
          <w:sz w:val="22"/>
        </w:rPr>
        <w:t>(b) The Borrower shall repay to the Swingline Lender the then unpaid principal amount of each Swingline Loan on the earlier of the Revolving Termination Date and the first date after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Swingline Loan is made that is the 15th or last day of a calendar month and is at least three Business Days after such Swingline Loan is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If the maturity date shall have occurred in respect of any Class of Revolving Commitments at a time when another Class of Revolving Commitments is or are in effect with a longer maturity date, then on the earliest occurring maturity date all then outstanding Swingline Loans shall be repaid in full on such date (and there shall be no adjustment to the participations in such Swingline Loans as a result of the occurrence of such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thereafter the Borrower may request additional Swingline Loans pursuant to clause (a) above.</w:t>
      </w:r>
    </w:p>
    <w:p>
      <w:pPr>
        <w:pStyle w:val="TextBody"/>
        <w:bidi w:val="0"/>
        <w:spacing w:before="0" w:after="240"/>
        <w:jc w:val="both"/>
        <w:rPr>
          <w:rFonts w:ascii="Times New Roman" w:hAnsi="Times New Roman"/>
          <w:sz w:val="20"/>
        </w:rPr>
      </w:pPr>
      <w:r>
        <w:rPr>
          <w:rFonts w:ascii="Times New Roman" w:hAnsi="Times New Roman"/>
          <w:color w:val="000000"/>
          <w:sz w:val="22"/>
        </w:rPr>
        <w:t>2.7</w:t>
      </w:r>
      <w:r>
        <w:rPr>
          <w:rFonts w:ascii="Times New Roman" w:hAnsi="Times New Roman"/>
          <w:color w:val="000000"/>
          <w:sz w:val="20"/>
          <w:u w:val="single"/>
        </w:rPr>
        <w:t xml:space="preserve"> </w:t>
      </w:r>
      <w:r>
        <w:rPr>
          <w:rFonts w:ascii="Times New Roman" w:hAnsi="Times New Roman"/>
          <w:color w:val="000000"/>
          <w:sz w:val="22"/>
          <w:u w:val="single"/>
        </w:rPr>
        <w:t>Procedure for Swingline Borrowing; Refunding of Swingline Loans</w:t>
      </w:r>
      <w:r>
        <w:rPr>
          <w:rFonts w:ascii="Times New Roman" w:hAnsi="Times New Roman"/>
          <w:color w:val="000000"/>
          <w:sz w:val="22"/>
        </w:rPr>
        <w:t>. (a) Whenever the Borrower desires that the Swingline Lender make Swingline Loans it shall give the Swingline Lender irrevocable telephonic notice confirmed promptly in writing (which telephonic notice must be received by the Swingline Lender not later than 2:00 P.M., New York City time, on the proposed Borrowing Date), specifying (i) the amount to be borrowed and (ii) the requested Borrowing Date (which shall be a Business Day during the Revolving Commitment Period). Each borrowing under the Swingline Commitment shall be in an amount equal to $500,000 or a whole multiple of $100,000 in excess thereof. Not later than 3:00 P.M., New York City time, on the Borrowing Date specified in a notice in respect of Swingline Loans, the Swingline Lender shall make available to the Administrative Agent at the Funding Office an amount in immediately available funds equal to the amount of the Swingline Loan to be made by the Swingline Lender. The Administrative Agent shall make the proceeds of such Swingline Loan available to the Borrower on such Borrowing Date by depositing such proceeds in the account of the Borrower with the Administrative Agent on such Borrowing Date in immediately available funds.</w:t>
      </w:r>
    </w:p>
    <w:p>
      <w:pPr>
        <w:pStyle w:val="TextBody"/>
        <w:bidi w:val="0"/>
        <w:spacing w:before="0" w:after="240"/>
        <w:jc w:val="both"/>
        <w:rPr>
          <w:rFonts w:ascii="Times New Roman" w:hAnsi="Times New Roman"/>
          <w:sz w:val="20"/>
        </w:rPr>
      </w:pPr>
      <w:r>
        <w:rPr>
          <w:rFonts w:ascii="Times New Roman" w:hAnsi="Times New Roman"/>
          <w:color w:val="000000"/>
          <w:sz w:val="22"/>
        </w:rPr>
        <w:t>(b) The Swingline Lender, at any time and from time to time in its sole and absolute discretion may, if any Swingline Loan is not repaid as provided in Section 2.6(b), on behalf of the Borrower (which hereby irrevocably directs the Swingline Lender to act on its behalf), on one Business Day’s notice given by the Swingline Lender no later than 12:00 Noon, New York City time, request each Revolving Lender to make, and each Revolving Lender hereby agrees to make, a Revolving Loan, in an amount equal to such Revolving Lender’s Revolving Percentage of the aggregate amount of the Swingline Loans (the “</w:t>
      </w:r>
      <w:r>
        <w:rPr>
          <w:rFonts w:ascii="Times New Roman" w:hAnsi="Times New Roman"/>
          <w:color w:val="000000"/>
          <w:sz w:val="22"/>
          <w:u w:val="single"/>
        </w:rPr>
        <w:t>Refunded Swingline Loans</w:t>
      </w:r>
      <w:r>
        <w:rPr>
          <w:rFonts w:ascii="Times New Roman" w:hAnsi="Times New Roman"/>
          <w:color w:val="000000"/>
          <w:sz w:val="20"/>
        </w:rPr>
        <w:t>”</w:t>
      </w:r>
      <w:r>
        <w:rPr>
          <w:rFonts w:ascii="Times New Roman" w:hAnsi="Times New Roman"/>
          <w:color w:val="000000"/>
          <w:sz w:val="22"/>
        </w:rPr>
        <w:t>) outstanding on the date of such notice, to repay the Swingline Lender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the Borrower shall not be deemed to have made any representations pursuant to Section 5.2 on such date). Each Revolving Lender shall make the amount of such Revolving Loan available to the Administrative Agent at the Funding Office in immediately available funds, not later than 10:00 A.M., New York City time, one Business Day after the date of such notice. The proceeds of such Revolving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Revolving Lenders are not sufficient to repay in full such Refunded Swingline Loans.</w:t>
      </w:r>
    </w:p>
    <w:p>
      <w:pPr>
        <w:pStyle w:val="TextBody"/>
        <w:bidi w:val="0"/>
        <w:spacing w:before="0" w:after="240"/>
        <w:jc w:val="both"/>
        <w:rPr>
          <w:rFonts w:ascii="Times New Roman" w:hAnsi="Times New Roman"/>
          <w:sz w:val="20"/>
        </w:rPr>
      </w:pPr>
      <w:r>
        <w:rPr>
          <w:rFonts w:ascii="Times New Roman" w:hAnsi="Times New Roman"/>
          <w:color w:val="000000"/>
          <w:sz w:val="22"/>
        </w:rPr>
        <w:t>(c) If prior to the time a Revolving Loan would have otherwise been made pursuant to Section 2.7(b), one of the events described in Section 8(f) shall have occurred and be continuing with respect to the Borrower or if for any other reason, as determined by the Swingline Lender in its sole discretion, Revolving Loans may not be made as contemplated by Section 2.7(b), each Revolving Lender shall, on the date such Revolving Loan was to have been made pursuant to the notice referred to in Section 2.7(b), purchase for cash an undivided participating interest in the then outstanding Swingline Loans by paying to the Swingline Lender an amount (the “</w:t>
      </w:r>
      <w:r>
        <w:rPr>
          <w:rFonts w:ascii="Times New Roman" w:hAnsi="Times New Roman"/>
          <w:color w:val="000000"/>
          <w:sz w:val="22"/>
          <w:u w:val="single"/>
        </w:rPr>
        <w:t>Swingline Participation Amount</w:t>
      </w:r>
      <w:r>
        <w:rPr>
          <w:rFonts w:ascii="Times New Roman" w:hAnsi="Times New Roman"/>
          <w:color w:val="000000"/>
          <w:sz w:val="20"/>
        </w:rPr>
        <w:t>”</w:t>
      </w:r>
      <w:r>
        <w:rPr>
          <w:rFonts w:ascii="Times New Roman" w:hAnsi="Times New Roman"/>
          <w:color w:val="000000"/>
          <w:sz w:val="22"/>
        </w:rPr>
        <w:t xml:space="preserve">) equal to (i) such Revolving Lender’s Revolving Percentage </w:t>
      </w:r>
      <w:r>
        <w:rPr>
          <w:rFonts w:ascii="Times New Roman" w:hAnsi="Times New Roman"/>
          <w:color w:val="000000"/>
          <w:sz w:val="22"/>
          <w:u w:val="single"/>
        </w:rPr>
        <w:t>times</w:t>
      </w:r>
      <w:r>
        <w:rPr>
          <w:rFonts w:ascii="Times New Roman" w:hAnsi="Times New Roman"/>
          <w:color w:val="000000"/>
          <w:sz w:val="20"/>
        </w:rPr>
        <w:t xml:space="preserve"> </w:t>
      </w:r>
      <w:r>
        <w:rPr>
          <w:rFonts w:ascii="Times New Roman" w:hAnsi="Times New Roman"/>
          <w:color w:val="000000"/>
          <w:sz w:val="22"/>
        </w:rPr>
        <w:t>(ii) the sum of the aggregate principal amount of Swingline Loans then outstanding that were to have been repaid with such Revolving Loans.</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 xml:space="preserve">portion of such payment if such payment is not sufficient to pay the principal of and interest on all Swingline Loans then due);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that such payment received by the Swingline Lender is required to be returned, such Revolving Lender will return to the Swingline Lender any portion thereof previously distributed to it by the Swingline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Each Revolving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pStyle w:val="TextBody"/>
        <w:bidi w:val="0"/>
        <w:spacing w:before="0" w:after="240"/>
        <w:jc w:val="both"/>
        <w:rPr>
          <w:rFonts w:ascii="Times New Roman" w:hAnsi="Times New Roman"/>
          <w:sz w:val="20"/>
        </w:rPr>
      </w:pPr>
      <w:r>
        <w:rPr>
          <w:rFonts w:ascii="Times New Roman" w:hAnsi="Times New Roman"/>
          <w:color w:val="000000"/>
          <w:sz w:val="22"/>
        </w:rPr>
        <w:t>2.8</w:t>
      </w:r>
      <w:r>
        <w:rPr>
          <w:rFonts w:ascii="Times New Roman" w:hAnsi="Times New Roman"/>
          <w:color w:val="000000"/>
          <w:sz w:val="20"/>
          <w:u w:val="single"/>
        </w:rPr>
        <w:t xml:space="preserve"> </w:t>
      </w:r>
      <w:r>
        <w:rPr>
          <w:rFonts w:ascii="Times New Roman" w:hAnsi="Times New Roman"/>
          <w:color w:val="000000"/>
          <w:sz w:val="22"/>
          <w:u w:val="single"/>
        </w:rPr>
        <w:t>Commitment Fees, etc</w:t>
      </w:r>
      <w:r>
        <w:rPr>
          <w:rFonts w:ascii="Times New Roman" w:hAnsi="Times New Roman"/>
          <w:color w:val="000000"/>
          <w:sz w:val="22"/>
        </w:rPr>
        <w:t>. (a) The Borrower agrees to pay to the Administrative Agent for the account of each Revolving Lender a commitment fee for the period from and including the date hereof to but excluding the Revolving Termination Date, in each case, computed at the Commitment Fee Rate on the daily amount of the Available Revolving Commitment of such Lender during the period for which payment is made, payable quarterly in arrears on each Fee Payment Date, commencing on the first such date to occur after the date hereof.</w:t>
      </w:r>
    </w:p>
    <w:p>
      <w:pPr>
        <w:pStyle w:val="TextBody"/>
        <w:bidi w:val="0"/>
        <w:spacing w:before="0" w:after="240"/>
        <w:jc w:val="both"/>
        <w:rPr>
          <w:rFonts w:ascii="Times New Roman" w:hAnsi="Times New Roman"/>
          <w:sz w:val="20"/>
        </w:rPr>
      </w:pPr>
      <w:r>
        <w:rPr>
          <w:rFonts w:ascii="Times New Roman" w:hAnsi="Times New Roman"/>
          <w:color w:val="000000"/>
          <w:sz w:val="22"/>
        </w:rPr>
        <w:t>(b) The Borrower shall pay to the 2026 Delayed Draw Term Lenders an undrawn fee (the “</w:t>
      </w:r>
      <w:r>
        <w:rPr>
          <w:rFonts w:ascii="Times New Roman" w:hAnsi="Times New Roman"/>
          <w:color w:val="000000"/>
          <w:sz w:val="22"/>
          <w:u w:val="single"/>
        </w:rPr>
        <w:t>Undrawn Fee</w:t>
      </w:r>
      <w:r>
        <w:rPr>
          <w:rFonts w:ascii="Times New Roman" w:hAnsi="Times New Roman"/>
          <w:color w:val="000000"/>
          <w:sz w:val="20"/>
        </w:rPr>
        <w:t>”</w:t>
      </w:r>
      <w:r>
        <w:rPr>
          <w:rFonts w:ascii="Times New Roman" w:hAnsi="Times New Roman"/>
          <w:color w:val="000000"/>
          <w:sz w:val="22"/>
        </w:rPr>
        <w:t>) in Dollars for the period commencing on the 91st day after the Eleventh Amendment Effective Date to but excluding the earlier to occur of (i) the date on which the 2026 Delayed Draw Term Loan Commitments are funded and (ii) the date on which the 2026 Delayed Draw Term Loan Commitments are terminated, as separately agreed between the Borrower and the 2026 Delayed Draw Term Lenders and notified by the Borrower to the Administrative Agent in writing on or prior to the Eleventh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agrees to pay to the Administrative Agent the fees in the amounts and on the dates as set forth in any fee agreements with the Administrative Agent and to perform any other obligations contained therein.</w:t>
      </w:r>
    </w:p>
    <w:p>
      <w:pPr>
        <w:pStyle w:val="TextBody"/>
        <w:bidi w:val="0"/>
        <w:spacing w:before="0" w:after="240"/>
        <w:jc w:val="both"/>
        <w:rPr>
          <w:rFonts w:ascii="Times New Roman" w:hAnsi="Times New Roman"/>
          <w:sz w:val="20"/>
        </w:rPr>
      </w:pPr>
      <w:r>
        <w:rPr>
          <w:rFonts w:ascii="Times New Roman" w:hAnsi="Times New Roman"/>
          <w:color w:val="000000"/>
          <w:sz w:val="22"/>
        </w:rPr>
        <w:t>2.9</w:t>
      </w:r>
      <w:r>
        <w:rPr>
          <w:rFonts w:ascii="Times New Roman" w:hAnsi="Times New Roman"/>
          <w:color w:val="000000"/>
          <w:sz w:val="20"/>
          <w:u w:val="single"/>
        </w:rPr>
        <w:t xml:space="preserve"> </w:t>
      </w:r>
      <w:r>
        <w:rPr>
          <w:rFonts w:ascii="Times New Roman" w:hAnsi="Times New Roman"/>
          <w:color w:val="000000"/>
          <w:sz w:val="22"/>
          <w:u w:val="single"/>
        </w:rPr>
        <w:t>Termination or Reduction of Revolving Commitments</w:t>
      </w:r>
      <w:r>
        <w:rPr>
          <w:rFonts w:ascii="Times New Roman" w:hAnsi="Times New Roman"/>
          <w:strike/>
          <w:color w:val="FF0000"/>
          <w:sz w:val="20"/>
          <w:u w:val="single"/>
        </w:rPr>
        <w:t xml:space="preserve"> </w:t>
      </w:r>
      <w:r>
        <w:rPr>
          <w:rFonts w:ascii="Times New Roman" w:hAnsi="Times New Roman"/>
          <w:strike/>
          <w:color w:val="FF0000"/>
          <w:sz w:val="22"/>
          <w:u w:val="single"/>
        </w:rPr>
        <w:t>and</w:t>
      </w:r>
      <w:r>
        <w:rPr>
          <w:rFonts w:ascii="Times New Roman" w:hAnsi="Times New Roman"/>
          <w:color w:val="0000FF"/>
          <w:sz w:val="22"/>
          <w:u w:val="single"/>
        </w:rPr>
        <w:t>,</w:t>
      </w:r>
      <w:r>
        <w:rPr>
          <w:rFonts w:ascii="Times New Roman" w:hAnsi="Times New Roman"/>
          <w:color w:val="000000"/>
          <w:sz w:val="20"/>
          <w:u w:val="single"/>
        </w:rPr>
        <w:t xml:space="preserve"> </w:t>
      </w:r>
      <w:r>
        <w:rPr>
          <w:rFonts w:ascii="Times New Roman" w:hAnsi="Times New Roman"/>
          <w:color w:val="000000"/>
          <w:sz w:val="22"/>
          <w:u w:val="single"/>
        </w:rPr>
        <w:t>2026 Delayed Draw Term Loan Commitments</w:t>
      </w:r>
      <w:r>
        <w:rPr>
          <w:rFonts w:ascii="Times New Roman" w:hAnsi="Times New Roman"/>
          <w:color w:val="0000FF"/>
          <w:sz w:val="20"/>
          <w:u w:val="single"/>
        </w:rPr>
        <w:t xml:space="preserve"> </w:t>
      </w:r>
      <w:r>
        <w:rPr>
          <w:rFonts w:ascii="Times New Roman" w:hAnsi="Times New Roman"/>
          <w:color w:val="0000FF"/>
          <w:sz w:val="22"/>
          <w:u w:val="single"/>
        </w:rPr>
        <w:t>and 2026-2 Delayed Draw Term Loan Commitments</w:t>
      </w:r>
      <w:r>
        <w:rPr>
          <w:rFonts w:ascii="Times New Roman" w:hAnsi="Times New Roman"/>
          <w:color w:val="000000"/>
          <w:sz w:val="22"/>
        </w:rPr>
        <w:t>. The Borrower shall have the right, upon not less than three Business Days’ notice to the Administrative Agent, to (i) terminate the Revolving Commitments or, from time to time, to reduce the amount of the Revolving Commitments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(ii) terminate the 2026 Delayed Draw Term Loan Commitments or, from time to time, reduce the amount of the 2026 Delayed Draw Term Loan </w:t>
      </w:r>
      <w:r>
        <w:rPr>
          <w:rFonts w:ascii="Times New Roman" w:hAnsi="Times New Roman"/>
          <w:color w:val="0000FF"/>
          <w:sz w:val="22"/>
          <w:u w:val="single"/>
        </w:rPr>
        <w:t xml:space="preserve">Commitments and (iii) terminate the 2026-2 Delayed Draw Term Loan Commitments or, from time to time, reduce the amount of the 2026-2 Delayed Draw Term Loan </w:t>
      </w:r>
      <w:r>
        <w:rPr>
          <w:rFonts w:ascii="Times New Roman" w:hAnsi="Times New Roman"/>
          <w:color w:val="000000"/>
          <w:sz w:val="22"/>
        </w:rPr>
        <w:t xml:space="preserve">Commitments;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termination or reduction of Revolving Commitments shall be permitted if, after giving effect thereto and to any prepayments of the Revolving Loans and Swingline Loans made on the effective date thereof, the Total Revolving Extensions of Credit would exceed the Total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Revolving Commitments. Any such reduction shall be in an amount equal to $1,000,000, or a whole multiple thereof, and shall reduce permanently the Revolving Commitments</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Delayed Draw Term Loan </w:t>
      </w:r>
      <w:r>
        <w:rPr>
          <w:rFonts w:ascii="Times New Roman" w:hAnsi="Times New Roman"/>
          <w:color w:val="0000FF"/>
          <w:sz w:val="22"/>
          <w:u w:val="single"/>
        </w:rPr>
        <w:t xml:space="preserve">Commitments or 2026-2 Delayed Draw Term Loan </w:t>
      </w:r>
      <w:r>
        <w:rPr>
          <w:rFonts w:ascii="Times New Roman" w:hAnsi="Times New Roman"/>
          <w:color w:val="000000"/>
          <w:sz w:val="22"/>
        </w:rPr>
        <w:t>Commitments, as applicable, then in effect. The 2026 Delayed Draw Term Loan Commitment of each 2026 Delayed Draw Term Lender shall be automatically and permanently reduced (i) on a dollar-for-dollar basis by the amount of the advance made by such 2026 Delayed Draw Term Lender pursuant to Section 2.1(c) on the Talkspace Acquisition Closing Date and any 2026 Delayed Draw Term Loan Commitments that are not utilized on such date shall be cancelled and (ii) to $0 at 5:00 p.m., New York City time, on the 2026 Delayed Draw Commitment Termination Date to the extent any 2026 Delayed Draw Term Loan Commitments remain outstanding at such time.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Additionally, the 2026-2 Delayed Draw Term Loan Commitment of each 2026-2 Delayed Draw Term Lender shall be automatically and permanently reduced (i) on a dollar-for-dollar basis by the amount of the advance made by such 2026-2 Delayed Draw Term Lender pursuant to Section 2.1(d) on the requested Borrowing Date and any 2026-2 Delayed Draw Term Loan Commitments that are not utilized on such date shall be cancelled, (ii) to $0 at 5:00 p.m., New York City time, on the 2026-2 Delayed Draw Commitment Termination Date to the extent any 2026-2 Delayed Draw Term Loan Commitments remain outstanding at such time and (iii) on a dollar-for dollar basis by the Net Cash Proceeds received by any Group Member from any Capital Stock issued by the Borrower or any of its Subsidiaries (other than (x) issuances pursuant to employee stock plans or other benefit or employee incentive arrangements issuances or (y) issuances to the Borrower or any Subsidiary of the Borrower) or the incurrence by any Group Member of Indebtedness for borrowed money which is not required to prepay Term Loans pursuant to Section 2.11(a) (excluding from the requirement under this clause (iii) (x) Indebtedness of any Subsidiary to the Borrower or to any other Subsidiary of the Borrower and/or (y) Revolving Loans, Letters of Credit and 2026 Delayed Draw Term Loans under this Agreement (in the maximum amount thereof set forth under this Agreement as of the Twelfth Amendment Effective Date)) by the amount of such Net Cash Proceeds.</w:t>
      </w:r>
    </w:p>
    <w:p>
      <w:pPr>
        <w:pStyle w:val="TextBody"/>
        <w:bidi w:val="0"/>
        <w:spacing w:before="0" w:after="240"/>
        <w:jc w:val="both"/>
        <w:rPr>
          <w:rFonts w:ascii="Times New Roman" w:hAnsi="Times New Roman"/>
          <w:sz w:val="20"/>
        </w:rPr>
      </w:pPr>
      <w:r>
        <w:rPr>
          <w:rFonts w:ascii="Times New Roman" w:hAnsi="Times New Roman"/>
          <w:color w:val="000000"/>
          <w:sz w:val="22"/>
        </w:rPr>
        <w:t>2.10</w:t>
      </w:r>
      <w:r>
        <w:rPr>
          <w:rFonts w:ascii="Times New Roman" w:hAnsi="Times New Roman"/>
          <w:color w:val="000000"/>
          <w:sz w:val="20"/>
          <w:u w:val="single"/>
        </w:rPr>
        <w:t xml:space="preserve"> </w:t>
      </w:r>
      <w:r>
        <w:rPr>
          <w:rFonts w:ascii="Times New Roman" w:hAnsi="Times New Roman"/>
          <w:color w:val="000000"/>
          <w:sz w:val="22"/>
          <w:u w:val="single"/>
        </w:rPr>
        <w:t>Optional Prepayments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Borrower may at any time and from time to time prepay the Loans, in whole or in part, without premium or penalty, upon irrevocable notice delivered to the Administrative Agent no later than 12:00 P.M., New York City time, three Business Days prior thereto, in the case of Term Benchmark Loans, no later than 11:00 A.M. New York City time, five Business Days prior thereto, in the case of RFR Loans and no later than 12:00 P.M., New York City time, one Business Day prior thereof, in the case of ABR Loans, which notice shall specify the date and amount of prepayment, the Facility to be prepaid (i.e., the Revolving Facility, the Tranche A Term Facility, the 2026 Incremental Term Facility</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the 2026 </w:t>
      </w:r>
      <w:r>
        <w:rPr>
          <w:rFonts w:ascii="Times New Roman" w:hAnsi="Times New Roman"/>
          <w:color w:val="0000FF"/>
          <w:sz w:val="22"/>
          <w:u w:val="single"/>
        </w:rPr>
        <w:t xml:space="preserve">Delayed Draw Term Loan Facility or the 2026-2 </w:t>
      </w:r>
      <w:r>
        <w:rPr>
          <w:rFonts w:ascii="Times New Roman" w:hAnsi="Times New Roman"/>
          <w:color w:val="000000"/>
          <w:sz w:val="22"/>
        </w:rPr>
        <w:t xml:space="preserve">Delayed Draw Term Loan Facility) and whether the prepayment is of Term Benchmark Loans, RFR Loans or ABR Loans; </w:t>
      </w:r>
      <w:r>
        <w:rPr>
          <w:rFonts w:ascii="Times New Roman" w:hAnsi="Times New Roman"/>
          <w:color w:val="000000"/>
          <w:sz w:val="22"/>
          <w:u w:val="single"/>
        </w:rPr>
        <w:t>provided</w:t>
      </w:r>
      <w:r>
        <w:rPr>
          <w:rFonts w:ascii="Times New Roman" w:hAnsi="Times New Roman"/>
          <w:color w:val="000000"/>
          <w:sz w:val="22"/>
        </w:rPr>
        <w:t>, that if a Term Benchmark Loan or RFR Loan is prepaid on any day other than the last day of the Interest Period or Interest Payment Date applicable thereto, the Borrower shall also pay any amounts owing pursuant to Section 2.20.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and Revolving Loans shall be in an aggregate principal amount of $1,000,000 or a whole multiple thereof. Partial prepayments of Swingline Loans shall be in an aggregate principal amount of $100,000 or a whole multiple thereof.</w:t>
      </w:r>
    </w:p>
    <w:p>
      <w:pPr>
        <w:pStyle w:val="TextBody"/>
        <w:bidi w:val="0"/>
        <w:spacing w:before="0" w:after="240"/>
        <w:jc w:val="both"/>
        <w:rPr>
          <w:rFonts w:ascii="Times New Roman" w:hAnsi="Times New Roman"/>
          <w:sz w:val="20"/>
        </w:rPr>
      </w:pPr>
      <w:r>
        <w:rPr>
          <w:rFonts w:ascii="Times New Roman" w:hAnsi="Times New Roman"/>
          <w:color w:val="000000"/>
          <w:sz w:val="22"/>
        </w:rPr>
        <w:t>(b) Notwithstanding anything to the contrary contained in this Section 2.10 or any other provision of this Agreement, so long as no Default or Event of Default has occurred and is continuing, the Borrower may prepay outstanding Term Loans (other than 2026 Delayed Draw Term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Loans</w:t>
      </w:r>
      <w:r>
        <w:rPr>
          <w:rFonts w:ascii="Times New Roman" w:hAnsi="Times New Roman"/>
          <w:color w:val="0000FF"/>
          <w:sz w:val="20"/>
          <w:u w:val="single"/>
        </w:rPr>
        <w:t xml:space="preserve"> </w:t>
      </w:r>
      <w:r>
        <w:rPr>
          <w:rFonts w:ascii="Times New Roman" w:hAnsi="Times New Roman"/>
          <w:color w:val="0000FF"/>
          <w:sz w:val="22"/>
          <w:u w:val="single"/>
        </w:rPr>
        <w:t>and 2026-2 Delayed Draw Term Loans</w:t>
      </w:r>
      <w:r>
        <w:rPr>
          <w:rFonts w:ascii="Times New Roman" w:hAnsi="Times New Roman"/>
          <w:color w:val="000000"/>
          <w:sz w:val="22"/>
        </w:rPr>
        <w:t>) pursuant to this Section 2.10(b) (any such prepayment, an “</w:t>
      </w:r>
      <w:r>
        <w:rPr>
          <w:rFonts w:ascii="Times New Roman" w:hAnsi="Times New Roman"/>
          <w:color w:val="000000"/>
          <w:sz w:val="22"/>
          <w:u w:val="single"/>
        </w:rPr>
        <w:t>Auction Prepayment</w:t>
      </w:r>
      <w:r>
        <w:rPr>
          <w:rFonts w:ascii="Times New Roman" w:hAnsi="Times New Roman"/>
          <w:color w:val="000000"/>
          <w:sz w:val="20"/>
        </w:rPr>
        <w:t>”</w:t>
      </w:r>
      <w:r>
        <w:rPr>
          <w:rFonts w:ascii="Times New Roman" w:hAnsi="Times New Roman"/>
          <w:color w:val="000000"/>
          <w:sz w:val="22"/>
        </w:rPr>
        <w:t>) on the following basis (the transactions described in this Section 2.10(b), collectively, the “</w:t>
      </w:r>
      <w:r>
        <w:rPr>
          <w:rFonts w:ascii="Times New Roman" w:hAnsi="Times New Roman"/>
          <w:color w:val="000000"/>
          <w:sz w:val="22"/>
          <w:u w:val="single"/>
        </w:rPr>
        <w:t>Auction Prepayment Transactions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The Borrower may notify (x) the Administrative Agent and (y) the Tranche A Term Lenders, 2026 Incremental Term Lenders or the Tranche B Term Lenders, as applicable (an “</w:t>
      </w:r>
      <w:r>
        <w:rPr>
          <w:rFonts w:ascii="Times New Roman" w:hAnsi="Times New Roman"/>
          <w:color w:val="000000"/>
          <w:sz w:val="22"/>
          <w:u w:val="single"/>
        </w:rPr>
        <w:t>Auction Prepayment Notice</w:t>
      </w:r>
      <w:r>
        <w:rPr>
          <w:rFonts w:ascii="Times New Roman" w:hAnsi="Times New Roman"/>
          <w:color w:val="000000"/>
          <w:sz w:val="20"/>
        </w:rPr>
        <w:t>”</w:t>
      </w:r>
      <w:r>
        <w:rPr>
          <w:rFonts w:ascii="Times New Roman" w:hAnsi="Times New Roman"/>
          <w:color w:val="000000"/>
          <w:sz w:val="22"/>
        </w:rPr>
        <w:t>), that the Borrower desires to prepay the Tranche A Term Loans, 2026 Incremental Term Loans or any Tranche B Term Loans, as applicable, with cash proceeds in an aggregate principal amount specified by the Borrower (which amount shall be not less than $10,000,000 in the aggregate in each case; each, an “</w:t>
      </w:r>
      <w:r>
        <w:rPr>
          <w:rFonts w:ascii="Times New Roman" w:hAnsi="Times New Roman"/>
          <w:color w:val="000000"/>
          <w:sz w:val="22"/>
          <w:u w:val="single"/>
        </w:rPr>
        <w:t>Auction Prepayment Amount</w:t>
      </w:r>
      <w:r>
        <w:rPr>
          <w:rFonts w:ascii="Times New Roman" w:hAnsi="Times New Roman"/>
          <w:color w:val="000000"/>
          <w:sz w:val="20"/>
        </w:rPr>
        <w:t>”</w:t>
      </w:r>
      <w:r>
        <w:rPr>
          <w:rFonts w:ascii="Times New Roman" w:hAnsi="Times New Roman"/>
          <w:color w:val="000000"/>
          <w:sz w:val="22"/>
        </w:rPr>
        <w:t>) at a price (which shall be within a range (the “</w:t>
      </w:r>
      <w:r>
        <w:rPr>
          <w:rFonts w:ascii="Times New Roman" w:hAnsi="Times New Roman"/>
          <w:color w:val="000000"/>
          <w:sz w:val="22"/>
          <w:u w:val="single"/>
        </w:rPr>
        <w:t>Range</w:t>
      </w:r>
      <w:r>
        <w:rPr>
          <w:rFonts w:ascii="Times New Roman" w:hAnsi="Times New Roman"/>
          <w:color w:val="000000"/>
          <w:sz w:val="20"/>
        </w:rPr>
        <w:t>”</w:t>
      </w:r>
      <w:r>
        <w:rPr>
          <w:rFonts w:ascii="Times New Roman" w:hAnsi="Times New Roman"/>
          <w:color w:val="000000"/>
          <w:sz w:val="22"/>
        </w:rPr>
        <w:t>) to be specified by the Borrower with respect to each Auction Prepayment ) equal to a percentage of par (the “</w:t>
      </w:r>
      <w:r>
        <w:rPr>
          <w:rFonts w:ascii="Times New Roman" w:hAnsi="Times New Roman"/>
          <w:color w:val="000000"/>
          <w:sz w:val="22"/>
          <w:u w:val="single"/>
        </w:rPr>
        <w:t>Payment Percentage</w:t>
      </w:r>
      <w:r>
        <w:rPr>
          <w:rFonts w:ascii="Times New Roman" w:hAnsi="Times New Roman"/>
          <w:color w:val="000000"/>
          <w:sz w:val="20"/>
        </w:rPr>
        <w:t>”</w:t>
      </w:r>
      <w:r>
        <w:rPr>
          <w:rFonts w:ascii="Times New Roman" w:hAnsi="Times New Roman"/>
          <w:color w:val="000000"/>
          <w:sz w:val="22"/>
        </w:rPr>
        <w:t xml:space="preserve">) of the principal amount of the Term Loans to be prepaid;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the aggregate cash amount paid out of pocket by the Borrower for all Auction Prepayments shall not exceed $300,000,000 during the term of this Agreement (excluding any other voluntary or involuntary prepayments of Loans in accordance with this Agreement, any accrued interest payable in connection with an Auction Prepayment, or any fees payable in connection therewith), (B) no more than three Auction Prepayment Transactions (counting transactions closing on or about the same date as one transaction) may be consummated, (C) no proceeds of Revolving Loans shall be used to finance an Auction Prepayment, (D) automatically and without the necessity of any notice or any other action, all principal and accrued and unpaid interest on the Term Loans so prepaid shall be deemed to have been paid for all purposes and shall be cancelled and no longer outstanding for all purposes of this Agreement and all other Loan Documents and (E) at the time of delivery of any Auction Prepayment Notice, the Borrower shall furnish to the Administrative Agent and each Lender a certificate signed by a Responsible Officer stating that no Default or Event of Default has occurred and is continuing or would result from the proposed Auction Prepayment.</w:t>
      </w:r>
    </w:p>
    <w:p>
      <w:pPr>
        <w:pStyle w:val="TextBody"/>
        <w:bidi w:val="0"/>
        <w:spacing w:before="0" w:after="240"/>
        <w:jc w:val="both"/>
        <w:rPr>
          <w:rFonts w:ascii="Times New Roman" w:hAnsi="Times New Roman"/>
          <w:sz w:val="20"/>
        </w:rPr>
      </w:pPr>
      <w:r>
        <w:rPr>
          <w:rFonts w:ascii="Times New Roman" w:hAnsi="Times New Roman"/>
          <w:color w:val="000000"/>
          <w:sz w:val="22"/>
        </w:rPr>
        <w:t>(ii) In connection with an Auction Prepayment, the Borrower shall allow each Tranche A Term Lender, 2026 Incremental Term Lender or each Tranche B Term Lender, as applicable, to specify a Payment Percentage (the “</w:t>
      </w:r>
      <w:r>
        <w:rPr>
          <w:rFonts w:ascii="Times New Roman" w:hAnsi="Times New Roman"/>
          <w:color w:val="000000"/>
          <w:sz w:val="22"/>
          <w:u w:val="single"/>
        </w:rPr>
        <w:t>Acceptable Payment Percentage</w:t>
      </w:r>
      <w:r>
        <w:rPr>
          <w:rFonts w:ascii="Times New Roman" w:hAnsi="Times New Roman"/>
          <w:color w:val="000000"/>
          <w:sz w:val="20"/>
        </w:rPr>
        <w:t>”</w:t>
      </w:r>
      <w:r>
        <w:rPr>
          <w:rFonts w:ascii="Times New Roman" w:hAnsi="Times New Roman"/>
          <w:color w:val="000000"/>
          <w:sz w:val="22"/>
        </w:rPr>
        <w:t>) for a principal amount (subject to rounding requirements specified by the Administrative Agent) of Tranche A Term Loans, 2026 Incremental Term Loans or Tranche B Term Loans, as applicable, at which such Lender is willing to permit such Auction Prepayment (it being understood that no Lender shall be required to specify a Payment Percentage or permit such Auction Prepayment with respect to the Loans held by it). Based on the Acceptable Payment Percentages and principal amounts of Term Loans specified by Lenders, the applicable Payment Percentage (the “</w:t>
      </w:r>
      <w:r>
        <w:rPr>
          <w:rFonts w:ascii="Times New Roman" w:hAnsi="Times New Roman"/>
          <w:color w:val="000000"/>
          <w:sz w:val="22"/>
          <w:u w:val="single"/>
        </w:rPr>
        <w:t>Applicable Payment Percentage</w:t>
      </w:r>
      <w:r>
        <w:rPr>
          <w:rFonts w:ascii="Times New Roman" w:hAnsi="Times New Roman"/>
          <w:color w:val="000000"/>
          <w:sz w:val="20"/>
        </w:rPr>
        <w:t>”</w:t>
      </w:r>
      <w:r>
        <w:rPr>
          <w:rFonts w:ascii="Times New Roman" w:hAnsi="Times New Roman"/>
          <w:color w:val="000000"/>
          <w:sz w:val="22"/>
        </w:rPr>
        <w:t xml:space="preserve">) for the Auction Prepayment shall be the lowest Acceptable Payment Percentage at which the Borrower can complete the Auction Prepayment for the applicable Auction Prepayment Amount that is within the applicable Range; </w:t>
      </w:r>
      <w:r>
        <w:rPr>
          <w:rFonts w:ascii="Times New Roman" w:hAnsi="Times New Roman"/>
          <w:color w:val="000000"/>
          <w:sz w:val="22"/>
          <w:u w:val="single"/>
        </w:rPr>
        <w:t>provided</w:t>
      </w:r>
      <w:r>
        <w:rPr>
          <w:rFonts w:ascii="Times New Roman" w:hAnsi="Times New Roman"/>
          <w:color w:val="000000"/>
          <w:sz w:val="22"/>
        </w:rPr>
        <w:t>, that if the offers received from Lenders are insufficient to allow the Borrower to complete the Auction Prepayment for the applicable Auction Prepayment Amount, then the Applicable Payment Percentage shall instead be the highest Acceptable Payment Percentage that is within the applicable Range. The Borrower shall prepay Term Loans (or the respective portions thereof) offered by Lenders at the Acceptable Payment Percentages specified by each such Lender that are equal to or less than the Applicable Payment Percentage (“</w:t>
      </w:r>
      <w:r>
        <w:rPr>
          <w:rFonts w:ascii="Times New Roman" w:hAnsi="Times New Roman"/>
          <w:color w:val="000000"/>
          <w:sz w:val="22"/>
          <w:u w:val="single"/>
        </w:rPr>
        <w:t>Qualifying Term Loans</w:t>
      </w:r>
      <w:r>
        <w:rPr>
          <w:rFonts w:ascii="Times New Roman" w:hAnsi="Times New Roman"/>
          <w:color w:val="000000"/>
          <w:sz w:val="20"/>
        </w:rPr>
        <w:t>”</w:t>
      </w:r>
      <w:r>
        <w:rPr>
          <w:rFonts w:ascii="Times New Roman" w:hAnsi="Times New Roman"/>
          <w:color w:val="000000"/>
          <w:sz w:val="22"/>
        </w:rPr>
        <w:t xml:space="preserve">) by remitting an amount to each Lender to be prepaid equal to the product of the face amount, or par, of the Term Loan being prepaid multiplied by the Applicable Payment Percentage;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aggregate cash proceeds required to prepay Qualifying Term Loans (disregarding any interest payable under Section 2.10(b)(iii) or any fees payable in connection therewith) would exceed the applicable Auction Prepayment Amount for such Auction Prepayment, the Borrower shall prepay such Qualifying Term Loans at the Applicable Payment Percentage ratably based on the respective principal amounts of such Qualifying Term Loans (subject to rounding requirements specified by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All Term Loans prepaid by the Borrower pursuant to this Section 2.10(b) shall be accompanied by payment of accrued and unpaid interest on the par principal amount so prepaid to, but not including, the date of prepayment.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The par principal amount of Term Loans prepaid pursuant to this Section 2.10(b) shall be applied to reduce the remaining installments of the respective Term Loans of the Lenders being prepaid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based upon the then remaining principal amount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Each Auction Prepayment shall be consummated pursuant to procedures (including as to timing, rounding and minimum amounts, Type and Interest Periods of accepted Loans, irrevocability of Auction Prepayment Notice and other notices by the Borrower and Lenders and determination of Applicable Payment Percentage) established by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Lenders acknowledge that following an Auction Prepayment, principal, interest and any related payments in respect of the applicable Term Loans may be made on a non-pro rata basis, as determined by the Administrative Agent, among the applicable Lenders to reflect subsequent amortization of the then outstanding Term Loans.</w:t>
      </w:r>
    </w:p>
    <w:p>
      <w:pPr>
        <w:pStyle w:val="TextBody"/>
        <w:bidi w:val="0"/>
        <w:spacing w:before="0" w:after="240"/>
        <w:jc w:val="both"/>
        <w:rPr>
          <w:rFonts w:ascii="Times New Roman" w:hAnsi="Times New Roman"/>
          <w:sz w:val="20"/>
        </w:rPr>
      </w:pPr>
      <w:r>
        <w:rPr>
          <w:rFonts w:ascii="Times New Roman" w:hAnsi="Times New Roman"/>
          <w:color w:val="000000"/>
          <w:sz w:val="22"/>
        </w:rPr>
        <w:t>2.11</w:t>
      </w:r>
      <w:r>
        <w:rPr>
          <w:rFonts w:ascii="Times New Roman" w:hAnsi="Times New Roman"/>
          <w:color w:val="000000"/>
          <w:sz w:val="20"/>
          <w:u w:val="single"/>
        </w:rPr>
        <w:t xml:space="preserve"> </w:t>
      </w:r>
      <w:r>
        <w:rPr>
          <w:rFonts w:ascii="Times New Roman" w:hAnsi="Times New Roman"/>
          <w:color w:val="000000"/>
          <w:sz w:val="22"/>
          <w:u w:val="single"/>
        </w:rPr>
        <w:t>Mandatory Prepayments</w:t>
      </w:r>
      <w:r>
        <w:rPr>
          <w:rFonts w:ascii="Times New Roman" w:hAnsi="Times New Roman"/>
          <w:color w:val="000000"/>
          <w:sz w:val="22"/>
        </w:rPr>
        <w:t>. (a) If any Indebtedness shall be issued or incurred by any Group Member (excluding (x) any Indebtedness incurred in accordance with Section 7.2 and (y) any Permitted Warrant (to the extent such Permitted Warrant constitutes Indebtedness)), other than (i) the amount by which the aggregate purchase price for receivables paid by investors or the loans from such investors in connection with any Receivables Financing and outstanding at any time exceeds $600,000,000 and (ii) the Borrower’s direct or indirect ratable share (determined in accordance with the Borrower’s direct or indirect ownership of the relevant Specified Joint Venture) of Indebtedness incurred under an agreement described in Section 7.14(c)), an amount equal to 100% of the Net Cash Proceeds thereof shall be applied on the date of such issuance or incurrence toward the prepayment of the Term Loans as set forth in Section 2.11(d).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on any date any Loan Party shall receive Net Cash Proceeds from any Asset Sale or Recovery Event then, unless a Reinvestment Notice shall be delivered in respect thereof, such Net Cash Proceeds to the extent exceeding $5,000,000 in any single transaction or series of related transactions shall be applied on such date toward the prepayment of the Term Loans as set forth in Section 2.11(d); </w:t>
      </w:r>
      <w:r>
        <w:rPr>
          <w:rFonts w:ascii="Times New Roman" w:hAnsi="Times New Roman"/>
          <w:color w:val="000000"/>
          <w:sz w:val="22"/>
          <w:u w:val="single"/>
        </w:rPr>
        <w:t>provided</w:t>
      </w:r>
      <w:r>
        <w:rPr>
          <w:rFonts w:ascii="Times New Roman" w:hAnsi="Times New Roman"/>
          <w:color w:val="000000"/>
          <w:sz w:val="22"/>
        </w:rPr>
        <w:t xml:space="preserve">, that, notwithstanding the foregoing, (i) any Net Cash Proceeds of Asset Sales and Recovery Events shall be excluded from the foregoing requirement if a Reinvestment Notice shall be delivered, (ii) on each Reinvestment Prepayment Date, an amount equal to the Reinvestment Prepayment Amount with respect to the relevant Reinvestment Event shall be applied toward the prepayment of the Term Loans as set forth in Section 2.11(d) and (iii) no such prepayment shall be required as a result of any Disposition pursuant to Section 7.5(g) to the extent that, following the Closing Date and prior to the date of such Disposition, a prepayment has been made pursuant to Section 2.10(a) of Term Loans (which prepayment may be made utilizing the proceeds of a Revolving Loan); provided that the amount of prepayments that may be excluded pursuant to this clause (iii) shall be equal to the amount of such prepayments made pursuant to Section 2.10(a) and shall not exceed $125,000,000 in the aggregate;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Borrower may use a portion of such Net Cash Proceeds to prepay or repurchase any other Indebtedness that is secured by the Collateral on a pari passu basis with the Obligations to the extent such other Indebtedness and the Liens securing the same are permitted hereunder and the documentation governing such other Indebtedness requires such a prepayment or repurchase thereof (and such requirement has not been declined or waived) with the proceeds of such Asset Sale or Recovery Event, in each case in an amount not to exceed the product of (x) the amount of such Net Cash Proceeds and (y) a fraction, the numerator of which is the outstanding principal amount of such other Indebtedness and the denominator of which is the aggregate outstanding principal amount of Tranche A Term Loans,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any Incremental Term Loans (including the 2026 Incremental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Loans and the 2026-2 </w:t>
      </w:r>
      <w:r>
        <w:rPr>
          <w:rFonts w:ascii="Times New Roman" w:hAnsi="Times New Roman"/>
          <w:color w:val="000000"/>
          <w:sz w:val="22"/>
        </w:rPr>
        <w:t>Delayed Draw Term Loans) and such other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strike/>
          <w:color w:val="FF0000"/>
          <w:sz w:val="22"/>
        </w:rPr>
        <w:t>[Reserved].</w:t>
      </w:r>
      <w:r>
        <w:rPr>
          <w:rFonts w:ascii="Times New Roman" w:hAnsi="Times New Roman"/>
          <w:color w:val="000000"/>
          <w:sz w:val="20"/>
        </w:rPr>
        <w:t xml:space="preserve"> </w:t>
      </w:r>
      <w:r>
        <w:rPr>
          <w:rFonts w:ascii="Times New Roman" w:hAnsi="Times New Roman"/>
          <w:color w:val="0000FF"/>
          <w:sz w:val="22"/>
          <w:u w:val="single"/>
        </w:rPr>
        <w:t>If (i) any Indebtedness for borrowed money shall be issued or incurred by any Group Member which is not required to prepay Term Loans pursuant to Section 2.11(a) (excluding (x) Indebtedness of any Subsidiary to the Borrower or to any other Subsidiary of the Borrower and/or (y) Revolving Loans, Letters of Credit and 2026 Delayed Draw Term Loans under this Agreement (in the maximum amount thereof set forth under this Agreement as of the Twelfth Amendment Effective Date) or (ii) any Capital Stock shall be issued by any Group Member (other than (x) issuances pursuant to employee stock plans or other benefit or employee incentive arrangements issuances or (y) issuances to the Borrower or any Subsidiary of the Borrower), an amount equal to 100% of the Net Cash Proceeds thereof shall be applied on the date of such issuance or incurrence toward the prepayment of the 2026-2 Delayed Draw Term Loans as set forth in Section 2.11(d).</w:t>
      </w:r>
    </w:p>
    <w:p>
      <w:pPr>
        <w:pStyle w:val="TextBody"/>
        <w:bidi w:val="0"/>
        <w:spacing w:before="0" w:after="240"/>
        <w:jc w:val="both"/>
        <w:rPr>
          <w:rFonts w:ascii="Times New Roman" w:hAnsi="Times New Roman"/>
          <w:sz w:val="20"/>
        </w:rPr>
      </w:pPr>
      <w:r>
        <w:rPr>
          <w:rFonts w:ascii="Times New Roman" w:hAnsi="Times New Roman"/>
          <w:color w:val="000000"/>
          <w:sz w:val="22"/>
        </w:rPr>
        <w:t>(d) Amounts to be applied in connection with prepayments in accordance with Section 2.11</w:t>
      </w:r>
      <w:r>
        <w:rPr>
          <w:rFonts w:ascii="Times New Roman" w:hAnsi="Times New Roman"/>
          <w:color w:val="0000FF"/>
          <w:sz w:val="22"/>
          <w:u w:val="single"/>
        </w:rPr>
        <w:t>(a) or Section 2.11(b)</w:t>
      </w:r>
      <w:r>
        <w:rPr>
          <w:rFonts w:ascii="Times New Roman" w:hAnsi="Times New Roman"/>
          <w:color w:val="000000"/>
          <w:sz w:val="20"/>
        </w:rPr>
        <w:t xml:space="preserve"> </w:t>
      </w:r>
      <w:r>
        <w:rPr>
          <w:rFonts w:ascii="Times New Roman" w:hAnsi="Times New Roman"/>
          <w:color w:val="000000"/>
          <w:sz w:val="22"/>
        </w:rPr>
        <w:t>shall be applied to the prepayment of the Term Loans ratably between the Tranche A Term Loans, 2026 Incremental Term Loans, 2026 Delayed Draw Term Loans</w:t>
      </w:r>
      <w:r>
        <w:rPr>
          <w:rFonts w:ascii="Times New Roman" w:hAnsi="Times New Roman"/>
          <w:color w:val="0000FF"/>
          <w:sz w:val="22"/>
          <w:u w:val="single"/>
        </w:rPr>
        <w:t>, 2026-2 Delayed Draw Term Loans</w:t>
      </w:r>
      <w:r>
        <w:rPr>
          <w:rFonts w:ascii="Times New Roman" w:hAnsi="Times New Roman"/>
          <w:color w:val="000000"/>
          <w:sz w:val="20"/>
        </w:rPr>
        <w:t xml:space="preserve"> </w:t>
      </w:r>
      <w:r>
        <w:rPr>
          <w:rFonts w:ascii="Times New Roman" w:hAnsi="Times New Roman"/>
          <w:color w:val="000000"/>
          <w:sz w:val="22"/>
        </w:rPr>
        <w:t xml:space="preserve">and any outstanding Tranche B Term </w:t>
      </w:r>
      <w:r>
        <w:rPr>
          <w:rFonts w:ascii="Times New Roman" w:hAnsi="Times New Roman"/>
          <w:color w:val="0000FF"/>
          <w:sz w:val="22"/>
          <w:u w:val="single"/>
        </w:rPr>
        <w:t xml:space="preserve">Loans in accordance with Section 2.17(b). Amounts to be applied in connection with prepayments in accordance with Section 2.11(c) shall be applied to the prepayment of 2026-2 Delayed Draw Term </w:t>
      </w:r>
      <w:r>
        <w:rPr>
          <w:rFonts w:ascii="Times New Roman" w:hAnsi="Times New Roman"/>
          <w:color w:val="000000"/>
          <w:sz w:val="22"/>
        </w:rPr>
        <w:t xml:space="preserve">Loans in accordance with Section 2.17(b). The application of any prepayment pursuant to Section 2.11 shall be made, </w:t>
      </w:r>
      <w:r>
        <w:rPr>
          <w:rFonts w:ascii="Times New Roman" w:hAnsi="Times New Roman"/>
          <w:color w:val="000000"/>
          <w:sz w:val="22"/>
          <w:u w:val="single"/>
        </w:rPr>
        <w:t>first</w:t>
      </w:r>
      <w:r>
        <w:rPr>
          <w:rFonts w:ascii="Times New Roman" w:hAnsi="Times New Roman"/>
          <w:color w:val="000000"/>
          <w:sz w:val="22"/>
        </w:rPr>
        <w:t xml:space="preserve">, to ABR Loans and, </w:t>
      </w:r>
      <w:r>
        <w:rPr>
          <w:rFonts w:ascii="Times New Roman" w:hAnsi="Times New Roman"/>
          <w:color w:val="000000"/>
          <w:sz w:val="22"/>
          <w:u w:val="single"/>
        </w:rPr>
        <w:t>second</w:t>
      </w:r>
      <w:r>
        <w:rPr>
          <w:rFonts w:ascii="Times New Roman" w:hAnsi="Times New Roman"/>
          <w:color w:val="000000"/>
          <w:sz w:val="22"/>
        </w:rPr>
        <w:t xml:space="preserve">, to RFR Loans and </w:t>
      </w:r>
      <w:r>
        <w:rPr>
          <w:rFonts w:ascii="Times New Roman" w:hAnsi="Times New Roman"/>
          <w:color w:val="000000"/>
          <w:sz w:val="22"/>
          <w:u w:val="single"/>
        </w:rPr>
        <w:t>third</w:t>
      </w:r>
      <w:r>
        <w:rPr>
          <w:rFonts w:ascii="Times New Roman" w:hAnsi="Times New Roman"/>
          <w:color w:val="000000"/>
          <w:sz w:val="22"/>
        </w:rPr>
        <w:t>, to Term Benchmark Loans. Each prepayment of the Loans under Section 2.11 shall be accompanied by accrued interest to the date of such prepayment on the amount prepaid.</w:t>
      </w:r>
    </w:p>
    <w:p>
      <w:pPr>
        <w:pStyle w:val="TextBody"/>
        <w:bidi w:val="0"/>
        <w:spacing w:before="0" w:after="240"/>
        <w:jc w:val="both"/>
        <w:rPr>
          <w:rFonts w:ascii="Times New Roman" w:hAnsi="Times New Roman"/>
          <w:sz w:val="20"/>
        </w:rPr>
      </w:pPr>
      <w:r>
        <w:rPr>
          <w:rFonts w:ascii="Times New Roman" w:hAnsi="Times New Roman"/>
          <w:color w:val="000000"/>
          <w:sz w:val="22"/>
        </w:rPr>
        <w:t>2.12</w:t>
      </w:r>
      <w:r>
        <w:rPr>
          <w:rFonts w:ascii="Times New Roman" w:hAnsi="Times New Roman"/>
          <w:color w:val="000000"/>
          <w:sz w:val="20"/>
          <w:u w:val="single"/>
        </w:rPr>
        <w:t xml:space="preserve"> </w:t>
      </w:r>
      <w:r>
        <w:rPr>
          <w:rFonts w:ascii="Times New Roman" w:hAnsi="Times New Roman"/>
          <w:color w:val="000000"/>
          <w:sz w:val="22"/>
          <w:u w:val="single"/>
        </w:rPr>
        <w:t>Conversion and Continuation Options</w:t>
      </w:r>
      <w:r>
        <w:rPr>
          <w:rFonts w:ascii="Times New Roman" w:hAnsi="Times New Roman"/>
          <w:color w:val="000000"/>
          <w:sz w:val="22"/>
        </w:rPr>
        <w:t>. (a) The Borrower may elect from time to time to convert Term Benchmark Loans or RFR Loans to ABR Loans by giving the Administrative Agent prior irrevocable notice of such election no later than 12:00 P.M., New York City time, on the Business Day preceding the proposed conversion date, provided that any such conversion of Term Benchmark Loans may only be made on the last day of an Interest Period with respect thereto. The Borrower may elect from time to time to convert ABR Loans to Term Benchmark Loans, or if available pursuant to Section 2.16, RFR Loans, by giving the Administrative Agent prior irrevocable notice of such election no later than 12:00 P.M., New York City time, on the third Business Day preceding the proposed conversion date (which notice shall specify the length of the initial Interest Period therefor in the case of Term Benchmark Loans), provided that no ABR Loan under a particular Facility may be converted into a Term Benchmark Loan or RFR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Term Benchmark Loan may be continued as such upon the expiration of the then current Interest Period with respect thereto by the Borrower giving irrevocable notice to the Administrative Agent, in accordance with the applicable provisions of the term “Interest Period” set forth in Section 1.1, of the length of the next Interest Period to be applicable to such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2.13</w:t>
      </w:r>
      <w:r>
        <w:rPr>
          <w:rFonts w:ascii="Times New Roman" w:hAnsi="Times New Roman"/>
          <w:color w:val="000000"/>
          <w:sz w:val="20"/>
          <w:u w:val="single"/>
        </w:rPr>
        <w:t xml:space="preserve"> </w:t>
      </w:r>
      <w:r>
        <w:rPr>
          <w:rFonts w:ascii="Times New Roman" w:hAnsi="Times New Roman"/>
          <w:color w:val="000000"/>
          <w:sz w:val="22"/>
          <w:u w:val="single"/>
        </w:rPr>
        <w:t>Limitations on Term Benchmark Tranches</w:t>
      </w:r>
      <w:r>
        <w:rPr>
          <w:rFonts w:ascii="Times New Roman" w:hAnsi="Times New Roman"/>
          <w:color w:val="000000"/>
          <w:sz w:val="22"/>
        </w:rPr>
        <w:t>. Notwithstanding anything to the contrary in this Agreement, all borrowings, conversions and continuations of Term Benchmark Loans and all selections of Interest Periods shall be in such amounts and be made pursuant to such elections so that, (a) after giving effect thereto, the aggregate principal amount of the Term Benchmark Loans comprising each Term Benchmark Tranche shall be equal to $5,000,000 or a whole multiple of $1,000,000 in excess thereof and (b) no more than twenty Term Benchmark Tranches shall be outstanding at any one time.</w:t>
      </w:r>
    </w:p>
    <w:p>
      <w:pPr>
        <w:pStyle w:val="TextBody"/>
        <w:bidi w:val="0"/>
        <w:spacing w:before="0" w:after="240"/>
        <w:jc w:val="both"/>
        <w:rPr>
          <w:rFonts w:ascii="Times New Roman" w:hAnsi="Times New Roman"/>
          <w:sz w:val="20"/>
        </w:rPr>
      </w:pPr>
      <w:r>
        <w:rPr>
          <w:rFonts w:ascii="Times New Roman" w:hAnsi="Times New Roman"/>
          <w:color w:val="000000"/>
          <w:sz w:val="22"/>
        </w:rPr>
        <w:t>2.14</w:t>
      </w:r>
      <w:r>
        <w:rPr>
          <w:rFonts w:ascii="Times New Roman" w:hAnsi="Times New Roman"/>
          <w:color w:val="000000"/>
          <w:sz w:val="20"/>
          <w:u w:val="single"/>
        </w:rPr>
        <w:t xml:space="preserve"> </w:t>
      </w:r>
      <w:r>
        <w:rPr>
          <w:rFonts w:ascii="Times New Roman" w:hAnsi="Times New Roman"/>
          <w:color w:val="000000"/>
          <w:sz w:val="22"/>
          <w:u w:val="single"/>
        </w:rPr>
        <w:t>Interest Rates and Payment Dates</w:t>
      </w:r>
      <w:r>
        <w:rPr>
          <w:rFonts w:ascii="Times New Roman" w:hAnsi="Times New Roman"/>
          <w:color w:val="000000"/>
          <w:sz w:val="22"/>
        </w:rPr>
        <w:t>. (a) Each (i) Term Benchmark Loan shall bear interest for each day during each Interest Period with respect thereto at a rate per annum equal to the Adjusted Term SOFR Rate determined for such day plus the Applicable Margin and (ii) RFR Loan shall bear interest at a rate per annum equal to the Adjusted Daily Simple SOFR determined for such day plus the Applicable Margin.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ABR Loan shall bear interest at a rate per annum equal to the ABR plus the Applicable Margin.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2% or (y) in the case of Reimbursement Obligations, the rate applicable to ABR Loans under the Revolving Facility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2% (or, in the case of any such other amounts that do not relate to a particular Facility, the rate then applicable to ABR Loans under the Revolving Facility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2%), in each case, with respect to clauses (i) and (ii) above, from the date of such non</w:t>
        <w:noBreakHyphen/>
        <w:t>payment until such amount is paid in full (after as well as before judgment).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Interest shall be payable in arrears on each Interest Payment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interest accruing pursuant to paragraph (c) of this Section shall be payable from time to time on demand.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Each Swingline Loan shall bear interest at rate per annum equal to the ABR plus the Applicable Margin or such other rate as may be from time to time determined by mutual agreement between the Swingline Lender and the Borrower.</w:t>
      </w:r>
    </w:p>
    <w:p>
      <w:pPr>
        <w:pStyle w:val="TextBody"/>
        <w:bidi w:val="0"/>
        <w:spacing w:before="0" w:after="240"/>
        <w:jc w:val="both"/>
        <w:rPr>
          <w:rFonts w:ascii="Times New Roman" w:hAnsi="Times New Roman"/>
          <w:sz w:val="20"/>
        </w:rPr>
      </w:pPr>
      <w:r>
        <w:rPr>
          <w:rFonts w:ascii="Times New Roman" w:hAnsi="Times New Roman"/>
          <w:color w:val="000000"/>
          <w:sz w:val="22"/>
        </w:rPr>
        <w:t>2.15</w:t>
      </w:r>
      <w:r>
        <w:rPr>
          <w:rFonts w:ascii="Times New Roman" w:hAnsi="Times New Roman"/>
          <w:color w:val="000000"/>
          <w:sz w:val="20"/>
          <w:u w:val="single"/>
        </w:rPr>
        <w:t xml:space="preserve"> </w:t>
      </w:r>
      <w:r>
        <w:rPr>
          <w:rFonts w:ascii="Times New Roman" w:hAnsi="Times New Roman"/>
          <w:color w:val="000000"/>
          <w:sz w:val="22"/>
          <w:u w:val="single"/>
        </w:rPr>
        <w:t>Computation of Interest and Fees</w:t>
      </w:r>
      <w:r>
        <w:rPr>
          <w:rFonts w:ascii="Times New Roman" w:hAnsi="Times New Roman"/>
          <w:color w:val="000000"/>
          <w:sz w:val="22"/>
        </w:rPr>
        <w:t>. (a) Interest and fees payable pursuant hereto shall be calculated on the basis of a 360-day year for the actual days elapsed, except that, with respect to ABR Loans only at times the rate of interest on which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the Adjusted Term SOFR Rate.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pStyle w:val="TextBody"/>
        <w:bidi w:val="0"/>
        <w:spacing w:before="0" w:after="240"/>
        <w:jc w:val="both"/>
        <w:rPr>
          <w:rFonts w:ascii="Times New Roman" w:hAnsi="Times New Roman"/>
          <w:sz w:val="20"/>
        </w:rPr>
      </w:pPr>
      <w:r>
        <w:rPr>
          <w:rFonts w:ascii="Times New Roman" w:hAnsi="Times New Roman"/>
          <w:color w:val="000000"/>
          <w:sz w:val="22"/>
        </w:rPr>
        <w:t>(b)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 statement showing the quotations used by the Administrative Agent in determining any interest rate pursuant to Section 2.14(a).</w:t>
      </w:r>
    </w:p>
    <w:p>
      <w:pPr>
        <w:pStyle w:val="TextBody"/>
        <w:bidi w:val="0"/>
        <w:spacing w:before="0" w:after="240"/>
        <w:jc w:val="both"/>
        <w:rPr>
          <w:rFonts w:ascii="Times New Roman" w:hAnsi="Times New Roman"/>
          <w:sz w:val="20"/>
        </w:rPr>
      </w:pPr>
      <w:r>
        <w:rPr>
          <w:rFonts w:ascii="Times New Roman" w:hAnsi="Times New Roman"/>
          <w:color w:val="000000"/>
          <w:sz w:val="22"/>
        </w:rPr>
        <w:t>2.16</w:t>
      </w:r>
      <w:r>
        <w:rPr>
          <w:rFonts w:ascii="Times New Roman" w:hAnsi="Times New Roman"/>
          <w:color w:val="000000"/>
          <w:sz w:val="20"/>
          <w:u w:val="single"/>
        </w:rPr>
        <w:t xml:space="preserve"> </w:t>
      </w:r>
      <w:r>
        <w:rPr>
          <w:rFonts w:ascii="Times New Roman" w:hAnsi="Times New Roman"/>
          <w:color w:val="000000"/>
          <w:sz w:val="22"/>
          <w:u w:val="single"/>
        </w:rPr>
        <w:t>Inability to Determine Interest Rate</w:t>
      </w:r>
      <w:r>
        <w:rPr>
          <w:rFonts w:ascii="Times New Roman" w:hAnsi="Times New Roman"/>
          <w:color w:val="000000"/>
          <w:sz w:val="22"/>
        </w:rPr>
        <w:t>. (a) Subject to clauses (b), (c), (d), (e) and (f) of this ‎Section 2.16,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2.12 or a new borrowing request in accordance with the terms of Section 2.5,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so long as the Adjusted Daily Simple SOFR is not also the subject of Section 2.16(a)(i) or (ii) above or (y) an ABR Borrowing if the Adjusted Daily Simple SOFR also is the subject of Section 2.16(a)(i)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2.16(a)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2.12 or a new borrowing request in accordance with the terms of Section 2.5, (1) any Term Benchmark Loan shall on the last day of the Interest Period applicable to such Loan, be converted by the Administrative Agent to, and shall constitute, (x) an RFR Borrowing so long as the Adjusted Daily Simple SOFR is not also the subject of Section 2.16(a)(i) or (ii) above or (y) an ABR Loan if the Adjusted Daily Simple SOFR also is the subject of Section 2.16(a)(i) or (ii) above, on such day, and (2) any RFR Loan shall on and from such day be converted by the Administrative Agent to, and shall constitute an ABR Loan.</w:t>
      </w:r>
    </w:p>
    <w:p>
      <w:pPr>
        <w:pStyle w:val="TextBody"/>
        <w:bidi w:val="0"/>
        <w:spacing w:before="0" w:after="240"/>
        <w:jc w:val="both"/>
        <w:rPr>
          <w:rFonts w:ascii="Times New Roman" w:hAnsi="Times New Roman"/>
          <w:sz w:val="20"/>
        </w:rPr>
      </w:pPr>
      <w:r>
        <w:rPr>
          <w:rFonts w:ascii="Times New Roman" w:hAnsi="Times New Roman"/>
          <w:color w:val="000000"/>
          <w:sz w:val="22"/>
        </w:rPr>
        <w:t>(b) 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2"/>
        </w:rPr>
        <w:t>(f) 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the Borrower will be deemed to have converted any request for a Term Benchmark Borrowing or RFR Borrowing, as applicable, into a request for a Borrowing of or conversion to (A) solely with respect to any such request for a Term Benchmark Borrowing,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2.16,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pStyle w:val="TextBody"/>
        <w:bidi w:val="0"/>
        <w:spacing w:before="0" w:after="240"/>
        <w:jc w:val="both"/>
        <w:rPr>
          <w:rFonts w:ascii="Times New Roman" w:hAnsi="Times New Roman"/>
          <w:sz w:val="20"/>
        </w:rPr>
      </w:pPr>
      <w:r>
        <w:rPr>
          <w:rFonts w:ascii="Times New Roman" w:hAnsi="Times New Roman"/>
          <w:color w:val="000000"/>
          <w:sz w:val="22"/>
        </w:rPr>
        <w:t>2.17</w:t>
      </w:r>
      <w:r>
        <w:rPr>
          <w:rFonts w:ascii="Times New Roman" w:hAnsi="Times New Roman"/>
          <w:color w:val="000000"/>
          <w:sz w:val="20"/>
          <w:u w:val="single"/>
        </w:rPr>
        <w:t xml:space="preserve"> </w:t>
      </w:r>
      <w:r>
        <w:rPr>
          <w:rFonts w:ascii="Times New Roman" w:hAnsi="Times New Roman"/>
          <w:color w:val="000000"/>
          <w:sz w:val="22"/>
          <w:u w:val="single"/>
        </w:rPr>
        <w:t>Pro Rata Treatment and Payments</w:t>
      </w:r>
      <w:r>
        <w:rPr>
          <w:rFonts w:ascii="Times New Roman" w:hAnsi="Times New Roman"/>
          <w:color w:val="000000"/>
          <w:sz w:val="22"/>
        </w:rPr>
        <w:t>. (a) Each Revolving Borrowing by the Borrower from the Revolving Lenders hereunder, each payment by the Borrower on account of any commitment fee and any reduction of the Revolving Commitments of the Revolving Lenders shall be made pro rata according to the Revolving Percentages of the relevant Lenders. The Borrowing of 2026 Delayed Draw Term Loans hereunder and any reduction of the 2026 Delayed Draw Term Loan Commitments of the 2026 Delayed Draw Term Loan Lenders shall be made pro rata according to the 2026 Delayed Draw Term Loan Commitments then held by 2026 Delayed Draw Term Loan Lenders.</w:t>
      </w:r>
      <w:r>
        <w:rPr>
          <w:rFonts w:ascii="Times New Roman" w:hAnsi="Times New Roman"/>
          <w:color w:val="0000FF"/>
          <w:sz w:val="20"/>
          <w:u w:val="single"/>
        </w:rPr>
        <w:t xml:space="preserve"> </w:t>
      </w:r>
      <w:r>
        <w:rPr>
          <w:rFonts w:ascii="Times New Roman" w:hAnsi="Times New Roman"/>
          <w:color w:val="0000FF"/>
          <w:sz w:val="22"/>
          <w:u w:val="single"/>
        </w:rPr>
        <w:t>The Borrowing of 2026-2 Delayed Draw Term Loans hereunder and any reduction of the 2026-2 Delayed Draw Term Loan Commitments of the 2026-2 Delayed Draw Term Loan Lenders shall be made pro rata according to the 2026-2 Delayed Draw Term Loan Commitments then held by 2026-2 Delayed Draw Term Loan Lenders.</w:t>
      </w:r>
    </w:p>
    <w:p>
      <w:pPr>
        <w:pStyle w:val="TextBody"/>
        <w:bidi w:val="0"/>
        <w:spacing w:before="0" w:after="240"/>
        <w:jc w:val="both"/>
        <w:rPr>
          <w:rFonts w:ascii="Times New Roman" w:hAnsi="Times New Roman"/>
          <w:sz w:val="20"/>
        </w:rPr>
      </w:pPr>
      <w:r>
        <w:rPr>
          <w:rFonts w:ascii="Times New Roman" w:hAnsi="Times New Roman"/>
          <w:color w:val="000000"/>
          <w:sz w:val="22"/>
        </w:rPr>
        <w:t>(b) Each payment (including each prepayment, but excluding for the avoidance of doubt, voluntary prepayments pursuant to Section 2.10 which are directed to a particular class) by the Borrower on account of principal of and interest on the Tranche A Term Loan, 2026 Incremental Term Loan, 2026 Delayed Draw Term Loan</w:t>
      </w:r>
      <w:r>
        <w:rPr>
          <w:rFonts w:ascii="Times New Roman" w:hAnsi="Times New Roman"/>
          <w:color w:val="0000FF"/>
          <w:sz w:val="22"/>
          <w:u w:val="single"/>
        </w:rPr>
        <w:t>, 2026-2 Delayed Draw Term Loan</w:t>
      </w:r>
      <w:r>
        <w:rPr>
          <w:rFonts w:ascii="Times New Roman" w:hAnsi="Times New Roman"/>
          <w:color w:val="000000"/>
          <w:sz w:val="20"/>
        </w:rPr>
        <w:t xml:space="preserve"> </w:t>
      </w:r>
      <w:r>
        <w:rPr>
          <w:rFonts w:ascii="Times New Roman" w:hAnsi="Times New Roman"/>
          <w:color w:val="000000"/>
          <w:sz w:val="22"/>
        </w:rPr>
        <w:t xml:space="preserve">and Tranche B Term Loan, as the case may be, shall be made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according to the respective outstanding principal amounts of the Term Loans then held by the Tranche A Term Lenders, 2026 Incremental Term Lenders, 2026 Delayed Draw Term Lenders</w:t>
      </w:r>
      <w:r>
        <w:rPr>
          <w:rFonts w:ascii="Times New Roman" w:hAnsi="Times New Roman"/>
          <w:color w:val="0000FF"/>
          <w:sz w:val="22"/>
          <w:u w:val="single"/>
        </w:rPr>
        <w:t>, 2026-2 Delayed Draw Term Lenders</w:t>
      </w:r>
      <w:r>
        <w:rPr>
          <w:rFonts w:ascii="Times New Roman" w:hAnsi="Times New Roman"/>
          <w:color w:val="000000"/>
          <w:sz w:val="20"/>
        </w:rPr>
        <w:t xml:space="preserve"> </w:t>
      </w:r>
      <w:r>
        <w:rPr>
          <w:rFonts w:ascii="Times New Roman" w:hAnsi="Times New Roman"/>
          <w:color w:val="000000"/>
          <w:sz w:val="22"/>
        </w:rPr>
        <w:t xml:space="preserve">and any Tranche B Term Lenders, respectively. Within each such Facility, the amount of each principal prepayment and payment of interest of the Tranche A Term Loan, 2026 Incremental Term Loan, 2026 Delayed Draw Term </w:t>
      </w:r>
      <w:r>
        <w:rPr>
          <w:rFonts w:ascii="Times New Roman" w:hAnsi="Times New Roman"/>
          <w:color w:val="0000FF"/>
          <w:sz w:val="22"/>
          <w:u w:val="single"/>
        </w:rPr>
        <w:t xml:space="preserve">Loan, 2026-2 Delayed Draw Term </w:t>
      </w:r>
      <w:r>
        <w:rPr>
          <w:rFonts w:ascii="Times New Roman" w:hAnsi="Times New Roman"/>
          <w:color w:val="000000"/>
          <w:sz w:val="22"/>
        </w:rPr>
        <w:t>Loan or the Tranche B Term Loan, as the case may be, made pursuant to Section 2.11 shall be applied to reduce the Tranche A Term Loans ratably as between the Tranche A Term Lenders, 2026 Incremental Term Loans ratably as between the 2026 Incremental Term Lenders, 2026 Delayed Draw Term Loans ratably as between the 2026 Delayed Draw Term Lenders</w:t>
      </w:r>
      <w:r>
        <w:rPr>
          <w:rFonts w:ascii="Times New Roman" w:hAnsi="Times New Roman"/>
          <w:color w:val="0000FF"/>
          <w:sz w:val="22"/>
          <w:u w:val="single"/>
        </w:rPr>
        <w:t>, 2026-2 Delayed Draw Term Loans ratably as between the 2026-2 Delayed Draw Term Lenders</w:t>
      </w:r>
      <w:r>
        <w:rPr>
          <w:rFonts w:ascii="Times New Roman" w:hAnsi="Times New Roman"/>
          <w:color w:val="000000"/>
          <w:sz w:val="20"/>
        </w:rPr>
        <w:t xml:space="preserve"> </w:t>
      </w:r>
      <w:r>
        <w:rPr>
          <w:rFonts w:ascii="Times New Roman" w:hAnsi="Times New Roman"/>
          <w:color w:val="000000"/>
          <w:sz w:val="22"/>
        </w:rPr>
        <w:t xml:space="preserve">or any Tranche B Term Loans ratably as between the Tranche B Term Lenders, and in the cash of principal payments shall be applied in direct order to the respective next eight (8) scheduled principal installments (if any), and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among the remaining respective installments thereafter. Amounts prepaid on account of the Term Loans may not be reborrowed. The amount of each principal prepayment of the Term Loans made pursuant to Section 2.10(a) shall be applied to reduce the remaining principal installments of the Term Loans as directed by the Borrower with respect to Facility and order.</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payment (including each prepayment) by the Borrower on account of principal of and interest on the Revolving Loans shall be made pro rata according to the respective outstanding principal amounts of the Revolving Loans then held by the Revolving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Section 9.7.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NYFRB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relevant Facility, on demand, from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greater of the NYFRB Rate and a rate determined by the Administrative Agent in accordance with banking industry rules on interbank compensation. Nothing herein shall be deemed to limit the rights of the Administrative Agent or any Lender against the Borrower.</w:t>
      </w:r>
    </w:p>
    <w:p>
      <w:pPr>
        <w:pStyle w:val="TextBody"/>
        <w:bidi w:val="0"/>
        <w:spacing w:before="0" w:after="240"/>
        <w:jc w:val="both"/>
        <w:rPr>
          <w:rFonts w:ascii="Times New Roman" w:hAnsi="Times New Roman"/>
          <w:sz w:val="20"/>
        </w:rPr>
      </w:pPr>
      <w:r>
        <w:rPr>
          <w:rFonts w:ascii="Times New Roman" w:hAnsi="Times New Roman"/>
          <w:color w:val="000000"/>
          <w:sz w:val="22"/>
        </w:rPr>
        <w:t>(g) If any Lender shall fail to make any payment required to be made by it pursuant to Section 2.7(c), 2.7(d), 2.17(e), 2.17(f), 3.4(a) or 9.7 (unless subject to a good faith dispute), then the Administrative Agent may, in its discretion (notwithstanding any contrary provision of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apply any amounts thereafter received by the Administrative Agent, the Swingline Lender or the Issuing Lender for the account of such Lender under this Agreement to satisfy such Lender’s obligations under such Sections until all such unsatisfied obligations are fully paid.</w:t>
      </w:r>
    </w:p>
    <w:p>
      <w:pPr>
        <w:pStyle w:val="TextBody"/>
        <w:bidi w:val="0"/>
        <w:spacing w:before="0" w:after="240"/>
        <w:jc w:val="both"/>
        <w:rPr>
          <w:rFonts w:ascii="Times New Roman" w:hAnsi="Times New Roman"/>
          <w:sz w:val="20"/>
        </w:rPr>
      </w:pPr>
      <w:r>
        <w:rPr>
          <w:rFonts w:ascii="Times New Roman" w:hAnsi="Times New Roman"/>
          <w:color w:val="000000"/>
          <w:sz w:val="22"/>
        </w:rPr>
        <w:t>2.18</w:t>
      </w:r>
      <w:r>
        <w:rPr>
          <w:rFonts w:ascii="Times New Roman" w:hAnsi="Times New Roman"/>
          <w:color w:val="000000"/>
          <w:sz w:val="20"/>
          <w:u w:val="single"/>
        </w:rPr>
        <w:t xml:space="preserve"> </w:t>
      </w:r>
      <w:r>
        <w:rPr>
          <w:rFonts w:ascii="Times New Roman" w:hAnsi="Times New Roman"/>
          <w:color w:val="000000"/>
          <w:sz w:val="22"/>
          <w:u w:val="single"/>
        </w:rPr>
        <w:t>Requirements of Law</w:t>
      </w:r>
      <w:r>
        <w:rPr>
          <w:rFonts w:ascii="Times New Roman" w:hAnsi="Times New Roman"/>
          <w:color w:val="000000"/>
          <w:sz w:val="22"/>
        </w:rPr>
        <w:t>. (a)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shall subject any Lender to any tax on its capital reserve (or any similar tax) of any kind whatsoever with respect to this Agreement, any Letter of Credit, any Application or any Term Benchmark Loan made by it (except for Non-Excluded Taxes covered by Section 2.19 and changes in the rate of tax on the overall net income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shall impose on such Lender any other condition;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is to increase the cost to such Lender, by an amount that such Lender deems to be material, of making, converting into, continuing or maintaining Term Benchmark Loans or issuing or participating in Letters of Credit,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any Lender shall have determined that the adoption of or any change in any Requirement of Law regarding capital adequacy or liquidity or in the interpretation or application thereof or compliance by such Lender or any corporation controlling such Lender with any request or directive regarding capital adequacy or liquidity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 certificate as to any additional amounts payable pursuant to this Section submitted by any Lender to the Borrower (with a copy to the Administrative Agent) shall be conclusive in the absence of manifest error. In determining such amount, such Lender shall use a reasonable averaging and attribution method. Notwithstanding anything to the contrary in this Section, the Borrower shall not be required to compensate a Lender pursuant to this Section for any amounts incurred more than six months prior to the date that such Lender notifies the Borrower of such Lender’s intention to claim compensation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circumstances giving rise to such claim have a retroactive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 then such six-month period shall be extended to include the period of such retroactive effect. The obligations of the Borrower pursuant to this Section shall survive the termination of this Agreement and the payment of the Loans and all other amounts payable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a Requirement of Law, regardless of the date enacted, adopted, issued or implemented.</w:t>
      </w:r>
    </w:p>
    <w:p>
      <w:pPr>
        <w:pStyle w:val="TextBody"/>
        <w:bidi w:val="0"/>
        <w:spacing w:before="0" w:after="240"/>
        <w:jc w:val="both"/>
        <w:rPr>
          <w:rFonts w:ascii="Times New Roman" w:hAnsi="Times New Roman"/>
          <w:sz w:val="20"/>
        </w:rPr>
      </w:pPr>
      <w:r>
        <w:rPr>
          <w:rFonts w:ascii="Times New Roman" w:hAnsi="Times New Roman"/>
          <w:color w:val="000000"/>
          <w:sz w:val="22"/>
        </w:rPr>
        <w:t>2.19</w:t>
      </w:r>
      <w:r>
        <w:rPr>
          <w:rFonts w:ascii="Times New Roman" w:hAnsi="Times New Roman"/>
          <w:color w:val="000000"/>
          <w:sz w:val="20"/>
          <w:u w:val="single"/>
        </w:rPr>
        <w:t xml:space="preserve"> </w:t>
      </w:r>
      <w:r>
        <w:rPr>
          <w:rFonts w:ascii="Times New Roman" w:hAnsi="Times New Roman"/>
          <w:color w:val="000000"/>
          <w:sz w:val="22"/>
          <w:u w:val="single"/>
        </w:rPr>
        <w:t>Taxes</w:t>
      </w:r>
      <w:r>
        <w:rPr>
          <w:rFonts w:ascii="Times New Roman" w:hAnsi="Times New Roman"/>
          <w:color w:val="000000"/>
          <w:sz w:val="22"/>
        </w:rPr>
        <w:t>. (a) All payments made by or on behalf of any Loan Party under this Agreement or any other Loan Document shall be made free and clear of, and without deduction or withholding for or on account of, any present or future income or other taxes, levies, imposts, duties, charges, fees, deductions or withholdings, now or hereafter imposed, levied, collected, withheld or assessed by any Governmental Authority, including any interest, additions to tax, or penalties applicable thereto (“Taxes”), excluding (i) net income taxes, franchise taxes, net worth taxes, gross receipt taxes or any similar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or engaged in any other transaction pursuant to, this Agreement or any other Loan Document) and (ii) U.S. federal withholding taxes resulting from FATCA as enacted on the date on which such Lender becomes a party to this Agreement (other than a Lender acquiring its applicable ownership interest pursuant to Section 2.22) or such Lender changes its lending office, except in each case to the extent that amounts with respect to such Taxes were payable pursuant to this Section 2.19 either to such Lender’s assignor immediately before such Lender became a Lender or to such Lender immediately before it changed its lending office,</w:t>
      </w:r>
      <w:r>
        <w:rPr>
          <w:rFonts w:ascii="Times New Roman" w:hAnsi="Times New Roman"/>
          <w:color w:val="0000FF"/>
          <w:sz w:val="20"/>
        </w:rPr>
        <w:t xml:space="preserve"> </w:t>
      </w:r>
      <w:r>
        <w:rPr>
          <w:rFonts w:ascii="Times New Roman" w:hAnsi="Times New Roman"/>
          <w:color w:val="000000"/>
          <w:sz w:val="22"/>
        </w:rPr>
        <w:t>provided that, if any such non-excluded taxes, levies, imposts, duties, charges, fees, deductions or withholdings (“Non-Excluded Taxes”) or Other Taxes are required to be withheld from any amounts payable to the Administrative Agent or any Lender, (i) such amounts shall be paid to the relevant Governmental Authority in accordance with applicable law and (ii) the amounts so payable by the applicable Loan Party to the Administrative Agent or such Lender shall be increased to the extent necessary to yield to the Administrative Agent or such Lender (after payment of all Non-Excluded Taxes and Other Taxes) the amounts of interest or any such other amounts payable hereunder at the rates or in the amounts specified in this Agreement as if such withholding or deduction had not been made, provided, further however, that the Borrower shall not be required to increase any such amounts payable to any Lender with respect to any Non-Excluded Taxes (x) that are attributable to such Lender’s failure to comply with the requirements of paragraph (d) of this Section or (y) that are United States federal withholding taxes imposed on amounts payable to such Lender at the time such Lender becomes a party to this Agreement, except to the extent that such Lender’s assignor (if any) was entitled, at the time of assignment, to receive additional amounts from the Borrower with respect to such Non-Excluded Taxes pursuant to this paragraph. Solely for purposes of determining withholding Taxes imposed under FATCA, from and after the effective date of the Sixth Amendment, the Borrower and the Administrative Agent shall treat (and the Lenders hereby authorize the Administrative Agent to treat) the Loan as not qualifying as a “grandfathered obligation” within the meaning of Treasury Regulations Section 1.1471-2(b)(2)(i).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addition, the Borrower shall timely pay any Other Taxes to the relevant Governmental Authority in accordance with applicable law.</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Whenever any Non-Excluded Taxes or Other Taxes are payable by a Loan Party, as promptly as possible thereafter such Loan Party shall send to the Administrative Agent for its own account or for the account of the relevant Lender, as the case may be, the original or a certified copy of an original official receipt received by such Loan Party showing payment thereof. If (i) such Loan Party fails to pay any Non-Excluded Taxes or Other Taxes when due to the appropriate taxing authority, (ii) such Loan Party fails to remit to the Administrative Agent the required receipts or other required documentary evidence or (iii) any Non-Excluded Taxes or Other Taxes are imposed directly upon the Administrative Agent or any Lender (whether or not such Non-Excluded Taxes or Other Taxes were correctly or legally imposed or asserted by the relevant Governmental Authority), the Loan Parties shall jointly and severally indemnify the Administrative Agent and the Lenders for such amounts and any incremental taxes, interest or penalties and any reasonable expenses arising therefrom or with respect thereto that may become payable by the Administrative Agent or any Lender as a result of any such failure in the case of (i) and (ii) or any such direct imposition in the case of (iii). The indemnity under this Section 2.19(c) shall be paid within 10 days after the Lender or Administrative Agent, as applicable, delivers to any Loan Party a certificate stating the amounts so payable by such Lender or the Administrative Agent. Such certificate shall be conclusive of the amount so payable absent manifest error. Such Lender shall deliver a copy of such certificate to the Administrative Agent. In the case of any Lender making a claim under this Section 2.19(c) on behalf of any of its beneficial owners, an indemnity payment under this Section 2.19(c) shall be due only to the extent that such Lender is able to establish that, with respect to any applicable Non-Excluded Taxes, such beneficial owners supplied to the applicable Persons such properly completed and executed documentation necessary to claim any applicable exemption from, or reduction of, such Non-Excluded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strike/>
          <w:color w:val="FF0000"/>
          <w:sz w:val="22"/>
        </w:rPr>
        <w:t xml:space="preserve">(i) </w:t>
      </w:r>
      <w:r>
        <w:rPr>
          <w:rFonts w:ascii="Times New Roman" w:hAnsi="Times New Roman"/>
          <w:color w:val="000000"/>
          <w:sz w:val="22"/>
        </w:rPr>
        <w:t>Any Lender that is entitled to an exemption from, or reduction of, any applicable withholding tax with respect to any payments under this Agreement, or any other tax subject to indemnification under this Agreement, shall deliver to the Borrower and the Administrative Agent, at the time or times prescribed by law and reasonably requested by the Borrower or the Administrative Agent, such properly completed and executed documentation prescribed by law and reasonably requested by the Borrower or the Administrative Agent as will permit such payments to be made without, or at a reduced rate of, withholding or tax. Notwithstanding anything to the contrary in the preceding sentence, the completion, execution and submission of such documentation (other than such documentation set forth in Section 2.19(d) (ii) and (iii) below) shall not be required if in the Lender’s judgment such completion, execution or submission would subject such Lender to any material unreimbursed cost or expense or would materially prejudice the legal or commercial position of such Lender. Notwithstanding any other provision of this Section, a Lender shall not be required to deliver any form pursuant to this Section that such Lender is not legally able to deliver.</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ii</w:t>
      </w:r>
      <w:r>
        <w:rPr>
          <w:rFonts w:ascii="Times New Roman" w:hAnsi="Times New Roman"/>
          <w:color w:val="0000FF"/>
          <w:sz w:val="22"/>
          <w:u w:val="single"/>
        </w:rPr>
        <w:t>i</w:t>
      </w:r>
      <w:r>
        <w:rPr>
          <w:rFonts w:ascii="Times New Roman" w:hAnsi="Times New Roman"/>
          <w:color w:val="000000"/>
          <w:sz w:val="22"/>
        </w:rPr>
        <w:t>) Each Lender (or Assignee) that is not a “U.S. Person” as defined in Section 7701(a)(30) of the Code (a “</w:t>
      </w:r>
      <w:r>
        <w:rPr>
          <w:rFonts w:ascii="Times New Roman" w:hAnsi="Times New Roman"/>
          <w:color w:val="000000"/>
          <w:sz w:val="22"/>
          <w:u w:val="single"/>
        </w:rPr>
        <w:t>Non</w:t>
        <w:noBreakHyphen/>
        <w:t>U.S. Lender</w:t>
      </w:r>
      <w:r>
        <w:rPr>
          <w:rFonts w:ascii="Times New Roman" w:hAnsi="Times New Roman"/>
          <w:color w:val="000000"/>
          <w:sz w:val="20"/>
        </w:rPr>
        <w:t>”</w:t>
      </w:r>
      <w:r>
        <w:rPr>
          <w:rFonts w:ascii="Times New Roman" w:hAnsi="Times New Roman"/>
          <w:color w:val="000000"/>
          <w:sz w:val="22"/>
        </w:rPr>
        <w:t>) shall deliver to the Borrower and the Administrative Agent (or, in the case of a Participant, to the Lender from which the related participation shall have been purchased) two copies of U.S. Internal Revenue Service (“IRS”) Form W-8BEN, Form W-8BEN-E, Form W-8ECI or Form W-8IMY (together with any applicable IRS forms or other attachments), or, in the case of a Non</w:t>
        <w:noBreakHyphen/>
        <w:t>U.S. Lender claiming exemption from U.S. federal withholding tax under Section 871(h) or 881(c) of the Code with respect to payments of “portfolio interest”, a statement substantially in the form of Exhibit G and the applicable IRS Form W-8, or any subsequent versions thereof or successors thereto, properly completed and duly executed by such Non</w:t>
        <w:noBreakHyphen/>
        <w:t>U.S. Lender claiming complete exemption from, or a reduced rate of, U.S. federal withholding tax on all payments under this Agreement and the other Loan Documents. Such forms shall be delivered by each Non</w:t>
        <w:noBreakHyphen/>
        <w:t>U.S. Lender on or before the date it becomes a party to this Agreement (or, in the case of any Participant, on or before the date such Participant purchases the related participation) and from time to time thereafter upon the request of the Borrower or the Administrative Agent. In addition, each Non</w:t>
        <w:noBreakHyphen/>
        <w:t>U.S. Lender shall deliver such forms promptly upon the obsolescence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invalidity of any form previously delivered by such Non</w:t>
        <w:noBreakHyphen/>
        <w:t>U.S. Lender. Each Non-U.S. Lender shall promptly notify the Borrower and the Administrative Agent at any time it determines that it is no longer in a position to provide any previously delivered certificate to the Borrower (or any other form of certification adopted by the U.S. taxing authorities for such purpose). Any Lender that is a U.S. Person shall deliver to the Borrower and the Administrative Agent on or before the date on which such Lender becomes a Lender under this Agreement (and from time to time thereafter upon the request of the Borrower or the Administrative Agent), executed copies of IRS Form W-9 certifying that such Lender is exempt from U.S. federal backup withholding tax.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backup withholding or information reporting requirements.</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strike/>
          <w:color w:val="FF0000"/>
          <w:sz w:val="22"/>
        </w:rPr>
        <w:t>i</w:t>
      </w:r>
      <w:r>
        <w:rPr>
          <w:rFonts w:ascii="Times New Roman" w:hAnsi="Times New Roman"/>
          <w:color w:val="000000"/>
          <w:sz w:val="22"/>
        </w:rPr>
        <w:t>)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Administrative Agent as may be necessary for the Borrower or Administrative Agent to comply with its obligations under FATCA, to determine that such Lender has complied with such Lender’s obligations under FATCA or to determine the amount to deduct and withhold from such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Each Lender shall indemnify the Administrative Agent within 10 days after the demand therefor for the full amount of any Taxes that are attributable to such Lender (including Taxes attributable to such Lender’s failure to comply with the provisions of Section 10.6(c) relating to the maintenance of a Participant Register)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If the Administrative Agent or any Lender determines, in its sole discretion exercised in good faith, that it has received a refund of any Non-Excluded Taxes or Other Taxes as to which it has been indemnified by the Borrower or with respect to which the Borrower has paid additional amounts pursuant to this Section 2.19, it shall pay over such refund to the Borrower (but only to the extent of indemnity payments made, or additional amounts paid, by the Borrower under this Section 2.19 with respect to the Non-Excluded Taxes or Other Taxes giving rise to such refund), net of all out-of-pocket expenses of the Administrative Agent or such Lender and without interest (other than any interest paid by the relevant Governmental Authority with respect to such refund); </w:t>
      </w:r>
      <w:r>
        <w:rPr>
          <w:rFonts w:ascii="Times New Roman" w:hAnsi="Times New Roman"/>
          <w:color w:val="000000"/>
          <w:sz w:val="22"/>
          <w:u w:val="single"/>
        </w:rPr>
        <w:t>provided</w:t>
      </w:r>
      <w:r>
        <w:rPr>
          <w:rFonts w:ascii="Times New Roman" w:hAnsi="Times New Roman"/>
          <w:color w:val="000000"/>
          <w:sz w:val="22"/>
        </w:rPr>
        <w:t>,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paid.This paragraph shall not be construed to require the Administrative Agent or any Lender to make available its tax returns (or any other information relating to its taxes which it deems confidential) to the Borrower or any other Person.</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agreements in this Section shall survive the resignation or replacement of the Administrative Agent or any assignment of rights by, or the replacement of, a Lender,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2.20</w:t>
      </w:r>
      <w:r>
        <w:rPr>
          <w:rFonts w:ascii="Times New Roman" w:hAnsi="Times New Roman"/>
          <w:color w:val="000000"/>
          <w:sz w:val="20"/>
          <w:u w:val="single"/>
        </w:rPr>
        <w:t xml:space="preserve"> </w:t>
      </w:r>
      <w:r>
        <w:rPr>
          <w:rFonts w:ascii="Times New Roman" w:hAnsi="Times New Roman"/>
          <w:color w:val="000000"/>
          <w:sz w:val="22"/>
          <w:u w:val="single"/>
        </w:rPr>
        <w:t>Indemnity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or (iv) the assignment of any Term Benchmark Loan other than on the last day of the Interest Period applicable thereto as a result of a request by the Borrower pursuant to ‎Section 2.22,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or (iii) the assignment of any RFR Loan other than on the Interest Payment Date applicable thereto as a result of a request by the Borrower pursuant to ‎Section 2.22,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2"/>
        </w:rPr>
        <w:t>2.21</w:t>
      </w:r>
      <w:r>
        <w:rPr>
          <w:rFonts w:ascii="Times New Roman" w:hAnsi="Times New Roman"/>
          <w:color w:val="000000"/>
          <w:sz w:val="20"/>
          <w:u w:val="single"/>
        </w:rPr>
        <w:t xml:space="preserve"> </w:t>
      </w:r>
      <w:r>
        <w:rPr>
          <w:rFonts w:ascii="Times New Roman" w:hAnsi="Times New Roman"/>
          <w:color w:val="000000"/>
          <w:sz w:val="22"/>
          <w:u w:val="single"/>
        </w:rPr>
        <w:t>Change of Lending Office</w:t>
      </w:r>
      <w:r>
        <w:rPr>
          <w:rFonts w:ascii="Times New Roman" w:hAnsi="Times New Roman"/>
          <w:color w:val="000000"/>
          <w:sz w:val="22"/>
        </w:rPr>
        <w:t>. Each Lender agrees that, upon the occurrence of any event giving rise to the operation of Section 2.18 or 2.19(a) with respect to such Lender, it will, if requested by the Borrower, use reasonable efforts (subject to overall policy considerations of such Lender) to designate another lending office for any Loans affected by such event with the object of avoiding the consequences of such event; provided, that such designation is made on terms that, in the sole judgment of such Lender, cause such Lender and its lending office(s) to suffer no economic, legal or regulatory disadvantage, and provided, further, that nothing in this Section shall affect or postpone any of the obligations of the Borrower or the rights of any Lender pursuant to Section 2.18 or 2.19(a). The Borrower hereby agrees to pay all reasonable costs and expenses incurred by any Lender in connection with any such designation.</w:t>
      </w:r>
    </w:p>
    <w:p>
      <w:pPr>
        <w:pStyle w:val="TextBody"/>
        <w:bidi w:val="0"/>
        <w:spacing w:before="0" w:after="240"/>
        <w:jc w:val="both"/>
        <w:rPr>
          <w:rFonts w:ascii="Times New Roman" w:hAnsi="Times New Roman"/>
          <w:sz w:val="20"/>
        </w:rPr>
      </w:pPr>
      <w:r>
        <w:rPr>
          <w:rFonts w:ascii="Times New Roman" w:hAnsi="Times New Roman"/>
          <w:color w:val="000000"/>
          <w:sz w:val="22"/>
        </w:rPr>
        <w:t>2.22</w:t>
      </w:r>
      <w:r>
        <w:rPr>
          <w:rFonts w:ascii="Times New Roman" w:hAnsi="Times New Roman"/>
          <w:color w:val="000000"/>
          <w:sz w:val="20"/>
          <w:u w:val="single"/>
        </w:rPr>
        <w:t xml:space="preserve"> </w:t>
      </w:r>
      <w:r>
        <w:rPr>
          <w:rFonts w:ascii="Times New Roman" w:hAnsi="Times New Roman"/>
          <w:color w:val="000000"/>
          <w:sz w:val="22"/>
          <w:u w:val="single"/>
        </w:rPr>
        <w:t>Replacement of Lenders</w:t>
      </w:r>
      <w:r>
        <w:rPr>
          <w:rFonts w:ascii="Times New Roman" w:hAnsi="Times New Roman"/>
          <w:color w:val="000000"/>
          <w:sz w:val="22"/>
        </w:rPr>
        <w:t>. The Borrower shall be permitted to replace any Lender that (a) requests reimbursement for amounts owing pursuant to Section 2.18 or 2.19(a), (b) is a Defaulting Lender, or (c) does not consent to any proposed amendment, supplement, modification, consent or waiver of any provision of this Agreement or any other Loan Document that requires the consent of each of the Lenders or each of the Lenders affected thereby (provided that at least Required Lender consent to such proposed amendment, supplement, modification, consent or waiver has been obtained), with a replacement financial institution; provided that (i) such replacement does not conflict with any Requirement of Law, (ii) no Event of Default shall have occurred and be continuing at the time of such replacement, (iii) prior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replacement, such Lender shall have taken no action under Section 2.21 so as to eliminate the continued need for payment of amounts owing pursuant to Section 2.18 or 2.19(a), (iv) the replacement financial institution shall purchase, at par, all Loans and other amounts owing to such replaced Lender on or prior to the date of replacement, (v) the Borrower shall be liable to such replaced Lender under Section 2.20 if any Term Benchmark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(provided that the Borrower shall be obligated to pay the registration and processing fee referred to therein), (viii) until such time as such replacement shall be consummated, the Borrower shall pay all additional amounts (if any) required pursuant to Section 2.18 or 2.19(a), as the case may be, and (ix) any such replacement shall not be deemed to be a waiver of any rights that the Borrower, the Administrative Agent or any other Lender shall have against the replaced Lender.</w:t>
      </w:r>
    </w:p>
    <w:p>
      <w:pPr>
        <w:pStyle w:val="TextBody"/>
        <w:bidi w:val="0"/>
        <w:spacing w:before="0" w:after="240"/>
        <w:jc w:val="both"/>
        <w:rPr>
          <w:rFonts w:ascii="Times New Roman" w:hAnsi="Times New Roman"/>
          <w:sz w:val="20"/>
        </w:rPr>
      </w:pPr>
      <w:r>
        <w:rPr>
          <w:rFonts w:ascii="Times New Roman" w:hAnsi="Times New Roman"/>
          <w:color w:val="000000"/>
          <w:sz w:val="22"/>
        </w:rPr>
        <w:t>2.23</w:t>
      </w:r>
      <w:r>
        <w:rPr>
          <w:rFonts w:ascii="Times New Roman" w:hAnsi="Times New Roman"/>
          <w:color w:val="000000"/>
          <w:sz w:val="20"/>
          <w:u w:val="single"/>
        </w:rPr>
        <w:t xml:space="preserve"> </w:t>
      </w:r>
      <w:r>
        <w:rPr>
          <w:rFonts w:ascii="Times New Roman" w:hAnsi="Times New Roman"/>
          <w:color w:val="000000"/>
          <w:sz w:val="22"/>
          <w:u w:val="single"/>
        </w:rPr>
        <w:t>Defaulting Lenders.</w:t>
      </w:r>
      <w:r>
        <w:rPr>
          <w:rFonts w:ascii="Times New Roman" w:hAnsi="Times New Roman"/>
          <w:color w:val="000000"/>
          <w:sz w:val="20"/>
        </w:rPr>
        <w:t xml:space="preserve"> </w:t>
      </w:r>
      <w:r>
        <w:rPr>
          <w:rFonts w:ascii="Times New Roman" w:hAnsi="Times New Roman"/>
          <w:color w:val="000000"/>
          <w:sz w:val="22"/>
        </w:rPr>
        <w:t>Notwithstanding any provision of this Agreement to the contrary, if any Revolving Lender</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Lender or 2026-2 </w:t>
      </w:r>
      <w:r>
        <w:rPr>
          <w:rFonts w:ascii="Times New Roman" w:hAnsi="Times New Roman"/>
          <w:color w:val="000000"/>
          <w:sz w:val="22"/>
        </w:rPr>
        <w:t>Delayed Draw Term Lender becomes a Defaulting Lender, without limiting any other rights the Borrower may have against such Defaulting Lender, then the following provisions shall apply for so long as such Revolving Lender</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2026 </w:t>
      </w:r>
      <w:r>
        <w:rPr>
          <w:rFonts w:ascii="Times New Roman" w:hAnsi="Times New Roman"/>
          <w:color w:val="0000FF"/>
          <w:sz w:val="22"/>
          <w:u w:val="single"/>
        </w:rPr>
        <w:t xml:space="preserve">Delayed Draw Term Lender or 2026-2 </w:t>
      </w:r>
      <w:r>
        <w:rPr>
          <w:rFonts w:ascii="Times New Roman" w:hAnsi="Times New Roman"/>
          <w:color w:val="000000"/>
          <w:sz w:val="22"/>
        </w:rPr>
        <w:t>Delayed Draw Term Lender, as applicable, is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(a) fees shall cease to accrue on the unfunded portion of the Commitment of such Defaulting Lender pursuant to Section 2.8(a)</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Section 2.8(b)</w:t>
      </w:r>
      <w:r>
        <w:rPr>
          <w:rFonts w:ascii="Times New Roman" w:hAnsi="Times New Roman"/>
          <w:color w:val="0000FF"/>
          <w:sz w:val="20"/>
          <w:u w:val="single"/>
        </w:rPr>
        <w:t xml:space="preserve"> </w:t>
      </w:r>
      <w:r>
        <w:rPr>
          <w:rFonts w:ascii="Times New Roman" w:hAnsi="Times New Roman"/>
          <w:color w:val="0000FF"/>
          <w:sz w:val="22"/>
          <w:u w:val="single"/>
        </w:rPr>
        <w:t>or Section 2.8(c)</w:t>
      </w:r>
      <w:r>
        <w:rPr>
          <w:rFonts w:ascii="Times New Roman" w:hAnsi="Times New Roman"/>
          <w:color w:val="000000"/>
          <w:sz w:val="22"/>
        </w:rPr>
        <w:t>,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(i) Revolving Commitment and Revolving Extension of Credit or (ii) 2026 Delayed Draw Term Loan Commitment, as applicable, of such Defaulting Lender shall not be included in determining whether the Required Lenders or Majority Facility Lenders, as applicable, have taken or may take any action hereunder (including any consent to any amendment, waiver or other modification pursuant to Section 10.1); provided that (i) such Defaulting Lender’s Commitment may not be increased or extended without its consent, (ii) the principal amount of, or interest or fees payable on, Loans or Letters of Credit may not be reduced or excused or the scheduled date of payment may not be postponed as to such Defaulting Lender without such Defaulting Lender’s consent and (iii) any waiver, amendment or modification requiring the consent of all Lenders or each affected Lender which affects such Defaulting Lender differently than other Lenders or affected Lenders, as the case may be, shall require the consent of such Defaulting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if any Swingline Loans or L/C Obligations exists at the time such Revolving Lender becomes a Defaulting Lender then: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all or any part of the Swingline Loans and L/C Obligations of such Defaulting Lender shall be reallocated among the non-Defaulting Lenders in accordance with their respective Revolving Percentages but only to the extent the sum of all non-Defaulting Lenders’ Revolving Extensions of Credit does not exceed the total of all non-Defaulting Lenders’ Revolving Commitments;</w:t>
      </w:r>
    </w:p>
    <w:p>
      <w:pPr>
        <w:pStyle w:val="TextBody"/>
        <w:bidi w:val="0"/>
        <w:spacing w:before="0" w:after="240"/>
        <w:jc w:val="both"/>
        <w:rPr>
          <w:rFonts w:ascii="Times New Roman" w:hAnsi="Times New Roman"/>
          <w:sz w:val="20"/>
        </w:rPr>
      </w:pPr>
      <w:r>
        <w:rPr>
          <w:rFonts w:ascii="Times New Roman" w:hAnsi="Times New Roman"/>
          <w:color w:val="000000"/>
          <w:sz w:val="22"/>
        </w:rPr>
        <w:t>(ii) if the reallocation described in clause (i) above cannot, or can only partially, be effected, the Borrower shall within one Business Day following notice by the Administrative Agent (x) first, prepay such Defaulting Lender’s Revolving Percentage of the Swingline Loans and (y) second, cash collateralize for the benefit of the Issuing Lender only the Borrower’s obligations corresponding to such Defaulting Lender’s Revolving Percentage of the L/C Obligations (after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effect to any partial reallocation pursuant to clause (i) above) in accordance with the procedures set forth in Section 8 for so long as such L/C Obligations are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if the Borrower cash collateralizes any portion of such Defaulting Lender’s Revolving Percentage of the L/C Obligations pursuant to clause (ii) above, the Borrower shall not be required to pay any fees to such Defaulting Lender pursuant to Section 3.3 with respect to such Defaulting Lender’s Revolving Percentage of the L/C Obligations during the period such Defaulting Lender’s Revolving Percentage of the L/C Obligations is cash collateralized;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if the Revolving Percentage of the L/C Obligations of the non-Defaulting Lenders is reallocated pursuant to clause (i) above, then the fees payable to the Lenders pursuant to Section 3.3 shall be adjusted in accordance with such non-Defaulting Lenders’ Revolving Percentages;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if all or any portion of such Defaulting Lender’s Revolving Percentage of the L/C Obligations is neither reallocated nor cash collateralized pursuant to clause (i) or (ii) above, then, without prejudice to any rights or remedies of the Issuing Lender or any other Lender hereunder, all letter of credit fees payable under Section 3.3 with respect to such Defaulting Lender’s Revolving Percentage of the L/C Obligations shall be payable to the Issuing Lender until and to the extent that such Revolving Percentage of the L/C Obligations is reallocated and/or cash collateralized;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so long as such Revolving Lender is a Defaulting Lender, the Swingline Lender shall not be required to fund any Swingline Loan and the Issuing Lender shall not be required to issue, amend or increase any Letter of Credit, unless it is satisfied that the related exposure and the Defaulting Lender’s then outstanding Revolving Percentage of the L/C Obligations will be 100% covered by the Revolving Commitments of the non-Defaulting Lenders and/or cash collateral will be provided by the Borrower in accordance with Section 2.23(c), and participating interests in any newly made Swingline Loan or any newly issued or increased Letter of Credit shall be allocated among non-Defaulting Lenders in a manner consistent with Section 2.23(c)(i) (and such Defaulting Lender shall not participate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(i) a Bankruptcy Event or a Bail-In Action with respect to a Parent of any Revolving Lender shall occur following the date hereof and for so long as such event shall continue or (ii) the Swingline Lender or the Issuing Lender has a good faith belief that any Revolving Lender has defaulted in fulfilling its obligations under one or more other agreements in which such Lender commits to extend credit, the Swingline Lender and the Issuing Lender shall promptly notify the Borrower and the Swingline Lender shall not be required to fund any Swingline Loan and the Issuing Lender shall not be required to issue, amend or increase any Letter of Credit, unless the Swingline Lender or the Issuing Lender, as the case may be, shall have entered into arrangements with the Borrower or such Revolving Lender, satisfactory to the Swingline Lender or the Issuing Lender, as the case may be, to defease any risk to it in respect of such Revolving Lender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the Administrative Agent, the Borrower, the Swingline Lender and the Issuing Lender each agrees that a Defaulting Lender has adequately remedied all matters that caused such Revolving Lender to be a Defaulting Lender, then the Revolving Percentage of Swingline Loans and L/C Obligations of the Revolving Lenders shall be readjusted to reflect the inclusion of such Lender’s Revolving Commitment and on such date such Revolving Lender shall purchase at par such of the Revolving Loans of the other Revolving Lenders (other than Swingline Loans) as the Administrative Agent shall determine may be necessary in order for such Revolving Lender to hold such Loans in accordance with its Revolving Percentage.</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2.24</w:t>
      </w:r>
      <w:r>
        <w:rPr>
          <w:rFonts w:ascii="Times New Roman" w:hAnsi="Times New Roman"/>
          <w:color w:val="000000"/>
          <w:sz w:val="20"/>
          <w:u w:val="single"/>
        </w:rPr>
        <w:t xml:space="preserve"> </w:t>
      </w:r>
      <w:r>
        <w:rPr>
          <w:rFonts w:ascii="Times New Roman" w:hAnsi="Times New Roman"/>
          <w:color w:val="000000"/>
          <w:sz w:val="22"/>
          <w:u w:val="single"/>
        </w:rPr>
        <w:t>Incremental Facilities</w:t>
      </w:r>
      <w:r>
        <w:rPr>
          <w:rFonts w:ascii="Times New Roman" w:hAnsi="Times New Roman"/>
          <w:color w:val="000000"/>
          <w:sz w:val="22"/>
        </w:rPr>
        <w:t>. (a) The Borrower and any one or more Lenders (including New Lenders) may from time to time agree that such Lenders shall make, obtain or increase the amount of their Incremental Term Loans or Revolving Commitments, as applicable, by executing and delivering to the Administrative Agents an Increased Facility Activation Notice specifying (i) the amount of such increase and the Facility or Facilities involved, (ii) the applicable Increased Facility Closing Date, (iii) in the case of Incremental Term Loans, (x) the applicable Incremental Term Maturity Date, (y) the amortization schedule for such Incremental Term Loans, which shall comply with Section 2.3(d) and (z) the Applicable Margin for such Incremental Term Loans; provided, that (i) (I) the interest rate margins with respect to any Incremental Tranche A Facility on and after the Eleventh Amendment Effective Date shall not be greater than the interest rate with respect to any then outstanding Tranche A Term Loans or 2026 Incremental Term Loans plus 0.75% per annum unless the interest rate applicable to the applicable Tranche A Term Loans and 2026 Incremental Term Loans is increased so that the interest rate applicable to the Incremental Tranche A Facility does not exceed the interest rate applicable to the applicable Tranche A Term Loans and 2026 Incremental Term Loans by more than 0.75% per annum and (II) the interest rate margins with respect to any Incremental Tranche B Facility shall not be greater than the interest rate with respect to any then outstanding Tranche B Term Loans (if any) plus 0.75% per annum unless the interest rate applicable to the applicable Tranche B Term Loans is increased so that the interest rate applicable to the Incremental Tranche B Facility does not exceed the interest rate applicable to the applicable Tranche B Term Loans by more than 0.75% per annum; provided that in determining the applicable interest rates applicable to loans and/or commitments incurred pursuant to each of the Incremental Term Loans, the Tranche A Term Loans, the 2026 Incremental Term Loans and any Tranche B Term Loans, (x) original issue discount (“OID”) or upfront fees (which shall be deemed to constitute like amounts of OID) payable by Borrower to the Lenders of the Tranche A Term Loans, the 2026 Incremental Term Loans any Tranche B Term Loans or the Incremental Term Facility, in the initial primary syndication thereof shall be included (with OID being equated to interest based on assumed four-year life to maturity), but in each case, exclusive of any arrangement, structuring or other fees payable in connection with such Incremental Term Loans and (y) if the Incremental Term Facility includes an interest rate floor different than any interest rate floor applicable to the Tranche A Term Loans, the 2026 Incremental Term Loans or any Tranche B Term Loans, such difference shall be equated to interest margin for purposes of determining whether an increase to the applicable interest margin under the Tranche A Term Loans, the 2026 Incremental Term Loans or any Tranche B Term Loans, shall be required, (ii) after giving pro forma effect to the incurrence of Indebtedness on such Increased Facility Activation Date (assuming any increase in commitments under the Revolving Facility were fully drawn), the Borrower shall be in compliance with the covenants set forth in Section 7.1 recomputed as of the last day of the most recently ended four quarters period, (iii) (x) the weighted average life to maturity of any Incremental Term Facility (other than any Tranche B Term Loans) shall be not shorter than the then remaining weighted average life to maturity of the then-existing Tranche A Term Loans and 2026 Incremental Term Loans and (y) the weighted average life to maturity of any Incremental Term Facility that consists of any Tranche B Term Loans shall be not shorter than the then remaining weighted average life to maturity of the then-existing Tranche B Term Loans, (iv) any Incremental Tranche B Facility may have customary call-protection, including “soft-call” protection in connection with any repricing transaction, (v) any Incremental Tranche B Facility may also, to the extent so provided in the applicable Increased Facility Activation Notice, specify whether (v) the applicable Tranche B Term Lenders shall have any voting rights in respect of the financial covenants under this Agreement (including, without limitation, Section 7.1 hereof) (it being agreed that if any Subsequently Incurred Tranche B Term Loans shall have such voting rights, all then outstanding Tranche B Term Loans shall also have similar voting rights), (w) any breach of such covenants would result in a Default or Event of Default for such Tranche B Term Lenders prior to an acceleration of Commitments and/or Loans by the applicable Lenders in accordance with the terms hereof as a result of such breach (it being agreed that if any Subsequently Incurred Tranche B Term Loans shall have such a default, all then outstanding Tranche B Term Loans shall also have a similar default), (x) any such Tranche B Term Loans will be subject to an Excess Cash Flow mandatory prepayment based on a percentage (with step-downs in such percentage) of Excess Cash Flow</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be specified in the applicable Increased Facility Activation Notice (it being understood that any such prepayment may apply to all then outstanding Term Loans also on a ratable basis) and (y) the applicable Tranche B Term Lenders shall be subject to any other representations and warranties, covenants or events of default that are different from the terms set forth in this Agreement as of the date of the incurrence of such Indebtedness but are customary for “B” term loans at the time of incurrence thereof; provided, that, such Tranche B Term Loans shall not have representations and warranties, covenants or events of default that are more restrictive, taken as a whole, than the representations and warranties, covenants or events of default set forth in this Agreement as of the date of incurrence of such Indebtedness unless such representations and warranties, covenants or events of default apply also to all other then outstanding Term Loans or only apply after the latest maturity date then applicable to any Tranche B Term Loans) and (z) such Incremental Term Loans which are Tranche B Term Loans will have a minimum amount for assignments in the amount of $500,000 (unless an exception set forth in Section 10.6 applies), (vi) no Incremental Term Loans or increased Revolving Commitments shall be (x) secured by any collateral that is not Collateral securing this Agreement as of the date of incurrence of such Indebtedness or (y) guaranteed by any guarantor that is not a Guarantor of this Agreement as of the date of incurrence of such Indebtedness and (vii) the Administrative Agent shall have received such legal opinions, board resolutions, officers’ certificates, reaffirmation agreements and other documentation as it shall reasonably request. Notwithstanding the foregoing, (i) the aggregate amount of borrowings of Incremental Term Loans and the aggregate amount of incremental Revolving Commitments obtained after the Closing Date pursuant to this paragraph shall not exceed the difference between (A) the Maximum Incremental Amount and (B) the cumulative amount of Indebtedness incurred pursuant to Section 7.2(k) and (ii) without the consent of the Administrative Agent, (x) each increase effected pursuant to this paragraph shall be in a minimum amount of at least $50,000,000 and (y) no more than 5 Increased Facility Closing Dates may be selected by the Borrower after the Closing Date. No Lender shall have any obligation to participate in any increase described in this paragraph unless it agrees to do so in its sole discretion.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additional bank, financial institution or other entity which, with the consent of the Borrower and the Administrative Agent (which consent shall not be unreasonably withheld;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consent of the Administrative Agent shall be required for an assignment of all or any portion of an Incremental Term Loan to a Lender, an affiliate of a Lender or an Approved Fund) may elect to become a “Lender” under this Agreement in connection with any transaction described in Section 2.24(a) shall execute a New Lender Supplement (each, a “</w:t>
      </w:r>
      <w:r>
        <w:rPr>
          <w:rFonts w:ascii="Times New Roman" w:hAnsi="Times New Roman"/>
          <w:color w:val="000000"/>
          <w:sz w:val="22"/>
          <w:u w:val="single"/>
        </w:rPr>
        <w:t>New Lender Supplement</w:t>
      </w:r>
      <w:r>
        <w:rPr>
          <w:rFonts w:ascii="Times New Roman" w:hAnsi="Times New Roman"/>
          <w:color w:val="000000"/>
          <w:sz w:val="20"/>
        </w:rPr>
        <w:t>”</w:t>
      </w:r>
      <w:r>
        <w:rPr>
          <w:rFonts w:ascii="Times New Roman" w:hAnsi="Times New Roman"/>
          <w:color w:val="000000"/>
          <w:sz w:val="22"/>
        </w:rPr>
        <w:t>), substantially in the form of Exhibit I-3, whereupon such bank, financial institution or other entity (a “</w:t>
      </w:r>
      <w:r>
        <w:rPr>
          <w:rFonts w:ascii="Times New Roman" w:hAnsi="Times New Roman"/>
          <w:color w:val="000000"/>
          <w:sz w:val="22"/>
          <w:u w:val="single"/>
        </w:rPr>
        <w:t>New Lender</w:t>
      </w:r>
      <w:r>
        <w:rPr>
          <w:rFonts w:ascii="Times New Roman" w:hAnsi="Times New Roman"/>
          <w:color w:val="000000"/>
          <w:sz w:val="20"/>
        </w:rPr>
        <w:t>”</w:t>
      </w:r>
      <w:r>
        <w:rPr>
          <w:rFonts w:ascii="Times New Roman" w:hAnsi="Times New Roman"/>
          <w:color w:val="000000"/>
          <w:sz w:val="22"/>
        </w:rPr>
        <w:t>) shall become a Lender for all purposes and to the same extent as if originally a party hereto and shall be bound by and entitled to the benefits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Unless otherwise agreed by the Administrative Agent, on each Increased Facility Closing Date with respect to the Revolving Facility, the Borrower shall borrow Revolving Loans under the relevant increased Revolving Commitments from each Lender participating in the relevant increase in an amount determined by reference to the amount of each Type of Loan (and, in the case of Term Benchmark Loans, of each Term Benchmark Tranche) which would then have been outstanding from such Lender if (i) each such Type or Term Benchmark Tranche then outstanding had been borrowed or effected on such Increased Facility Closing Date and (ii) the aggregate amount of each such Type or Term Benchmark Tranche requested to be so borrowed or effected had been proportionately increased. The Adjusted Term SOFR Rate applicable to any Term Benchmark Loan borrowed pursuant to the preceding sentence shall equal the Adjusted Term SOFR Rate then applicable to the Term Benchmark Loans of the other Lenders in the same Term Benchmark Tranche (or, until the expiration of the then-current Interest Period, such other rate as shall be agreed upon between the Borrower and the relevant Lender).</w:t>
      </w:r>
    </w:p>
    <w:p>
      <w:pPr>
        <w:pStyle w:val="TextBody"/>
        <w:bidi w:val="0"/>
        <w:spacing w:before="0" w:after="240"/>
        <w:jc w:val="both"/>
        <w:rPr>
          <w:rFonts w:ascii="Times New Roman" w:hAnsi="Times New Roman"/>
          <w:sz w:val="20"/>
        </w:rPr>
      </w:pPr>
      <w:r>
        <w:rPr>
          <w:rFonts w:ascii="Times New Roman" w:hAnsi="Times New Roman"/>
          <w:color w:val="000000"/>
          <w:sz w:val="22"/>
        </w:rPr>
        <w:t>(d) Notwithstanding anything to the contrary in this Agreement, each of the parties hereto hereby agrees that, on each Increased Facility Activation Date, this Agreement shall be amended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(but only to the extent) necessary to reflect the existence and terms of the Incremental Term Loans evidenced thereby. Any such deemed amendment may be effected in writing by the Administrative Agent with the Borrower’s consent (not to be unreasonably withheld) and furnished to the other parties hereto.</w:t>
      </w:r>
    </w:p>
    <w:p>
      <w:pPr>
        <w:pStyle w:val="TextBody"/>
        <w:bidi w:val="0"/>
        <w:spacing w:before="0" w:after="240"/>
        <w:jc w:val="both"/>
        <w:rPr>
          <w:rFonts w:ascii="Times New Roman" w:hAnsi="Times New Roman"/>
          <w:sz w:val="20"/>
        </w:rPr>
      </w:pPr>
      <w:r>
        <w:rPr>
          <w:rFonts w:ascii="Times New Roman" w:hAnsi="Times New Roman"/>
          <w:color w:val="000000"/>
          <w:sz w:val="22"/>
        </w:rPr>
        <w:t>2.25</w:t>
      </w:r>
      <w:r>
        <w:rPr>
          <w:rFonts w:ascii="Times New Roman" w:hAnsi="Times New Roman"/>
          <w:color w:val="000000"/>
          <w:sz w:val="20"/>
          <w:u w:val="single"/>
        </w:rPr>
        <w:t xml:space="preserve"> </w:t>
      </w:r>
      <w:r>
        <w:rPr>
          <w:rFonts w:ascii="Times New Roman" w:hAnsi="Times New Roman"/>
          <w:color w:val="000000"/>
          <w:sz w:val="22"/>
          <w:u w:val="single"/>
        </w:rPr>
        <w:t>Illegality</w:t>
      </w:r>
      <w:r>
        <w:rPr>
          <w:rFonts w:ascii="Times New Roman" w:hAnsi="Times New Roman"/>
          <w:color w:val="000000"/>
          <w:sz w:val="22"/>
        </w:rPr>
        <w:t>. If any Lender determines that any law has made it unlawful, or that any Governmental Authority has asserted that it is unlawful, for any Lender or its applicable lending office to make, maintain, or fund Loans whose interest is determined by reference to the Adjusted Term SOFR Rate, or to determine or charge interest rates based upon the Adjusted Term SOFR Rate, or any Governmental Authority has imposed material restrictions on the authority of such Lender to purchase or sell, or to take deposits of, Dollars in the London interbank market, then, upon notice thereof by such Lender to the Borrower (through the Administrative Agent), (a) any obligation of such Lender to make or continue Term Benchmark Loans or to convert ABR Loans to Term Benchmark Loans shall be suspended, and (b) if such notice asserts the illegality of such Lender making or maintaining ABR Loans the interest rate on which is determined by reference to the Adjusted Term SOFR Rate component of the ABR, the interest rate on which ABR Loans of such Lender shall, if necessary to avoid such illegality, be determined by the Administrative Agent without reference to the Adjusted Term SOFR Rate component of the ABR,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Revolving Loans that are Term Benchmark Loans of such Lender to ABR Loans (the interest rate on which ABR Loans of such Lender shall, if necessary to avoid such illegality, be determined by the Administrative Agent without reference to the Adjusted Term SOFR Rate component of the ABR), either on the last day of the Interest Period therefor, if such Lender may lawfully continue to maintain such Term Benchmark Loans to such day, or immediately, if such Lender may not lawfully continue to maintain such Term Benchmark Loans and (ii) if such notice asserts the illegality of such Lender determining or charging interest rates based upon the Adjusted Term SOFR Rate, the Administrative Agent shall during the period of such suspension compute the ABR applicable to such Lender without reference to the Adjusted Term SOFR Rate component thereof until the Administrative Agent is advised in writing by such Lender that it is no longer illegal for such Lender to determine or charge interest rates based upon the Adjusted Term SOFR Rate. Upon any such prepayment or conversion, the Borrower shall also pay accrued interest on the amount so prepaid or converted, together with any additional amounts required pursuant to Section 2.20.</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3.</w:t>
      </w:r>
      <w:r>
        <w:rPr>
          <w:rFonts w:ascii="Times New Roman" w:hAnsi="Times New Roman"/>
          <w:color w:val="000000"/>
          <w:sz w:val="20"/>
        </w:rPr>
        <w:t xml:space="preserve"> </w:t>
      </w:r>
      <w:r>
        <w:rPr>
          <w:rFonts w:ascii="Times New Roman" w:hAnsi="Times New Roman"/>
          <w:color w:val="000000"/>
          <w:sz w:val="22"/>
        </w:rPr>
        <w:t>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3.1</w:t>
      </w:r>
      <w:r>
        <w:rPr>
          <w:rFonts w:ascii="Times New Roman" w:hAnsi="Times New Roman"/>
          <w:color w:val="000000"/>
          <w:sz w:val="20"/>
          <w:u w:val="single"/>
        </w:rPr>
        <w:t xml:space="preserve"> </w:t>
      </w:r>
      <w:r>
        <w:rPr>
          <w:rFonts w:ascii="Times New Roman" w:hAnsi="Times New Roman"/>
          <w:color w:val="000000"/>
          <w:sz w:val="22"/>
          <w:u w:val="single"/>
        </w:rPr>
        <w:t>L/C Commitment</w:t>
      </w:r>
      <w:r>
        <w:rPr>
          <w:rFonts w:ascii="Times New Roman" w:hAnsi="Times New Roman"/>
          <w:color w:val="000000"/>
          <w:sz w:val="22"/>
        </w:rPr>
        <w:t>. (a) Subject to the terms and conditions hereof, each Issuing Lender, in reliance on the agreements of the other Revolving Lenders set forth in Section 3.4(a), agrees to issue letters of credit (“Letters of Credit”) for the account of the Borrower or for the account of any Subsidiary (provided that the Borrower shall be a co-applicant, and be jointly and severally liable, with respect to each such Letter of Credit issued for the account of such Subsidiary) on any Business Day during the Revolving Commitment Period in such form as may be approved from time to time by the applicable Issuing Lender; provided that no Issuing Lender shall have any obligation to issue any Letter of Credit if, after giving effect to such issuance, (i) the L/C Obligations would exceed the L/C Commitment, (ii) the aggregate amount of the Available Revolving Commitments would be less than zero or (iii) such Issuing Lender would have issued Letters of Credit in an aggregate amount in excess of the amount set forth opposite its name on Schedule 3.1 (as such schedule may be updated from time to time with the consent of each Issuing Lender and the Borrower). Each Letter of Credit shall (i) be denominated in Dollars and (ii) expire no later than the earlier of (x) the first anniversary of its date of issuance and (y) the date that is five Business Days prior to the latest then applicable Revolving Termination Date, provided that any Letter of Credit with a one-year term may provide for the renewal thereof for additional one-year periods (which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in no event extend beyond the date referred to in clause (y) above) under customary “evergreen”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 Issuing Lender shall at any time be obligated to issue any Letter of Credit if such issuance would conflict with, or cause such Issuing Lender or any L/C Participant to exceed any limits imposed by, any applicable Requirement of Law.</w:t>
      </w:r>
    </w:p>
    <w:p>
      <w:pPr>
        <w:pStyle w:val="TextBody"/>
        <w:bidi w:val="0"/>
        <w:spacing w:before="0" w:after="240"/>
        <w:jc w:val="both"/>
        <w:rPr>
          <w:rFonts w:ascii="Times New Roman" w:hAnsi="Times New Roman"/>
          <w:sz w:val="20"/>
        </w:rPr>
      </w:pPr>
      <w:r>
        <w:rPr>
          <w:rFonts w:ascii="Times New Roman" w:hAnsi="Times New Roman"/>
          <w:color w:val="000000"/>
          <w:sz w:val="22"/>
        </w:rPr>
        <w:t>3.2</w:t>
      </w:r>
      <w:r>
        <w:rPr>
          <w:rFonts w:ascii="Times New Roman" w:hAnsi="Times New Roman"/>
          <w:color w:val="000000"/>
          <w:sz w:val="20"/>
          <w:u w:val="single"/>
        </w:rPr>
        <w:t xml:space="preserve"> </w:t>
      </w:r>
      <w:r>
        <w:rPr>
          <w:rFonts w:ascii="Times New Roman" w:hAnsi="Times New Roman"/>
          <w:color w:val="000000"/>
          <w:sz w:val="22"/>
          <w:u w:val="single"/>
        </w:rPr>
        <w:t>Procedure for Issuance of Letter of Credit</w:t>
      </w:r>
      <w:r>
        <w:rPr>
          <w:rFonts w:ascii="Times New Roman" w:hAnsi="Times New Roman"/>
          <w:color w:val="000000"/>
          <w:sz w:val="22"/>
        </w:rPr>
        <w:t>. The Borrower may from time to time request that the Issuing Lender issue a Letter of Credit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pStyle w:val="TextBody"/>
        <w:bidi w:val="0"/>
        <w:spacing w:before="0" w:after="240"/>
        <w:jc w:val="both"/>
        <w:rPr>
          <w:rFonts w:ascii="Times New Roman" w:hAnsi="Times New Roman"/>
          <w:sz w:val="20"/>
        </w:rPr>
      </w:pPr>
      <w:r>
        <w:rPr>
          <w:rFonts w:ascii="Times New Roman" w:hAnsi="Times New Roman"/>
          <w:color w:val="000000"/>
          <w:sz w:val="22"/>
        </w:rPr>
        <w:t>3.3</w:t>
      </w:r>
      <w:r>
        <w:rPr>
          <w:rFonts w:ascii="Times New Roman" w:hAnsi="Times New Roman"/>
          <w:color w:val="000000"/>
          <w:sz w:val="20"/>
          <w:u w:val="single"/>
        </w:rPr>
        <w:t xml:space="preserve"> </w:t>
      </w:r>
      <w:r>
        <w:rPr>
          <w:rFonts w:ascii="Times New Roman" w:hAnsi="Times New Roman"/>
          <w:color w:val="000000"/>
          <w:sz w:val="22"/>
          <w:u w:val="single"/>
        </w:rPr>
        <w:t>Fees and Other Charges</w:t>
      </w:r>
      <w:r>
        <w:rPr>
          <w:rFonts w:ascii="Times New Roman" w:hAnsi="Times New Roman"/>
          <w:color w:val="000000"/>
          <w:sz w:val="22"/>
        </w:rPr>
        <w:t>. (a) The Borrower will pay a fee on all outstanding Letters of Credit at a per annum rate equal to the Applicable Margin then in effect with respect to Term Benchmark Loans under the Revolving Facility, shared ratably among the Revolving Lenders and payable quarterly in arrears on each Fee Payment Date after the issuance date. In addition, the Borrower shall pay to the applicable Issuing Lender for its own account a fronting fee of 0.175% per annum on the undrawn and unexpired amount of each Letter of Credit, payable quarterly in arrears on each Fee Payment Date after the issuance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addition to the foregoing fees, the Borrower shall pay or reimburse each Issuing Lender for such normal and customary costs and expenses as are incurred or charged by the Issuing Lenders in issuing, negotiating, effecting payment under, amending or otherwise administering any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3.4</w:t>
      </w:r>
      <w:r>
        <w:rPr>
          <w:rFonts w:ascii="Times New Roman" w:hAnsi="Times New Roman"/>
          <w:color w:val="000000"/>
          <w:sz w:val="20"/>
          <w:u w:val="single"/>
        </w:rPr>
        <w:t xml:space="preserve"> </w:t>
      </w:r>
      <w:r>
        <w:rPr>
          <w:rFonts w:ascii="Times New Roman" w:hAnsi="Times New Roman"/>
          <w:color w:val="000000"/>
          <w:sz w:val="22"/>
          <w:u w:val="single"/>
        </w:rPr>
        <w:t>L/C Participations</w:t>
      </w:r>
      <w:r>
        <w:rPr>
          <w:rFonts w:ascii="Times New Roman" w:hAnsi="Times New Roman"/>
          <w:color w:val="000000"/>
          <w:sz w:val="22"/>
        </w:rPr>
        <w:t>. (a) The Issuing Lender irrevocably agrees to grant and hereby grants to each L/C Participant, and, to induce the Issuing Lender to issue Letters of Credit, each L/C Participant irrevocably agrees to accept and purchase and hereby accepts and purchases from the Issuing Lender, on the terms and conditions set forth below, for such L/C Participant’s own account and risk an undivided interest equal to such L/C Participant’s Revolving Percentage in the Issuing Lender’s obligations and rights under and in respect of each Letter of Credit and the amount of each draft paid by the Issuing Lender thereunder. Each L/C Participant agrees with the Issuing Lender that, if a draft is paid under any Letter of Credit for which the Issuing Lender is not reimbursed in full by the Borrower in accordance with the terms of this Agreement (or in the event that any reimbursement received by the Issuing Lender shall be required to be returned by it at any time), such L/C Participant shall pay to the Issuing Lender upon demand at the Issuing Lender’s address for notices specified herein an amount equal to such L/C Participant’s Revolving Percentage of the amount that is not so reimbursed (or is so returned). Each L/C Participant’s obligation to pay such amount shall be absolute and unconditional and shall not be affected by any circumstance, including (i) any setoff, counterclaim, recoupment, defense or other right that such L/C Participant may have against the Issuing Lender, the Borrower or any other Person for any reason whatsoever, (ii) the occurrence or continuance of a Default or an Event of Default or the failure to satisfy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of the other conditions specified in Section 5,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greater of the NYFRB Rate and a rate determined by the Administrative Agent in accordance with banking industry rules on interbank compensation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under the Revolving Facility. A certificate of the Issuing Lender submitted to any L/C Participant with respect to any amounts owing under this Section shall be conclusive in the absence of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Whenever, at any time after the Issuing Lender has made payment under any Letter of Credit and has received from any L/C Participant its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 xml:space="preserve">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 xml:space="preserve">share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that any such payment received by the Issuing Lender shall be required to be returned by the Issuing Lender, such L/C Participant shall return to the Issuing Lender the portion thereof previously distributed by the Issuing Lender to it.</w:t>
      </w:r>
    </w:p>
    <w:p>
      <w:pPr>
        <w:pStyle w:val="TextBody"/>
        <w:bidi w:val="0"/>
        <w:spacing w:before="0" w:after="240"/>
        <w:jc w:val="both"/>
        <w:rPr>
          <w:rFonts w:ascii="Times New Roman" w:hAnsi="Times New Roman"/>
          <w:sz w:val="20"/>
        </w:rPr>
      </w:pPr>
      <w:r>
        <w:rPr>
          <w:rFonts w:ascii="Times New Roman" w:hAnsi="Times New Roman"/>
          <w:color w:val="000000"/>
          <w:sz w:val="22"/>
        </w:rPr>
        <w:t>3.5</w:t>
      </w:r>
      <w:r>
        <w:rPr>
          <w:rFonts w:ascii="Times New Roman" w:hAnsi="Times New Roman"/>
          <w:color w:val="000000"/>
          <w:sz w:val="20"/>
          <w:u w:val="single"/>
        </w:rPr>
        <w:t xml:space="preserve"> </w:t>
      </w:r>
      <w:r>
        <w:rPr>
          <w:rFonts w:ascii="Times New Roman" w:hAnsi="Times New Roman"/>
          <w:color w:val="000000"/>
          <w:sz w:val="22"/>
          <w:u w:val="single"/>
        </w:rPr>
        <w:t>Reimbursement Obligation of the Borrower</w:t>
      </w:r>
      <w:r>
        <w:rPr>
          <w:rFonts w:ascii="Times New Roman" w:hAnsi="Times New Roman"/>
          <w:color w:val="000000"/>
          <w:sz w:val="22"/>
        </w:rPr>
        <w:t>. If any draft is paid under any Letter of Credit, the Borrower shall reimburse the Issuing Lender for the amount of (a) the draft so paid and (b) any taxes, fees, charges or other costs or expenses incurred by the Issuing Lender in connection with such payment, not later than 12:00 Noon, New York City time, on (i) the Business Day that the Borrower receives notice of such draft, if such notice is received on such day prior to 10:00 A.M., New York City time, or (ii) if clause (i) above does not apply, the Business Day immediately following the day that the Borrower receives such notice. Each such payment shall be made to the Issuing Lender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2.14(b) and (y) thereafter, Section 2.14(c).</w:t>
      </w:r>
    </w:p>
    <w:p>
      <w:pPr>
        <w:pStyle w:val="TextBody"/>
        <w:bidi w:val="0"/>
        <w:spacing w:before="0" w:after="240"/>
        <w:jc w:val="both"/>
        <w:rPr>
          <w:rFonts w:ascii="Times New Roman" w:hAnsi="Times New Roman"/>
          <w:sz w:val="20"/>
        </w:rPr>
      </w:pPr>
      <w:r>
        <w:rPr>
          <w:rFonts w:ascii="Times New Roman" w:hAnsi="Times New Roman"/>
          <w:color w:val="000000"/>
          <w:sz w:val="22"/>
        </w:rPr>
        <w:t>3.6</w:t>
      </w:r>
      <w:r>
        <w:rPr>
          <w:rFonts w:ascii="Times New Roman" w:hAnsi="Times New Roman"/>
          <w:color w:val="000000"/>
          <w:sz w:val="20"/>
          <w:u w:val="single"/>
        </w:rPr>
        <w:t xml:space="preserve"> </w:t>
      </w:r>
      <w:r>
        <w:rPr>
          <w:rFonts w:ascii="Times New Roman" w:hAnsi="Times New Roman"/>
          <w:color w:val="000000"/>
          <w:sz w:val="22"/>
          <w:u w:val="single"/>
        </w:rPr>
        <w:t>Obligations Absolute</w:t>
      </w:r>
      <w:r>
        <w:rPr>
          <w:rFonts w:ascii="Times New Roman" w:hAnsi="Times New Roman"/>
          <w:color w:val="000000"/>
          <w:sz w:val="22"/>
        </w:rPr>
        <w:t>. The Borrower’s obligations under this Section 3 shall be absolute and unconditional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Reimbursement Obligations under Section 3.5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pStyle w:val="TextBody"/>
        <w:bidi w:val="0"/>
        <w:spacing w:before="0" w:after="240"/>
        <w:jc w:val="both"/>
        <w:rPr>
          <w:rFonts w:ascii="Times New Roman" w:hAnsi="Times New Roman"/>
          <w:sz w:val="20"/>
        </w:rPr>
      </w:pPr>
      <w:r>
        <w:rPr>
          <w:rFonts w:ascii="Times New Roman" w:hAnsi="Times New Roman"/>
          <w:color w:val="000000"/>
          <w:sz w:val="22"/>
        </w:rPr>
        <w:t>3.7</w:t>
      </w:r>
      <w:r>
        <w:rPr>
          <w:rFonts w:ascii="Times New Roman" w:hAnsi="Times New Roman"/>
          <w:color w:val="000000"/>
          <w:sz w:val="20"/>
          <w:u w:val="single"/>
        </w:rPr>
        <w:t xml:space="preserve"> </w:t>
      </w:r>
      <w:r>
        <w:rPr>
          <w:rFonts w:ascii="Times New Roman" w:hAnsi="Times New Roman"/>
          <w:color w:val="000000"/>
          <w:sz w:val="22"/>
          <w:u w:val="single"/>
        </w:rPr>
        <w:t>Letter of Credit Payments</w:t>
      </w:r>
      <w:r>
        <w:rPr>
          <w:rFonts w:ascii="Times New Roman" w:hAnsi="Times New Roman"/>
          <w:color w:val="000000"/>
          <w:sz w:val="22"/>
        </w:rPr>
        <w:t>. If any draft shall be presented for payment under any Letter of Credit, the Issuing Lender shall promptly notify the Borrower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3.8</w:t>
      </w:r>
      <w:r>
        <w:rPr>
          <w:rFonts w:ascii="Times New Roman" w:hAnsi="Times New Roman"/>
          <w:color w:val="000000"/>
          <w:sz w:val="20"/>
          <w:u w:val="single"/>
        </w:rPr>
        <w:t xml:space="preserve"> </w:t>
      </w:r>
      <w:r>
        <w:rPr>
          <w:rFonts w:ascii="Times New Roman" w:hAnsi="Times New Roman"/>
          <w:color w:val="000000"/>
          <w:sz w:val="22"/>
          <w:u w:val="single"/>
        </w:rPr>
        <w:t>Applications</w:t>
      </w:r>
      <w:r>
        <w:rPr>
          <w:rFonts w:ascii="Times New Roman" w:hAnsi="Times New Roman"/>
          <w:color w:val="000000"/>
          <w:sz w:val="22"/>
        </w:rPr>
        <w:t>. To the extent that any provision of any Application related to any Letter of Credit is inconsistent with the provisions of this Section 3, the provisions of this Section 3 shall apply.</w:t>
      </w:r>
    </w:p>
    <w:p>
      <w:pPr>
        <w:pStyle w:val="TextBody"/>
        <w:bidi w:val="0"/>
        <w:spacing w:before="0" w:after="240"/>
        <w:jc w:val="both"/>
        <w:rPr>
          <w:rFonts w:ascii="Times New Roman" w:hAnsi="Times New Roman"/>
          <w:sz w:val="20"/>
        </w:rPr>
      </w:pPr>
      <w:r>
        <w:rPr>
          <w:rFonts w:ascii="Times New Roman" w:hAnsi="Times New Roman"/>
          <w:color w:val="000000"/>
          <w:sz w:val="22"/>
        </w:rPr>
        <w:t>3.9</w:t>
      </w:r>
      <w:r>
        <w:rPr>
          <w:rFonts w:ascii="Times New Roman" w:hAnsi="Times New Roman"/>
          <w:color w:val="000000"/>
          <w:sz w:val="20"/>
          <w:u w:val="single"/>
        </w:rPr>
        <w:t xml:space="preserve"> </w:t>
      </w:r>
      <w:r>
        <w:rPr>
          <w:rFonts w:ascii="Times New Roman" w:hAnsi="Times New Roman"/>
          <w:color w:val="000000"/>
          <w:sz w:val="22"/>
          <w:u w:val="single"/>
        </w:rPr>
        <w:t>Existing Letters of Credit</w:t>
      </w:r>
      <w:r>
        <w:rPr>
          <w:rFonts w:ascii="Times New Roman" w:hAnsi="Times New Roman"/>
          <w:color w:val="000000"/>
          <w:sz w:val="22"/>
        </w:rPr>
        <w:t>. All Existing Letters of Credit shall be deemed to have been issued under this Agreement on the Closing Date and shall be outstanding hereunder and subject to all provisions contained herein and shall be deemed to be Letters of Credit, and the issuer of each Existing Letter of Credit shall be deemed to be the Issuing Lender with respect to each Existing Letter of Credit issued by it.</w:t>
      </w:r>
    </w:p>
    <w:p>
      <w:pPr>
        <w:pStyle w:val="TextBody"/>
        <w:bidi w:val="0"/>
        <w:spacing w:before="0" w:after="240"/>
        <w:jc w:val="both"/>
        <w:rPr>
          <w:rFonts w:ascii="Times New Roman" w:hAnsi="Times New Roman"/>
          <w:sz w:val="20"/>
        </w:rPr>
      </w:pPr>
      <w:r>
        <w:rPr>
          <w:rFonts w:ascii="Times New Roman" w:hAnsi="Times New Roman"/>
          <w:color w:val="000000"/>
          <w:sz w:val="22"/>
        </w:rPr>
        <w:t>3.10</w:t>
      </w:r>
      <w:r>
        <w:rPr>
          <w:rFonts w:ascii="Times New Roman" w:hAnsi="Times New Roman"/>
          <w:color w:val="000000"/>
          <w:sz w:val="20"/>
          <w:u w:val="single"/>
        </w:rPr>
        <w:t xml:space="preserve"> </w:t>
      </w:r>
      <w:r>
        <w:rPr>
          <w:rFonts w:ascii="Times New Roman" w:hAnsi="Times New Roman"/>
          <w:color w:val="000000"/>
          <w:sz w:val="22"/>
          <w:u w:val="single"/>
        </w:rPr>
        <w:t>Reallocation Procedures</w:t>
      </w:r>
      <w:r>
        <w:rPr>
          <w:rFonts w:ascii="Times New Roman" w:hAnsi="Times New Roman"/>
          <w:color w:val="000000"/>
          <w:sz w:val="22"/>
        </w:rPr>
        <w:t>. If the maturity date in respect of any Class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payments in respect thereof),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immediately preceding clause (i), the Borrower shall cash collateralize any such Letter of Credit in a manner reasonably satisfactory to the Administrative Agent.</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4.</w:t>
      </w:r>
      <w:r>
        <w:rPr>
          <w:rFonts w:ascii="Times New Roman" w:hAnsi="Times New Roman"/>
          <w:color w:val="000000"/>
          <w:sz w:val="20"/>
        </w:rPr>
        <w:t xml:space="preserve"> </w:t>
      </w:r>
      <w:r>
        <w:rPr>
          <w:rFonts w:ascii="Times New Roman" w:hAnsi="Times New Roman"/>
          <w:color w:val="000000"/>
          <w:sz w:val="22"/>
        </w:rP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induce the Administrative Agent and the Lenders to enter into this Agreement and to make the Loans and issue or participate in the Letters of Credit, the Borrower represents and warrants to the Administrative Agent and each Lender that:</w:t>
      </w:r>
    </w:p>
    <w:p>
      <w:pPr>
        <w:pStyle w:val="TextBody"/>
        <w:bidi w:val="0"/>
        <w:spacing w:before="0" w:after="240"/>
        <w:jc w:val="both"/>
        <w:rPr>
          <w:rFonts w:ascii="Times New Roman" w:hAnsi="Times New Roman"/>
          <w:sz w:val="20"/>
        </w:rPr>
      </w:pPr>
      <w:r>
        <w:rPr>
          <w:rFonts w:ascii="Times New Roman" w:hAnsi="Times New Roman"/>
          <w:color w:val="000000"/>
          <w:sz w:val="22"/>
        </w:rPr>
        <w:t>4.1</w:t>
      </w:r>
      <w:r>
        <w:rPr>
          <w:rFonts w:ascii="Times New Roman" w:hAnsi="Times New Roman"/>
          <w:color w:val="000000"/>
          <w:sz w:val="20"/>
          <w:u w:val="single"/>
        </w:rPr>
        <w:t xml:space="preserve"> </w:t>
      </w:r>
      <w:r>
        <w:rPr>
          <w:rFonts w:ascii="Times New Roman" w:hAnsi="Times New Roman"/>
          <w:color w:val="000000"/>
          <w:sz w:val="22"/>
          <w:u w:val="single"/>
        </w:rPr>
        <w:t>Financial Condition</w:t>
      </w:r>
      <w:r>
        <w:rPr>
          <w:rFonts w:ascii="Times New Roman" w:hAnsi="Times New Roman"/>
          <w:color w:val="000000"/>
          <w:sz w:val="22"/>
        </w:rPr>
        <w:t>. (a) The unaudited pro forma consolidated balance sheet of the Borrower and its consolidated Subsidiaries as at June 30, 2024 (including the notes thereto) (the “Pro Forma Balance Sheet”) and the related pro forma consolidated statements of income and of cash flows ended on such date, copies of which have heretofore been furnished to each Lender, have been prepared giving effect (as if such events had occurred on such date) to (i) the 2024 Transactions and (ii) the payment of fees and expenses in connection with the foregoing (collectively, the “Transactions”). The Pro Forma Balance Sheet and the related pro forma consolidated statements of income and of cash flows have been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prepared based on the best information available to the Borrower as of the date of delivery thereof, and present fairly on a pro forma basis the estimated financial position of Borrower and its consolidated Subsidiaries as at June 30, 2024, assuming that the events specified in the preceding sentence had actually occurred at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audited consolidated balance sheets of the Borrower and its consolidated Subsidiaries as at December 31, 2021, December 31, 2022 and December 31, 2023, and the related consolidated statements of income and of cash flows for the fiscal years ended on such dates, reported on by and accompanied by an unqualified report from PricewaterhouseCoopers, present fairly the consolidated financial condition of the Borrower and its consolidated Subsidiaries as at such date, and the consolidated results of its operations and its consolidated cash flows for the respective fiscal years then ended. The unaudited consolidated balance sheet of the Borrower and its consolidated Subsidiaries as at June 30, 2024, and the related unaudited consolidated statements of income and cash flows for the 12-month period ended on such date, present fairly the consolidated financial condition of the Borrower and its consolidated Subsidiaries as at such date, and the consolidated results of its operations and its consolidated cash flows for the 12-month period then ended (subject to normal year</w:t>
        <w:noBreakHyphen/>
        <w:t>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During the period from December 31, 2023 to and including the date hereof there has been no Disposition by any Group Member of any material part of its business or property.</w:t>
      </w:r>
    </w:p>
    <w:p>
      <w:pPr>
        <w:pStyle w:val="TextBody"/>
        <w:bidi w:val="0"/>
        <w:spacing w:before="0" w:after="240"/>
        <w:jc w:val="both"/>
        <w:rPr>
          <w:rFonts w:ascii="Times New Roman" w:hAnsi="Times New Roman"/>
          <w:sz w:val="20"/>
        </w:rPr>
      </w:pPr>
      <w:r>
        <w:rPr>
          <w:rFonts w:ascii="Times New Roman" w:hAnsi="Times New Roman"/>
          <w:color w:val="000000"/>
          <w:sz w:val="22"/>
        </w:rPr>
        <w:t>4.2</w:t>
      </w:r>
      <w:r>
        <w:rPr>
          <w:rFonts w:ascii="Times New Roman" w:hAnsi="Times New Roman"/>
          <w:color w:val="000000"/>
          <w:sz w:val="20"/>
          <w:u w:val="single"/>
        </w:rPr>
        <w:t xml:space="preserve"> </w:t>
      </w:r>
      <w:r>
        <w:rPr>
          <w:rFonts w:ascii="Times New Roman" w:hAnsi="Times New Roman"/>
          <w:color w:val="000000"/>
          <w:sz w:val="22"/>
          <w:u w:val="single"/>
        </w:rPr>
        <w:t>No Change</w:t>
      </w:r>
      <w:r>
        <w:rPr>
          <w:rFonts w:ascii="Times New Roman" w:hAnsi="Times New Roman"/>
          <w:color w:val="000000"/>
          <w:sz w:val="22"/>
        </w:rPr>
        <w:t>. Except as disclosed on Schedule 4.2, since December 31, 2023, there has been no development or event that has had or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4.3</w:t>
      </w:r>
      <w:r>
        <w:rPr>
          <w:rFonts w:ascii="Times New Roman" w:hAnsi="Times New Roman"/>
          <w:color w:val="000000"/>
          <w:sz w:val="20"/>
          <w:u w:val="single"/>
        </w:rPr>
        <w:t xml:space="preserve"> </w:t>
      </w:r>
      <w:r>
        <w:rPr>
          <w:rFonts w:ascii="Times New Roman" w:hAnsi="Times New Roman"/>
          <w:color w:val="000000"/>
          <w:sz w:val="22"/>
          <w:u w:val="single"/>
        </w:rPr>
        <w:t>Existence; Compliance with Law</w:t>
      </w:r>
      <w:r>
        <w:rPr>
          <w:rFonts w:ascii="Times New Roman" w:hAnsi="Times New Roman"/>
          <w:color w:val="000000"/>
          <w:sz w:val="22"/>
        </w:rPr>
        <w:t>.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and (d) is in compliance with all Requirements of Law except, with respect to any of the foregoing clauses (a)-(d), as could not,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4.4</w:t>
      </w:r>
      <w:r>
        <w:rPr>
          <w:rFonts w:ascii="Times New Roman" w:hAnsi="Times New Roman"/>
          <w:color w:val="000000"/>
          <w:sz w:val="20"/>
          <w:u w:val="single"/>
        </w:rPr>
        <w:t xml:space="preserve"> </w:t>
      </w:r>
      <w:r>
        <w:rPr>
          <w:rFonts w:ascii="Times New Roman" w:hAnsi="Times New Roman"/>
          <w:color w:val="000000"/>
          <w:sz w:val="22"/>
          <w:u w:val="single"/>
        </w:rPr>
        <w:t>Power; Authorization; Enforceable Obligations</w:t>
      </w:r>
      <w:r>
        <w:rPr>
          <w:rFonts w:ascii="Times New Roman" w:hAnsi="Times New Roman"/>
          <w:color w:val="000000"/>
          <w:sz w:val="22"/>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described in Schedule 4.4(a), which consents, authorizations, filings and notices have been obtained or made and are in full force and effect except as set forth in Schedule 4.4(b) and (ii) the filings referred to in Section 4.19. The failure of the consents, authorizations, filings and notices described in Schedule 4.4(b) to have been obtained or made and to be in full force and effect could not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240"/>
        <w:jc w:val="both"/>
        <w:rPr>
          <w:rFonts w:ascii="Times New Roman" w:hAnsi="Times New Roman"/>
          <w:sz w:val="20"/>
        </w:rPr>
      </w:pPr>
      <w:r>
        <w:rPr>
          <w:rFonts w:ascii="Times New Roman" w:hAnsi="Times New Roman"/>
          <w:color w:val="000000"/>
          <w:sz w:val="22"/>
        </w:rPr>
        <w:t>4.5</w:t>
      </w:r>
      <w:r>
        <w:rPr>
          <w:rFonts w:ascii="Times New Roman" w:hAnsi="Times New Roman"/>
          <w:color w:val="000000"/>
          <w:sz w:val="20"/>
          <w:u w:val="single"/>
        </w:rPr>
        <w:t xml:space="preserve"> </w:t>
      </w:r>
      <w:r>
        <w:rPr>
          <w:rFonts w:ascii="Times New Roman" w:hAnsi="Times New Roman"/>
          <w:color w:val="000000"/>
          <w:sz w:val="22"/>
          <w:u w:val="single"/>
        </w:rPr>
        <w:t>No Legal Bar</w:t>
      </w:r>
      <w:r>
        <w:rPr>
          <w:rFonts w:ascii="Times New Roman" w:hAnsi="Times New Roman"/>
          <w:color w:val="000000"/>
          <w:sz w:val="22"/>
        </w:rPr>
        <w:t>. The execution, delivery and performance of this Agreement and the other Loan Documents, the issuance of Letters of Credit, the borrowings hereunder and the use of the proceeds thereof will not violate any Requirement of Law or any Contractual Obligation of any Loan Party and will not result in, or require, the creation or imposition of any Lien on any of their respective properties or revenues pursuant to any Requirement of Law or any such Contractual Obligation (other than the Liens created by the Security Documents).</w:t>
      </w:r>
    </w:p>
    <w:p>
      <w:pPr>
        <w:pStyle w:val="TextBody"/>
        <w:bidi w:val="0"/>
        <w:spacing w:before="0" w:after="240"/>
        <w:jc w:val="both"/>
        <w:rPr>
          <w:rFonts w:ascii="Times New Roman" w:hAnsi="Times New Roman"/>
          <w:sz w:val="20"/>
        </w:rPr>
      </w:pPr>
      <w:r>
        <w:rPr>
          <w:rFonts w:ascii="Times New Roman" w:hAnsi="Times New Roman"/>
          <w:color w:val="000000"/>
          <w:sz w:val="22"/>
        </w:rPr>
        <w:t>4.6</w:t>
      </w:r>
      <w:r>
        <w:rPr>
          <w:rFonts w:ascii="Times New Roman" w:hAnsi="Times New Roman"/>
          <w:color w:val="000000"/>
          <w:sz w:val="20"/>
          <w:u w:val="single"/>
        </w:rPr>
        <w:t xml:space="preserve"> </w:t>
      </w:r>
      <w:r>
        <w:rPr>
          <w:rFonts w:ascii="Times New Roman" w:hAnsi="Times New Roman"/>
          <w:color w:val="000000"/>
          <w:sz w:val="22"/>
          <w:u w:val="single"/>
        </w:rPr>
        <w:t>Litigation</w:t>
      </w:r>
      <w:r>
        <w:rPr>
          <w:rFonts w:ascii="Times New Roman" w:hAnsi="Times New Roman"/>
          <w:color w:val="000000"/>
          <w:sz w:val="22"/>
        </w:rPr>
        <w:t>. Except as disclosed on Schedule 4.6, no litigation, investigation or proceeding of or before any arbitrator or Governmental Authority is pending or, to the knowledge of the Borrower, 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4.7</w:t>
      </w:r>
      <w:r>
        <w:rPr>
          <w:rFonts w:ascii="Times New Roman" w:hAnsi="Times New Roman"/>
          <w:color w:val="000000"/>
          <w:sz w:val="20"/>
          <w:u w:val="single"/>
        </w:rPr>
        <w:t xml:space="preserve"> </w:t>
      </w:r>
      <w:r>
        <w:rPr>
          <w:rFonts w:ascii="Times New Roman" w:hAnsi="Times New Roman"/>
          <w:color w:val="000000"/>
          <w:sz w:val="22"/>
          <w:u w:val="single"/>
        </w:rPr>
        <w:t>No Default</w:t>
      </w:r>
      <w:r>
        <w:rPr>
          <w:rFonts w:ascii="Times New Roman" w:hAnsi="Times New Roman"/>
          <w:color w:val="000000"/>
          <w:sz w:val="22"/>
        </w:rPr>
        <w:t>. No Default or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4.8</w:t>
      </w:r>
      <w:r>
        <w:rPr>
          <w:rFonts w:ascii="Times New Roman" w:hAnsi="Times New Roman"/>
          <w:color w:val="000000"/>
          <w:sz w:val="20"/>
          <w:u w:val="single"/>
        </w:rPr>
        <w:t xml:space="preserve"> </w:t>
      </w:r>
      <w:r>
        <w:rPr>
          <w:rFonts w:ascii="Times New Roman" w:hAnsi="Times New Roman"/>
          <w:color w:val="000000"/>
          <w:sz w:val="22"/>
          <w:u w:val="single"/>
        </w:rPr>
        <w:t>Ownership of Property; Liens</w:t>
      </w:r>
      <w:r>
        <w:rPr>
          <w:rFonts w:ascii="Times New Roman" w:hAnsi="Times New Roman"/>
          <w:color w:val="000000"/>
          <w:sz w:val="22"/>
        </w:rPr>
        <w:t>. Each Group Member has title in fee simple to, or a valid leasehold interest in, all its material real property, and good title to, or a valid leasehold interest in, all its other property material to the operation of its business except, as to such real property and other property, for minor defects in title that do not interfere in any material respect with its ability to conduct its business as currently conducted or to utilize such properties and assets for their intended purposes, and none of such property is subject to any Lien except as permitted by Section 7.3.</w:t>
      </w:r>
    </w:p>
    <w:p>
      <w:pPr>
        <w:pStyle w:val="TextBody"/>
        <w:bidi w:val="0"/>
        <w:spacing w:before="0" w:after="240"/>
        <w:jc w:val="both"/>
        <w:rPr>
          <w:rFonts w:ascii="Times New Roman" w:hAnsi="Times New Roman"/>
          <w:sz w:val="20"/>
        </w:rPr>
      </w:pPr>
      <w:r>
        <w:rPr>
          <w:rFonts w:ascii="Times New Roman" w:hAnsi="Times New Roman"/>
          <w:color w:val="000000"/>
          <w:sz w:val="22"/>
        </w:rPr>
        <w:t>4.9</w:t>
      </w:r>
      <w:r>
        <w:rPr>
          <w:rFonts w:ascii="Times New Roman" w:hAnsi="Times New Roman"/>
          <w:color w:val="000000"/>
          <w:sz w:val="20"/>
          <w:u w:val="single"/>
        </w:rPr>
        <w:t xml:space="preserve"> </w:t>
      </w:r>
      <w:r>
        <w:rPr>
          <w:rFonts w:ascii="Times New Roman" w:hAnsi="Times New Roman"/>
          <w:color w:val="000000"/>
          <w:sz w:val="22"/>
          <w:u w:val="single"/>
        </w:rPr>
        <w:t>Intellectual Property</w:t>
      </w:r>
      <w:r>
        <w:rPr>
          <w:rFonts w:ascii="Times New Roman" w:hAnsi="Times New Roman"/>
          <w:color w:val="000000"/>
          <w:sz w:val="22"/>
        </w:rPr>
        <w:t>. Except where such failure would not reasonably be expected to have a Material Adverse Effect, each Group Member owns, or is licensed to use, all Intellectual Property necessary for the conduct of its business as currently conducted. No claim has been asserted and is pending by any Person challenging or questioning the use of any Intellectual Property or the validity or effectiveness of any Intellectual Property, nor does the Borrower know of any valid basis for any such claim, and the use of Intellectual Property by each Group Member does not infringe on the rights of any Person, in each case, except as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4.10</w:t>
      </w:r>
      <w:r>
        <w:rPr>
          <w:rFonts w:ascii="Times New Roman" w:hAnsi="Times New Roman"/>
          <w:color w:val="000000"/>
          <w:sz w:val="20"/>
          <w:u w:val="single"/>
        </w:rPr>
        <w:t xml:space="preserve"> </w:t>
      </w:r>
      <w:r>
        <w:rPr>
          <w:rFonts w:ascii="Times New Roman" w:hAnsi="Times New Roman"/>
          <w:color w:val="000000"/>
          <w:sz w:val="22"/>
          <w:u w:val="single"/>
        </w:rPr>
        <w:t>Taxes</w:t>
      </w:r>
      <w:r>
        <w:rPr>
          <w:rFonts w:ascii="Times New Roman" w:hAnsi="Times New Roman"/>
          <w:color w:val="000000"/>
          <w:sz w:val="22"/>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if material, reserves in conformity with GAAP have been provided on the books of the relevant Group Member).</w:t>
      </w:r>
    </w:p>
    <w:p>
      <w:pPr>
        <w:pStyle w:val="TextBody"/>
        <w:bidi w:val="0"/>
        <w:spacing w:before="0" w:after="240"/>
        <w:jc w:val="both"/>
        <w:rPr>
          <w:rFonts w:ascii="Times New Roman" w:hAnsi="Times New Roman"/>
          <w:sz w:val="20"/>
        </w:rPr>
      </w:pPr>
      <w:r>
        <w:rPr>
          <w:rFonts w:ascii="Times New Roman" w:hAnsi="Times New Roman"/>
          <w:color w:val="000000"/>
          <w:sz w:val="22"/>
        </w:rPr>
        <w:t>4.11</w:t>
      </w:r>
      <w:r>
        <w:rPr>
          <w:rFonts w:ascii="Times New Roman" w:hAnsi="Times New Roman"/>
          <w:color w:val="000000"/>
          <w:sz w:val="20"/>
          <w:u w:val="single"/>
        </w:rPr>
        <w:t xml:space="preserve"> </w:t>
      </w:r>
      <w:r>
        <w:rPr>
          <w:rFonts w:ascii="Times New Roman" w:hAnsi="Times New Roman"/>
          <w:color w:val="000000"/>
          <w:sz w:val="22"/>
          <w:u w:val="single"/>
        </w:rPr>
        <w:t>Federal Regulations</w:t>
      </w:r>
      <w:r>
        <w:rPr>
          <w:rFonts w:ascii="Times New Roman" w:hAnsi="Times New Roman"/>
          <w:color w:val="000000"/>
          <w:sz w:val="22"/>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No more than 25% of the assets of the Group Members consist of “margin stock” as so defined. If requested by any Lender or the Administrative Agent, the Borrower will furnish to the Administrative Agent and each Lender a statement to the foregoing effect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conformity with the requirements of FR Form G-3 or FR Form U</w:t>
        <w:noBreakHyphen/>
        <w:t>1, as applicable, referred to in Regulation U.</w:t>
      </w:r>
    </w:p>
    <w:p>
      <w:pPr>
        <w:pStyle w:val="TextBody"/>
        <w:bidi w:val="0"/>
        <w:spacing w:before="0" w:after="240"/>
        <w:jc w:val="both"/>
        <w:rPr>
          <w:rFonts w:ascii="Times New Roman" w:hAnsi="Times New Roman"/>
          <w:sz w:val="20"/>
        </w:rPr>
      </w:pPr>
      <w:r>
        <w:rPr>
          <w:rFonts w:ascii="Times New Roman" w:hAnsi="Times New Roman"/>
          <w:color w:val="000000"/>
          <w:sz w:val="22"/>
        </w:rPr>
        <w:t>4.12</w:t>
      </w:r>
      <w:r>
        <w:rPr>
          <w:rFonts w:ascii="Times New Roman" w:hAnsi="Times New Roman"/>
          <w:color w:val="000000"/>
          <w:sz w:val="20"/>
          <w:u w:val="single"/>
        </w:rPr>
        <w:t xml:space="preserve"> </w:t>
      </w:r>
      <w:r>
        <w:rPr>
          <w:rFonts w:ascii="Times New Roman" w:hAnsi="Times New Roman"/>
          <w:color w:val="000000"/>
          <w:sz w:val="22"/>
          <w:u w:val="single"/>
        </w:rPr>
        <w:t>Labor Matters</w:t>
      </w:r>
      <w:r>
        <w:rPr>
          <w:rFonts w:ascii="Times New Roman" w:hAnsi="Times New Roman"/>
          <w:color w:val="000000"/>
          <w:sz w:val="22"/>
        </w:rPr>
        <w:t>. Except as, in the aggregate, could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pStyle w:val="TextBody"/>
        <w:bidi w:val="0"/>
        <w:spacing w:before="0" w:after="240"/>
        <w:jc w:val="both"/>
        <w:rPr>
          <w:rFonts w:ascii="Times New Roman" w:hAnsi="Times New Roman"/>
          <w:sz w:val="20"/>
        </w:rPr>
      </w:pPr>
      <w:r>
        <w:rPr>
          <w:rFonts w:ascii="Times New Roman" w:hAnsi="Times New Roman"/>
          <w:color w:val="000000"/>
          <w:sz w:val="22"/>
        </w:rPr>
        <w:t>4.13</w:t>
      </w:r>
      <w:r>
        <w:rPr>
          <w:rFonts w:ascii="Times New Roman" w:hAnsi="Times New Roman"/>
          <w:color w:val="000000"/>
          <w:sz w:val="20"/>
          <w:u w:val="single"/>
        </w:rPr>
        <w:t xml:space="preserve"> </w:t>
      </w:r>
      <w:r>
        <w:rPr>
          <w:rFonts w:ascii="Times New Roman" w:hAnsi="Times New Roman"/>
          <w:color w:val="000000"/>
          <w:sz w:val="22"/>
          <w:u w:val="single"/>
        </w:rPr>
        <w:t>ERISA</w:t>
      </w:r>
      <w:r>
        <w:rPr>
          <w:rFonts w:ascii="Times New Roman" w:hAnsi="Times New Roman"/>
          <w:color w:val="000000"/>
          <w:sz w:val="22"/>
        </w:rPr>
        <w:t>. (a) Except as could not reasonably be expected, individually or in the aggregate, to have a Material Adverse Effect: (i) each Group Member and each of their respective ERISA Affiliates is in compliance with the terms of each Plan and with the applicable provisions of ERISA and the Code and the regulations and published interpretations thereunder relating to the Plan; (ii) no ERISA Event (excluding any Foreign Plan Event) has occurred or is reasonably expected to occur; and (iii) all amounts required by applicable law with respect to, or by the terms of, any retiree welfare benefit arrangement maintained by any Group Member or any ERISA Affiliate or to which any Group Member or any ERISA Affiliate has an obligation to contribute have been accrued in accordance with Accounting Standards Codification Topic 715-60, or subsequent recodification thereof, as applicable. The present value of all accumulated benefit obligations under each Pension Plan (based on the assumptions used for purposes of Accounting Standards Codification Topic 715-30, or subsequent recodification thereof, as applicable) did not, as of the date of the most recent financial statements reflecting such amounts, exceed by more than a material amount the fair market value of the assets of such Pension Plan allocable to such accrued benefits, and the present value of all accumulated benefit obligations of all underfunded Pension Plans (based on the assumptions used for purposes of Accounting Standards Topic 715-30, or subsequent recodification thereof, as applicable) did not, as of the date of the most recent financial statements reflecting such amounts, exceed by more than a material amount the fair market value of the assets of all such underfunded Pension Plans.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Except as, in the aggregate, could not reasonably be expected to have a Material Adverse Effect, no Foreign Plan Event has occurred or is reasonably expected to occur.</w:t>
      </w:r>
    </w:p>
    <w:p>
      <w:pPr>
        <w:pStyle w:val="TextBody"/>
        <w:bidi w:val="0"/>
        <w:spacing w:before="0" w:after="240"/>
        <w:jc w:val="both"/>
        <w:rPr>
          <w:rFonts w:ascii="Times New Roman" w:hAnsi="Times New Roman"/>
          <w:sz w:val="20"/>
        </w:rPr>
      </w:pPr>
      <w:r>
        <w:rPr>
          <w:rFonts w:ascii="Times New Roman" w:hAnsi="Times New Roman"/>
          <w:color w:val="000000"/>
          <w:sz w:val="22"/>
        </w:rPr>
        <w:t>4.14</w:t>
      </w:r>
      <w:r>
        <w:rPr>
          <w:rFonts w:ascii="Times New Roman" w:hAnsi="Times New Roman"/>
          <w:color w:val="000000"/>
          <w:sz w:val="20"/>
          <w:u w:val="single"/>
        </w:rPr>
        <w:t xml:space="preserve"> </w:t>
      </w:r>
      <w:r>
        <w:rPr>
          <w:rFonts w:ascii="Times New Roman" w:hAnsi="Times New Roman"/>
          <w:color w:val="000000"/>
          <w:sz w:val="22"/>
          <w:u w:val="single"/>
        </w:rPr>
        <w:t>Investment Company Act; Other Regulations</w:t>
      </w:r>
      <w:r>
        <w:rPr>
          <w:rFonts w:ascii="Times New Roman" w:hAnsi="Times New Roman"/>
          <w:color w:val="000000"/>
          <w:sz w:val="22"/>
        </w:rPr>
        <w:t>. 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w:t>
      </w:r>
    </w:p>
    <w:p>
      <w:pPr>
        <w:pStyle w:val="TextBody"/>
        <w:bidi w:val="0"/>
        <w:spacing w:before="0" w:after="240"/>
        <w:jc w:val="both"/>
        <w:rPr>
          <w:rFonts w:ascii="Times New Roman" w:hAnsi="Times New Roman"/>
          <w:sz w:val="20"/>
        </w:rPr>
      </w:pPr>
      <w:r>
        <w:rPr>
          <w:rFonts w:ascii="Times New Roman" w:hAnsi="Times New Roman"/>
          <w:color w:val="000000"/>
          <w:sz w:val="22"/>
        </w:rPr>
        <w:t>4.15</w:t>
      </w:r>
      <w:r>
        <w:rPr>
          <w:rFonts w:ascii="Times New Roman" w:hAnsi="Times New Roman"/>
          <w:color w:val="000000"/>
          <w:sz w:val="20"/>
          <w:u w:val="single"/>
        </w:rPr>
        <w:t xml:space="preserve"> </w:t>
      </w:r>
      <w:r>
        <w:rPr>
          <w:rFonts w:ascii="Times New Roman" w:hAnsi="Times New Roman"/>
          <w:color w:val="000000"/>
          <w:sz w:val="22"/>
          <w:u w:val="single"/>
        </w:rPr>
        <w:t>Subsidiaries</w:t>
      </w:r>
      <w:r>
        <w:rPr>
          <w:rFonts w:ascii="Times New Roman" w:hAnsi="Times New Roman"/>
          <w:color w:val="000000"/>
          <w:sz w:val="22"/>
        </w:rPr>
        <w:t>. Except as disclosed to the Administrative Agent by the Borrower in writing from time to time on or after the Closing Date, (a) Schedule 4.15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the Borrower or any Subsidiary, except as created by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4.16</w:t>
      </w:r>
      <w:r>
        <w:rPr>
          <w:rFonts w:ascii="Times New Roman" w:hAnsi="Times New Roman"/>
          <w:color w:val="000000"/>
          <w:sz w:val="20"/>
          <w:u w:val="single"/>
        </w:rPr>
        <w:t xml:space="preserve"> </w:t>
      </w:r>
      <w:r>
        <w:rPr>
          <w:rFonts w:ascii="Times New Roman" w:hAnsi="Times New Roman"/>
          <w:color w:val="000000"/>
          <w:sz w:val="22"/>
          <w:u w:val="single"/>
        </w:rPr>
        <w:t>Use of Proceeds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The proceeds of the Tranche A Term Loans shall be used to repay the existing tranche A term loans and the costs and expenses related to closing of the Tenth Amendment. The proceeds of the Revolving Loans and the Swingline Loans, and the Letters of Credit, shall be used for general corporate purposes. The proceeds of (i) the 2026 Incremental Term Loans shall be used for general corporate purposes, (ii) the 2026 Delayed Draw Term Loans shall be used to fund a portion of the Talkspace Acquisition and to pay fees and expenses in connection therewith</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(iii</w:t>
      </w:r>
      <w:r>
        <w:rPr>
          <w:rFonts w:ascii="Times New Roman" w:hAnsi="Times New Roman"/>
          <w:color w:val="0000FF"/>
          <w:sz w:val="22"/>
          <w:u w:val="single"/>
        </w:rPr>
        <w:t>) the 2026-2 Delayed Draw Term</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Loans shall be used for general corporate purposes, including the refinancing of existing indebtedness and to pay fees and expenses in connection therewith and (iv</w:t>
      </w:r>
      <w:r>
        <w:rPr>
          <w:rFonts w:ascii="Times New Roman" w:hAnsi="Times New Roman"/>
          <w:color w:val="000000"/>
          <w:sz w:val="22"/>
        </w:rPr>
        <w:t>) any other the Incremental Term Loans shall be used for general corporate purposes.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pStyle w:val="TextBody"/>
        <w:bidi w:val="0"/>
        <w:spacing w:before="0" w:after="240"/>
        <w:jc w:val="both"/>
        <w:rPr>
          <w:rFonts w:ascii="Times New Roman" w:hAnsi="Times New Roman"/>
          <w:sz w:val="20"/>
        </w:rPr>
      </w:pPr>
      <w:r>
        <w:rPr>
          <w:rFonts w:ascii="Times New Roman" w:hAnsi="Times New Roman"/>
          <w:color w:val="000000"/>
          <w:sz w:val="22"/>
        </w:rPr>
        <w:t>4.17</w:t>
      </w:r>
      <w:r>
        <w:rPr>
          <w:rFonts w:ascii="Times New Roman" w:hAnsi="Times New Roman"/>
          <w:color w:val="000000"/>
          <w:sz w:val="20"/>
          <w:u w:val="single"/>
        </w:rPr>
        <w:t xml:space="preserve"> </w:t>
      </w:r>
      <w:r>
        <w:rPr>
          <w:rFonts w:ascii="Times New Roman" w:hAnsi="Times New Roman"/>
          <w:color w:val="000000"/>
          <w:sz w:val="22"/>
          <w:u w:val="single"/>
        </w:rPr>
        <w:t>Environmental Matters</w:t>
      </w:r>
      <w:r>
        <w:rPr>
          <w:rFonts w:ascii="Times New Roman" w:hAnsi="Times New Roman"/>
          <w:color w:val="000000"/>
          <w:sz w:val="22"/>
        </w:rPr>
        <w:t>. Except as, in the aggregate,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(a) the facilities and properties owned, leased or operated by any Group Member (the “</w:t>
      </w:r>
      <w:r>
        <w:rPr>
          <w:rFonts w:ascii="Times New Roman" w:hAnsi="Times New Roman"/>
          <w:color w:val="000000"/>
          <w:sz w:val="22"/>
          <w:u w:val="single"/>
        </w:rPr>
        <w:t>Properties</w:t>
      </w:r>
      <w:r>
        <w:rPr>
          <w:rFonts w:ascii="Times New Roman" w:hAnsi="Times New Roman"/>
          <w:color w:val="000000"/>
          <w:sz w:val="20"/>
        </w:rPr>
        <w:t>”</w:t>
      </w:r>
      <w:r>
        <w:rPr>
          <w:rFonts w:ascii="Times New Roman" w:hAnsi="Times New Roman"/>
          <w:color w:val="000000"/>
          <w:sz w:val="22"/>
        </w:rPr>
        <w:t>) do not contain, and have not previously contained, any Materials of Environmental Concern in amounts or concentrations or under circumstances that constitute or constituted a violation of, or could give rise to liability under, any Environmental Law;</w:t>
      </w:r>
    </w:p>
    <w:p>
      <w:pPr>
        <w:pStyle w:val="TextBody"/>
        <w:bidi w:val="0"/>
        <w:spacing w:before="0" w:after="240"/>
        <w:jc w:val="both"/>
        <w:rPr>
          <w:rFonts w:ascii="Times New Roman" w:hAnsi="Times New Roman"/>
          <w:sz w:val="20"/>
        </w:rPr>
      </w:pPr>
      <w:r>
        <w:rPr>
          <w:rFonts w:ascii="Times New Roman" w:hAnsi="Times New Roman"/>
          <w:color w:val="000000"/>
          <w:sz w:val="22"/>
        </w:rPr>
        <w:t>(b) 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hAnsi="Times New Roman"/>
          <w:color w:val="000000"/>
          <w:sz w:val="22"/>
          <w:u w:val="single"/>
        </w:rPr>
        <w:t>Business</w:t>
      </w:r>
      <w:r>
        <w:rPr>
          <w:rFonts w:ascii="Times New Roman" w:hAnsi="Times New Roman"/>
          <w:color w:val="000000"/>
          <w:sz w:val="20"/>
        </w:rPr>
        <w:t>”</w:t>
      </w:r>
      <w:r>
        <w:rPr>
          <w:rFonts w:ascii="Times New Roman" w:hAnsi="Times New Roman"/>
          <w:color w:val="000000"/>
          <w:sz w:val="22"/>
        </w:rPr>
        <w:t>), nor does the Borrower have knowledge or reason to believe that any such notice will be received or is being threatened;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Materials of Environmental Concern have not been transported or disposed of from the Properties in violation of, or in a manner or to a location that could give rise to liability under, any Environmental Law, nor have any Materials of Environmental Concern been generated, treated, stored or disposed of at, on or under any of the Properties in violation of, or in a manner that could give rise to liability under, any applicable Environmental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judicial proceeding or governmental or administrative action is pending or, to the knowledge of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there has been no release or threat of release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no Group Member has assumed any liability of any other Person under Environmental Laws.</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4.18</w:t>
      </w:r>
      <w:r>
        <w:rPr>
          <w:rFonts w:ascii="Times New Roman" w:hAnsi="Times New Roman"/>
          <w:color w:val="000000"/>
          <w:sz w:val="20"/>
          <w:u w:val="single"/>
        </w:rPr>
        <w:t xml:space="preserve"> </w:t>
      </w:r>
      <w:r>
        <w:rPr>
          <w:rFonts w:ascii="Times New Roman" w:hAnsi="Times New Roman"/>
          <w:color w:val="000000"/>
          <w:sz w:val="22"/>
          <w:u w:val="single"/>
        </w:rPr>
        <w:t>Accuracy of Information, etc</w:t>
      </w:r>
      <w:r>
        <w:rPr>
          <w:rFonts w:ascii="Times New Roman" w:hAnsi="Times New Roman"/>
          <w:color w:val="000000"/>
          <w:sz w:val="22"/>
        </w:rPr>
        <w:t>.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4.19</w:t>
      </w:r>
      <w:r>
        <w:rPr>
          <w:rFonts w:ascii="Times New Roman" w:hAnsi="Times New Roman"/>
          <w:color w:val="000000"/>
          <w:sz w:val="20"/>
          <w:u w:val="single"/>
        </w:rPr>
        <w:t xml:space="preserve"> </w:t>
      </w:r>
      <w:r>
        <w:rPr>
          <w:rFonts w:ascii="Times New Roman" w:hAnsi="Times New Roman"/>
          <w:color w:val="000000"/>
          <w:sz w:val="22"/>
          <w:u w:val="single"/>
        </w:rPr>
        <w:t>Security Documents</w:t>
      </w:r>
      <w:r>
        <w:rPr>
          <w:rFonts w:ascii="Times New Roman" w:hAnsi="Times New Roman"/>
          <w:color w:val="000000"/>
          <w:sz w:val="22"/>
        </w:rPr>
        <w:t>. The Collateral Agreement is effective to create in favor of the Collateral Agent, for the benefit of the Secured Parties, a legal, valid and enforceable security interest in the Collateral described therein and proceeds thereof. In the case of the Pledged Stock (as defined in the Collateral Agreement), when stock certificates representing such Pledged Stock (to the extent constituting “certificated securities” under Section 8-102(4) of the New York UCC) are delivered to the Collateral Agent (together with a properly completed and signed stock power or endorsement), and in the case of the other Collateral described in the Collateral Agreement, when financing statements and other filings specified on Schedule 4.19(a) in appropriate form are filed in the offices specified on Schedule 4.19(a) and the filing of any short-form intellectual property security agreements with the United States Patent and Trademark Office and United States Copyright Office, as applicable, the Collateral Agreement shall constitute a fully perfected Lien on, and security interest in, all right, title and interest of the applicable Loan Parties in such Collateral and the proceeds thereof, as security for the Obligations (as defined in the Collateral Agreement), in each case prior and superior in right to any other Person (except, in the case of Collateral other than Pledged Stock, Liens permitted by Section 7.3).</w:t>
      </w:r>
    </w:p>
    <w:p>
      <w:pPr>
        <w:pStyle w:val="TextBody"/>
        <w:bidi w:val="0"/>
        <w:spacing w:before="0" w:after="240"/>
        <w:jc w:val="both"/>
        <w:rPr>
          <w:rFonts w:ascii="Times New Roman" w:hAnsi="Times New Roman"/>
          <w:sz w:val="20"/>
        </w:rPr>
      </w:pPr>
      <w:r>
        <w:rPr>
          <w:rFonts w:ascii="Times New Roman" w:hAnsi="Times New Roman"/>
          <w:color w:val="000000"/>
          <w:sz w:val="22"/>
        </w:rPr>
        <w:t>4.20</w:t>
      </w:r>
      <w:r>
        <w:rPr>
          <w:rFonts w:ascii="Times New Roman" w:hAnsi="Times New Roman"/>
          <w:color w:val="000000"/>
          <w:sz w:val="20"/>
          <w:u w:val="single"/>
        </w:rPr>
        <w:t xml:space="preserve"> </w:t>
      </w:r>
      <w:r>
        <w:rPr>
          <w:rFonts w:ascii="Times New Roman" w:hAnsi="Times New Roman"/>
          <w:color w:val="000000"/>
          <w:sz w:val="22"/>
          <w:u w:val="single"/>
        </w:rPr>
        <w:t>Solvency</w:t>
      </w:r>
      <w:r>
        <w:rPr>
          <w:rFonts w:ascii="Times New Roman" w:hAnsi="Times New Roman"/>
          <w:color w:val="000000"/>
          <w:sz w:val="22"/>
        </w:rPr>
        <w:t>. The Borrower and its Subsidiaries are, and after giving effect to the 2024 Transactions will be and will continue to be, Solvent on a consolidated basis.</w:t>
      </w:r>
    </w:p>
    <w:p>
      <w:pPr>
        <w:pStyle w:val="TextBody"/>
        <w:bidi w:val="0"/>
        <w:spacing w:before="0" w:after="240"/>
        <w:jc w:val="both"/>
        <w:rPr>
          <w:rFonts w:ascii="Times New Roman" w:hAnsi="Times New Roman"/>
          <w:sz w:val="20"/>
        </w:rPr>
      </w:pPr>
      <w:r>
        <w:rPr>
          <w:rFonts w:ascii="Times New Roman" w:hAnsi="Times New Roman"/>
          <w:color w:val="000000"/>
          <w:sz w:val="22"/>
        </w:rPr>
        <w:t>4.21</w:t>
      </w:r>
      <w:r>
        <w:rPr>
          <w:rFonts w:ascii="Times New Roman" w:hAnsi="Times New Roman"/>
          <w:color w:val="000000"/>
          <w:sz w:val="20"/>
          <w:u w:val="single"/>
        </w:rPr>
        <w:t xml:space="preserve"> </w:t>
      </w:r>
      <w:r>
        <w:rPr>
          <w:rFonts w:ascii="Times New Roman" w:hAnsi="Times New Roman"/>
          <w:color w:val="000000"/>
          <w:sz w:val="22"/>
          <w:u w:val="single"/>
        </w:rPr>
        <w:t>Senior Indebtedness</w:t>
      </w:r>
      <w:r>
        <w:rPr>
          <w:rFonts w:ascii="Times New Roman" w:hAnsi="Times New Roman"/>
          <w:color w:val="000000"/>
          <w:sz w:val="22"/>
        </w:rPr>
        <w:t>. The Obligations constitute “Senior Indebtedness” (or similar definition) of the Borrower under its Subordinated Indebtedness (if any).</w:t>
      </w:r>
    </w:p>
    <w:p>
      <w:pPr>
        <w:pStyle w:val="TextBody"/>
        <w:bidi w:val="0"/>
        <w:spacing w:before="0" w:after="240"/>
        <w:jc w:val="both"/>
        <w:rPr>
          <w:rFonts w:ascii="Times New Roman" w:hAnsi="Times New Roman"/>
          <w:sz w:val="20"/>
        </w:rPr>
      </w:pPr>
      <w:r>
        <w:rPr>
          <w:rFonts w:ascii="Times New Roman" w:hAnsi="Times New Roman"/>
          <w:color w:val="000000"/>
          <w:sz w:val="22"/>
        </w:rPr>
        <w:t>4.22</w:t>
      </w:r>
      <w:r>
        <w:rPr>
          <w:rFonts w:ascii="Times New Roman" w:hAnsi="Times New Roman"/>
          <w:color w:val="000000"/>
          <w:sz w:val="20"/>
          <w:u w:val="single"/>
        </w:rPr>
        <w:t xml:space="preserve"> </w:t>
      </w:r>
      <w:r>
        <w:rPr>
          <w:rFonts w:ascii="Times New Roman" w:hAnsi="Times New Roman"/>
          <w:color w:val="000000"/>
          <w:sz w:val="22"/>
          <w:u w:val="single"/>
        </w:rPr>
        <w:t>Anti-Corruption Laws and Sanctions</w:t>
      </w:r>
      <w:r>
        <w:rPr>
          <w:rFonts w:ascii="Times New Roman" w:hAnsi="Times New Roman"/>
          <w:color w:val="000000"/>
          <w:sz w:val="22"/>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directors, officers and employees and to the knowledge of the Borrower its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Loan or Letter of Credit, use of proceeds or other transaction contemplated by this Agreement will violate Anti-Corruption Laws or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4.23</w:t>
      </w:r>
      <w:r>
        <w:rPr>
          <w:rFonts w:ascii="Times New Roman" w:hAnsi="Times New Roman"/>
          <w:color w:val="000000"/>
          <w:sz w:val="20"/>
          <w:u w:val="single"/>
        </w:rPr>
        <w:t xml:space="preserve"> </w:t>
      </w:r>
      <w:r>
        <w:rPr>
          <w:rFonts w:ascii="Times New Roman" w:hAnsi="Times New Roman"/>
          <w:color w:val="000000"/>
          <w:sz w:val="22"/>
          <w:u w:val="single"/>
        </w:rPr>
        <w:t>Affected Financial Institutions</w:t>
      </w:r>
      <w:r>
        <w:rPr>
          <w:rFonts w:ascii="Times New Roman" w:hAnsi="Times New Roman"/>
          <w:color w:val="000000"/>
          <w:sz w:val="22"/>
        </w:rPr>
        <w:t>. No Loan Party is an Affected Financial Institution.</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5.</w:t>
      </w:r>
      <w:r>
        <w:rPr>
          <w:rFonts w:ascii="Times New Roman" w:hAnsi="Times New Roman"/>
          <w:color w:val="000000"/>
          <w:sz w:val="20"/>
        </w:rPr>
        <w:t xml:space="preserve"> </w:t>
      </w:r>
      <w:r>
        <w:rPr>
          <w:rFonts w:ascii="Times New Roman" w:hAnsi="Times New Roman"/>
          <w:color w:val="000000"/>
          <w:sz w:val="22"/>
        </w:rPr>
        <w:t>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5.1</w:t>
      </w:r>
      <w:r>
        <w:rPr>
          <w:rFonts w:ascii="Times New Roman" w:hAnsi="Times New Roman"/>
          <w:color w:val="000000"/>
          <w:sz w:val="20"/>
          <w:u w:val="single"/>
        </w:rPr>
        <w:t xml:space="preserve">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5.2</w:t>
      </w:r>
      <w:r>
        <w:rPr>
          <w:rFonts w:ascii="Times New Roman" w:hAnsi="Times New Roman"/>
          <w:color w:val="000000"/>
          <w:sz w:val="20"/>
          <w:u w:val="single"/>
        </w:rPr>
        <w:t xml:space="preserve"> </w:t>
      </w:r>
      <w:r>
        <w:rPr>
          <w:rFonts w:ascii="Times New Roman" w:hAnsi="Times New Roman"/>
          <w:color w:val="000000"/>
          <w:sz w:val="22"/>
          <w:u w:val="single"/>
        </w:rPr>
        <w:t>Conditions to Each Extension of Credit</w:t>
      </w:r>
      <w:r>
        <w:rPr>
          <w:rFonts w:ascii="Times New Roman" w:hAnsi="Times New Roman"/>
          <w:color w:val="000000"/>
          <w:sz w:val="22"/>
        </w:rPr>
        <w:t>. The agreement of each Lender to make any extension of credit requested to be made by it on any date (including any Increased Facility Activation Date) is subject to the satisfaction of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Each of the representations and warranties made by any Loan Party in or pursuant to the Loan Documents shall be true and correct in all material respects on and as of such date as if made on and as of such date, except to the extent such representations and warranties expressly relate to an earlier date, in which case such representations and warranties shall be true and correct in all material respects as of such earlier date (except that any representation and warranty that is qualified as to “materiality” or “Material Adverse Effect” shall be true and correct in all respects).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Default</w:t>
      </w:r>
      <w:r>
        <w:rPr>
          <w:rFonts w:ascii="Times New Roman" w:hAnsi="Times New Roman"/>
          <w:color w:val="000000"/>
          <w:sz w:val="22"/>
        </w:rPr>
        <w:t>. No Default or Event of Default shall have occurred and be continuing on such date or after giving effect to the extensions of credit requested to be made on such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2026 Delayed Draw Term Loans</w:t>
      </w:r>
      <w:r>
        <w:rPr>
          <w:rFonts w:ascii="Times New Roman" w:hAnsi="Times New Roman"/>
          <w:color w:val="000000"/>
          <w:sz w:val="22"/>
        </w:rPr>
        <w:t>. Sole</w:t>
      </w:r>
      <w:r>
        <w:rPr>
          <w:rFonts w:ascii="Times New Roman" w:hAnsi="Times New Roman"/>
          <w:color w:val="0000FF"/>
          <w:sz w:val="22"/>
          <w:u w:val="single"/>
        </w:rPr>
        <w:t>l</w:t>
      </w:r>
      <w:r>
        <w:rPr>
          <w:rFonts w:ascii="Times New Roman" w:hAnsi="Times New Roman"/>
          <w:color w:val="000000"/>
          <w:sz w:val="22"/>
        </w:rPr>
        <w:t>y with respect to the Borrowing of the 2026 Delayed Draw Term Loans, the Administrative Agent shall have received (i) a certificate of a Responsible Officer of the Borrower (x) confirming compliance with the conditions set forth in paragraphs (a) and (b) of this Section 5.2 and (y) certifying that the Talkspace Acquisition Closing Date has occurred or is occurring concurrently with the Borrowing of the 2026 Delayed Draw Term Loans and (iii) a solvency certificate from the chief financial officer of the Borrower, in form and substance reasonably acceptable to the Administrative Agent, certifying that the Borrower and its Subsidiaries, on a consolidated basis after giving effect to the incurrence of the 2026 Delayed Draw Term Loans, are Solvent.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(d)</w:t>
      </w:r>
      <w:r>
        <w:rPr>
          <w:rFonts w:ascii="Times New Roman" w:hAnsi="Times New Roman"/>
          <w:color w:val="000000"/>
          <w:sz w:val="20"/>
        </w:rPr>
        <w:t xml:space="preserve"> </w:t>
      </w:r>
      <w:r>
        <w:rPr>
          <w:rFonts w:ascii="Times New Roman" w:hAnsi="Times New Roman"/>
          <w:color w:val="0000FF"/>
          <w:sz w:val="22"/>
          <w:u w:val="single"/>
        </w:rPr>
        <w:t>2026-2 Delayed Draw Term Loans. Solely with respect to the Borrowing of the 2026-2 Delayed Draw Term Loans, the Administrative Agent shall have received (i) a certificate of a Responsible Officer of the Borrower confirming compliance with the conditions set forth in paragraphs (a) and (b) of this Section 5.2 and (ii) a solvency certificate from the chief financial officer of the Borrower, in form and substance reasonably acceptable to the Administrative Agent, certifying that the Borrower and its Subsidiaries, on a consolidated basis after giving effect to the incurrence of the 2026-2 Delayed Draw Term Loans, are Solvent.</w:t>
      </w:r>
      <w:r>
        <w:rPr>
          <w:rFonts w:ascii="Times New Roman" w:hAnsi="Times New Roman"/>
          <w:color w:val="0000FF"/>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borrowing by and issuance of a Letter of Credit on behalf of the Borrower hereunder shall constitute a representation and warranty by the Borrower as of the date of such extension of credit that the conditions contained in this Section 5.2 have been satisfied.</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6.</w:t>
      </w:r>
      <w:r>
        <w:rPr>
          <w:rFonts w:ascii="Times New Roman" w:hAnsi="Times New Roman"/>
          <w:color w:val="000000"/>
          <w:sz w:val="20"/>
        </w:rPr>
        <w:t xml:space="preserve"> </w:t>
      </w:r>
      <w:r>
        <w:rPr>
          <w:rFonts w:ascii="Times New Roman" w:hAnsi="Times New Roman"/>
          <w:color w:val="000000"/>
          <w:sz w:val="22"/>
        </w:rPr>
        <w:t>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agrees that, so long as the Commitments remain in effect, any Letter of Credit remains outstanding or any Loan or other amount is owing to any Lender or the Administrative Agent hereunder, the Borrower shall and shall cause each of its Subsidiaries to:</w:t>
      </w:r>
    </w:p>
    <w:p>
      <w:pPr>
        <w:pStyle w:val="TextBody"/>
        <w:bidi w:val="0"/>
        <w:spacing w:before="0" w:after="240"/>
        <w:jc w:val="both"/>
        <w:rPr>
          <w:rFonts w:ascii="Times New Roman" w:hAnsi="Times New Roman"/>
          <w:sz w:val="20"/>
        </w:rPr>
      </w:pPr>
      <w:r>
        <w:rPr>
          <w:rFonts w:ascii="Times New Roman" w:hAnsi="Times New Roman"/>
          <w:color w:val="000000"/>
          <w:sz w:val="22"/>
        </w:rPr>
        <w:t>6.1</w:t>
      </w:r>
      <w:r>
        <w:rPr>
          <w:rFonts w:ascii="Times New Roman" w:hAnsi="Times New Roman"/>
          <w:color w:val="000000"/>
          <w:sz w:val="20"/>
          <w:u w:val="single"/>
        </w:rPr>
        <w:t xml:space="preserve"> </w:t>
      </w:r>
      <w:r>
        <w:rPr>
          <w:rFonts w:ascii="Times New Roman" w:hAnsi="Times New Roman"/>
          <w:color w:val="000000"/>
          <w:sz w:val="22"/>
          <w:u w:val="single"/>
        </w:rPr>
        <w:t>Financial Statements</w:t>
      </w:r>
      <w:r>
        <w:rPr>
          <w:rFonts w:ascii="Times New Roman" w:hAnsi="Times New Roman"/>
          <w:color w:val="000000"/>
          <w:sz w:val="22"/>
        </w:rPr>
        <w:t>. Furnish to the Administrative Agent and each Lender through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as soon as available, but in any event within 90 days after the end of each fiscal year of the Borrower, a copy of the audited consolidated balance sheet of the Borrower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by PricewaterhouseCoopers or other independent certified public accountants of nationally recognized standing;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soon as available, but in any event not later than 45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w:t>
        <w:noBreakHyphen/>
        <w:t>end audit adjustments);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pStyle w:val="TextBody"/>
        <w:bidi w:val="0"/>
        <w:spacing w:before="0" w:after="240"/>
        <w:jc w:val="both"/>
        <w:rPr>
          <w:rFonts w:ascii="Times New Roman" w:hAnsi="Times New Roman"/>
          <w:sz w:val="20"/>
        </w:rPr>
      </w:pPr>
      <w:r>
        <w:rPr>
          <w:rFonts w:ascii="Times New Roman" w:hAnsi="Times New Roman"/>
          <w:color w:val="000000"/>
          <w:sz w:val="22"/>
        </w:rPr>
        <w:t>6.2</w:t>
      </w:r>
      <w:r>
        <w:rPr>
          <w:rFonts w:ascii="Times New Roman" w:hAnsi="Times New Roman"/>
          <w:color w:val="000000"/>
          <w:sz w:val="20"/>
          <w:u w:val="single"/>
        </w:rPr>
        <w:t xml:space="preserve"> </w:t>
      </w:r>
      <w:r>
        <w:rPr>
          <w:rFonts w:ascii="Times New Roman" w:hAnsi="Times New Roman"/>
          <w:color w:val="000000"/>
          <w:sz w:val="22"/>
          <w:u w:val="single"/>
        </w:rPr>
        <w:t>Certificates; Other Information</w:t>
      </w:r>
      <w:r>
        <w:rPr>
          <w:rFonts w:ascii="Times New Roman" w:hAnsi="Times New Roman"/>
          <w:color w:val="000000"/>
          <w:sz w:val="22"/>
        </w:rPr>
        <w:t>. Furnish to the Administrative Agent and each Lender (or, in the case of clause (g), to the relevant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concurrently with the delivery of the financial statements referred to in Section 6.1(a), a certificate of the independent certified public accountants reporting on such financial statements stating that nothing has come to their attention to cause them to believe that any Default existed on the date of such statement, except as specified in such certificate, and confirming the calculations set forth in the Compliance Certificate delivered simultaneously therewith pursuant to clause 6.2(b);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concurrently with the delivery of any financial statements pursuant to Section 6.1, (i) a certificate of a Responsible Officer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with the provisions of this Agreement referred to therein as of the last day of the fiscal quarter or fiscal year of the Borrower, as the case may be, and (y) to the extent not previously disclosed to the Administrative Agent, (1) a description of any change in the jurisdiction of organization of any Loan Party, (2) a list of any material Intellectual Property registrations or applications acquired by the Borrower and any Secured Guarantor and (3) a description of any Person that has become a Group Member, in each case since the date of the most recent report delivered pursuant to this clause (y) (or, in the case of the first such report so delivered, since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(c) as soon as available, and in any event no later than 60 days after the end of each fiscal year of the Borrower, a detailed consolidated budget for the following fiscal year (including a projected consolidated balance sheet of the Borrower and its Subsidiaries as of the end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following fiscal year, the related consolidated statements of projected cash flow and projected income and a description of the underlying assumptions applicable thereto), and, as soon as available, significant revisions, if any, of such budget and projections with respect to such fiscal year (collectively, the “</w:t>
      </w:r>
      <w:r>
        <w:rPr>
          <w:rFonts w:ascii="Times New Roman" w:hAnsi="Times New Roman"/>
          <w:color w:val="000000"/>
          <w:sz w:val="22"/>
          <w:u w:val="single"/>
        </w:rPr>
        <w:t>Projections</w:t>
      </w:r>
      <w:r>
        <w:rPr>
          <w:rFonts w:ascii="Times New Roman" w:hAnsi="Times New Roman"/>
          <w:color w:val="000000"/>
          <w:sz w:val="20"/>
        </w:rPr>
        <w:t>”</w:t>
      </w:r>
      <w:r>
        <w:rPr>
          <w:rFonts w:ascii="Times New Roman" w:hAnsi="Times New Roman"/>
          <w:color w:val="000000"/>
          <w:sz w:val="22"/>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later than 10 Business Days prior to the effectiveness thereof, copies of substantially final drafts of any proposed amendment, supplement, waiver or other modification with respect to the 2020 Indenture, the 2021 Indenture or the 2024 Indenture;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within five days after the same are sent, copies of all financial statements and reports that the Borrower sends to the holders of any class of its debt securities or public equity securities and, within five days after the same are filed, copies of all financial statements and reports that the Borrower may make to, or file with, the SEC;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promptly following receipt thereof, copies of (i) any documents described in Section 101(k) of ERISA that any Group Member or any ERISA Affiliate may request with respect to any Multiemployer Plan and (ii) any notices described in Section 101(l) of ERISA that any Group Member or any ERISA Affiliate may request with respect to any Multiemployer Plan; </w:t>
      </w:r>
      <w:r>
        <w:rPr>
          <w:rFonts w:ascii="Times New Roman" w:hAnsi="Times New Roman"/>
          <w:color w:val="000000"/>
          <w:sz w:val="22"/>
          <w:u w:val="single"/>
        </w:rPr>
        <w:t>provided</w:t>
      </w:r>
      <w:r>
        <w:rPr>
          <w:rFonts w:ascii="Times New Roman" w:hAnsi="Times New Roman"/>
          <w:color w:val="000000"/>
          <w:sz w:val="22"/>
        </w:rPr>
        <w:t>, that if the relevant Group Member or ERISA Affiliate has not requested such documents or notices from the administrator or sponsor of the applicable Multiemployer Plan, then, upon reasonable request of the Administrative Agent, such Group Member or the ERISA Affiliate shall promptly make a request for such documents or notices from such administrator or sponsor and the Borrower shall provide copies of such documents and notices promptly after receipt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promptly, such additional financial and other information as any Lender may from time to time reasonably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to the extent that the Borrower qualifies as a “legal entity customer” under the Beneficial Ownership Regulation or otherwise becomes subject to the Beneficial Ownership Regulation, in each case, at any time after the Sixth Amendment Effective Date, (x) provide such information and documentation for purposes of compliance with the Beneficial Ownership Regulation directly to the Lenders and (y) promptly provide a representation and warranty to the Lenders that the information included in any Beneficial Ownership Certifications delivered pursuant to clause (x) above is true and correct in all material respects as of the date of its delivery;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prompt notice of any change in the information provided in any Beneficial Ownership Certification delivered pursuant to clause (h) above that would result in a change to the list of beneficial owners identified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 required to be delivered pursuant to clauses 6.1(a), 6.1(b) and 6.2(e) above shall be deemed to have been delivered on the date on which the Borrower provides notice to the Administrative Agent that such information has been filed with the SEC and is available at www.sec.gov. Such notice may be included in a certificate delivered pursuant to clause 6.2(a).</w:t>
      </w:r>
    </w:p>
    <w:p>
      <w:pPr>
        <w:pStyle w:val="TextBody"/>
        <w:bidi w:val="0"/>
        <w:spacing w:before="0" w:after="240"/>
        <w:jc w:val="both"/>
        <w:rPr>
          <w:rFonts w:ascii="Times New Roman" w:hAnsi="Times New Roman"/>
          <w:sz w:val="20"/>
        </w:rPr>
      </w:pPr>
      <w:r>
        <w:rPr>
          <w:rFonts w:ascii="Times New Roman" w:hAnsi="Times New Roman"/>
          <w:color w:val="000000"/>
          <w:sz w:val="22"/>
        </w:rPr>
        <w:t>6.3</w:t>
      </w:r>
      <w:r>
        <w:rPr>
          <w:rFonts w:ascii="Times New Roman" w:hAnsi="Times New Roman"/>
          <w:color w:val="000000"/>
          <w:sz w:val="20"/>
          <w:u w:val="single"/>
        </w:rPr>
        <w:t xml:space="preserve"> </w:t>
      </w:r>
      <w:r>
        <w:rPr>
          <w:rFonts w:ascii="Times New Roman" w:hAnsi="Times New Roman"/>
          <w:color w:val="000000"/>
          <w:sz w:val="22"/>
          <w:u w:val="single"/>
        </w:rPr>
        <w:t>Payment of Obligations</w:t>
      </w:r>
      <w:r>
        <w:rPr>
          <w:rFonts w:ascii="Times New Roman" w:hAnsi="Times New Roman"/>
          <w:color w:val="000000"/>
          <w:sz w:val="22"/>
        </w:rPr>
        <w:t>. Pay, discharge or otherwise satisfy at or before maturity or before they become delinquent, as the case may be, all its material tax obligations and all of its other obligations of whatever nature, except (a) where the amount or validity thereof is currently being contested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good faith by appropriate proceedings and reserves in conformity with GAAP with respect thereto have been provided on the books of the relevant Group Member and (b) in the case of obligations other than tax obligations, to the extent that the failure to do so could not,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6.4</w:t>
      </w:r>
      <w:r>
        <w:rPr>
          <w:rFonts w:ascii="Times New Roman" w:hAnsi="Times New Roman"/>
          <w:color w:val="000000"/>
          <w:sz w:val="20"/>
          <w:u w:val="single"/>
        </w:rPr>
        <w:t xml:space="preserve"> </w:t>
      </w:r>
      <w:r>
        <w:rPr>
          <w:rFonts w:ascii="Times New Roman" w:hAnsi="Times New Roman"/>
          <w:color w:val="000000"/>
          <w:sz w:val="22"/>
          <w:u w:val="single"/>
        </w:rPr>
        <w:t>Maintenance of Existence; Compliance</w:t>
      </w:r>
      <w:r>
        <w:rPr>
          <w:rFonts w:ascii="Times New Roman" w:hAnsi="Times New Roman"/>
          <w:color w:val="000000"/>
          <w:sz w:val="22"/>
        </w:rPr>
        <w:t>. (a)(i) Preserve, renew and keep in full force and effect its organizational existence, provided that any Subsidiary may change the form if its entity organization, including from a corporation to a limited liability company and (ii) take all reasonable action to maintain all rights, privileges and franchises material to the normal conduct of its business, except, in each case, as otherwise permitted by Section 7.4 and except, in the case of clause (ii) above, to the extent that failure to do so could not reasonably be expected to have a Material Adverse Effect; and (b) comply with all Contractual Obligations and Requirements of Law except to the extent that failure to comply therewith could not, in the aggregate,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6.5</w:t>
      </w:r>
      <w:r>
        <w:rPr>
          <w:rFonts w:ascii="Times New Roman" w:hAnsi="Times New Roman"/>
          <w:color w:val="000000"/>
          <w:sz w:val="20"/>
          <w:u w:val="single"/>
        </w:rPr>
        <w:t xml:space="preserve"> </w:t>
      </w:r>
      <w:r>
        <w:rPr>
          <w:rFonts w:ascii="Times New Roman" w:hAnsi="Times New Roman"/>
          <w:color w:val="000000"/>
          <w:sz w:val="22"/>
          <w:u w:val="single"/>
        </w:rPr>
        <w:t>Maintenance of Property; Insurance</w:t>
      </w:r>
      <w:r>
        <w:rPr>
          <w:rFonts w:ascii="Times New Roman" w:hAnsi="Times New Roman"/>
          <w:color w:val="000000"/>
          <w:sz w:val="22"/>
        </w:rPr>
        <w:t>. (a) Keep all property material to the operation of its business in good working order and condition, ordinary wear and tear excepted and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subject to the Borrower’s standard self insurance policy.</w:t>
      </w:r>
    </w:p>
    <w:p>
      <w:pPr>
        <w:pStyle w:val="TextBody"/>
        <w:bidi w:val="0"/>
        <w:spacing w:before="0" w:after="240"/>
        <w:jc w:val="both"/>
        <w:rPr>
          <w:rFonts w:ascii="Times New Roman" w:hAnsi="Times New Roman"/>
          <w:sz w:val="20"/>
        </w:rPr>
      </w:pPr>
      <w:r>
        <w:rPr>
          <w:rFonts w:ascii="Times New Roman" w:hAnsi="Times New Roman"/>
          <w:color w:val="000000"/>
          <w:sz w:val="22"/>
        </w:rPr>
        <w:t>6.6</w:t>
      </w:r>
      <w:r>
        <w:rPr>
          <w:rFonts w:ascii="Times New Roman" w:hAnsi="Times New Roman"/>
          <w:color w:val="000000"/>
          <w:sz w:val="20"/>
          <w:u w:val="single"/>
        </w:rPr>
        <w:t xml:space="preserve"> </w:t>
      </w:r>
      <w:r>
        <w:rPr>
          <w:rFonts w:ascii="Times New Roman" w:hAnsi="Times New Roman"/>
          <w:color w:val="000000"/>
          <w:sz w:val="22"/>
          <w:u w:val="single"/>
        </w:rPr>
        <w:t>Inspection of Property; Books and Records; Discussions</w:t>
      </w:r>
      <w:r>
        <w:rPr>
          <w:rFonts w:ascii="Times New Roman" w:hAnsi="Times New Roman"/>
          <w:color w:val="000000"/>
          <w:sz w:val="22"/>
        </w:rPr>
        <w:t>. (a) Keep proper books of records and account in which full, true and correct entries in conformity with GAAP and all Requirements of Law shall be made of all dealings and transactions in relation to its business and activities and (b) permit representatives of the Administrative Agent or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w:t>
      </w:r>
    </w:p>
    <w:p>
      <w:pPr>
        <w:pStyle w:val="TextBody"/>
        <w:bidi w:val="0"/>
        <w:spacing w:before="0" w:after="240"/>
        <w:jc w:val="both"/>
        <w:rPr>
          <w:rFonts w:ascii="Times New Roman" w:hAnsi="Times New Roman"/>
          <w:sz w:val="20"/>
        </w:rPr>
      </w:pPr>
      <w:r>
        <w:rPr>
          <w:rFonts w:ascii="Times New Roman" w:hAnsi="Times New Roman"/>
          <w:color w:val="000000"/>
          <w:sz w:val="22"/>
        </w:rPr>
        <w:t>6.7</w:t>
      </w:r>
      <w:r>
        <w:rPr>
          <w:rFonts w:ascii="Times New Roman" w:hAnsi="Times New Roman"/>
          <w:color w:val="000000"/>
          <w:sz w:val="20"/>
          <w:u w:val="single"/>
        </w:rPr>
        <w:t xml:space="preserve"> </w:t>
      </w:r>
      <w:r>
        <w:rPr>
          <w:rFonts w:ascii="Times New Roman" w:hAnsi="Times New Roman"/>
          <w:color w:val="000000"/>
          <w:sz w:val="22"/>
          <w:u w:val="single"/>
        </w:rPr>
        <w:t>Notices</w:t>
      </w:r>
      <w:r>
        <w:rPr>
          <w:rFonts w:ascii="Times New Roman" w:hAnsi="Times New Roman"/>
          <w:color w:val="000000"/>
          <w:sz w:val="22"/>
        </w:rPr>
        <w:t>. Within three Business Days give notice to the Administrative Agent upon a Responsible Officer of the Borrower obtaining actual knowledge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occurrence of any Default or Event of Default (if the same is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material litigation or proceeding affecting any Group Member (i) in which the amount involved is $25,000,000 or more and not covered by insurance, (ii) in which injunctive or similar relief is sought or (iii) which relates to any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 ERISA Event, as soon as possible and in any event within 10 days after the Borrower knows or has reason to know thereof; and</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development or event that has had or could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notice pursuant to this Section 6.7 shall be accompanied by a statement of a Responsible Officer setting forth details of the occurrence referred to therein and stating what action the relevant Group Member proposes to take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6.8</w:t>
      </w:r>
      <w:r>
        <w:rPr>
          <w:rFonts w:ascii="Times New Roman" w:hAnsi="Times New Roman"/>
          <w:color w:val="000000"/>
          <w:sz w:val="20"/>
          <w:u w:val="single"/>
        </w:rPr>
        <w:t xml:space="preserve"> </w:t>
      </w:r>
      <w:r>
        <w:rPr>
          <w:rFonts w:ascii="Times New Roman" w:hAnsi="Times New Roman"/>
          <w:color w:val="000000"/>
          <w:sz w:val="22"/>
          <w:u w:val="single"/>
        </w:rPr>
        <w:t>Environmental Laws</w:t>
      </w:r>
      <w:r>
        <w:rPr>
          <w:rFonts w:ascii="Times New Roman" w:hAnsi="Times New Roman"/>
          <w:color w:val="000000"/>
          <w:sz w:val="22"/>
        </w:rPr>
        <w:t>. (a) Comply in all material respects with, and take commercially reasonable efforts to ensure compliance in all material respects by all tenants and subtenants, if any, with, all applicable Environmental Laws, and obtain and comply in all material respects with and maintain, and take commercially reasonable efforts to ensure that all tenants and subtenants obtain and comply in all material respects with and maintain, any and all licenses, approvals, notifications, registrations or permits required by applicable Environmental Laws. This clause (a) shall be deemed not breached by a noncompliance with the foregoing if, upon learning of such noncompliance, the Borrower and any affected Subsidiaries promptly undertake reasonable efforts to eliminate such noncompliance, and such noncompliance and the elimination thereof, in the aggregate with any other noncompliance with any of the foregoing and the elimination thereof, could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Conduct and complete all investigations, studies, sampling and testing, and all remedial, removal and other actions required under Environmental Laws and promptly comply in all material respects with all orders and directives of all Governmental Authorities regarding Environmental Laws. This clause (b) shall be deemed not breached by a failure to comply with such an order or directive if the Borrower and any affected Subsidiaries timely challenge in good faith such order or directive in a manner consistent with all applicable Environmental Laws and pursue such challenge diligently, and the pendency and pursuit of such challenge, in the aggregate with the pendency and pursuit of any other such challenges,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6.9</w:t>
      </w:r>
      <w:r>
        <w:rPr>
          <w:rFonts w:ascii="Times New Roman" w:hAnsi="Times New Roman"/>
          <w:color w:val="000000"/>
          <w:sz w:val="20"/>
          <w:u w:val="single"/>
        </w:rPr>
        <w:t xml:space="preserve">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6.10</w:t>
      </w:r>
      <w:r>
        <w:rPr>
          <w:rFonts w:ascii="Times New Roman" w:hAnsi="Times New Roman"/>
          <w:color w:val="000000"/>
          <w:sz w:val="20"/>
          <w:u w:val="single"/>
        </w:rPr>
        <w:t xml:space="preserve"> </w:t>
      </w:r>
      <w:r>
        <w:rPr>
          <w:rFonts w:ascii="Times New Roman" w:hAnsi="Times New Roman"/>
          <w:color w:val="000000"/>
          <w:sz w:val="22"/>
          <w:u w:val="single"/>
        </w:rPr>
        <w:t>Additional Collateral, etc</w:t>
      </w:r>
      <w:r>
        <w:rPr>
          <w:rFonts w:ascii="Times New Roman" w:hAnsi="Times New Roman"/>
          <w:color w:val="0000FF"/>
          <w:sz w:val="22"/>
          <w:u w:val="single"/>
        </w:rPr>
        <w:t>.</w:t>
      </w:r>
      <w:r>
        <w:rPr>
          <w:rFonts w:ascii="Times New Roman" w:hAnsi="Times New Roman"/>
          <w:color w:val="0000FF"/>
          <w:sz w:val="20"/>
        </w:rPr>
        <w:t xml:space="preserve"> </w:t>
      </w:r>
    </w:p>
    <w:p>
      <w:pPr>
        <w:pStyle w:val="TextBody"/>
        <w:bidi w:val="0"/>
        <w:spacing w:before="0" w:after="240"/>
        <w:jc w:val="both"/>
        <w:rPr>
          <w:rFonts w:ascii="Times New Roman" w:hAnsi="Times New Roman"/>
          <w:sz w:val="20"/>
        </w:rPr>
      </w:pPr>
      <w:r>
        <w:rPr>
          <w:rFonts w:ascii="Times New Roman" w:hAnsi="Times New Roman"/>
          <w:strike/>
          <w:color w:val="FF0000"/>
          <w:sz w:val="22"/>
        </w:rPr>
        <w:t xml:space="preserve">. </w:t>
      </w:r>
      <w:r>
        <w:rPr>
          <w:rFonts w:ascii="Times New Roman" w:hAnsi="Times New Roman"/>
          <w:color w:val="000000"/>
          <w:sz w:val="22"/>
        </w:rPr>
        <w:t>(a) With respect to any property acquired after the Closing Date by any Group Member which is not a Non-Material Subsidiary, Specified Joint Venture or a not-for-profit corporation or similar entity that is prohibited from granting a Lien on its assets to secure the Obligations by a Requirement of Law (other than (x) any property described in paragraph (c), (d) or (e) below, (y) any fixed or capital assets subject to a Lien securing Indebtedness incurred in accordance with Section 7.2 to finance the acquisition of such fixed or capital assets, provided that such Liens were created substantially simultaneously with the acquisition of such fixed or capital assets and (z) property acquired by any Excluded Foreign Subsidiary) as to which the Collateral Agent, for the benefit of the Secured Parties, does not have a perfected Lien, promptly (i) execute and deliver to the Collateral Agent such amendments to the Collateral Agreement or such other documents as the Collateral Agent deems necessary or advisable to grant to the Collateral Agent, for the benefit of the Secured Parties, a security interest in such property and (ii) take all actions necessary or advisable to grant to the Collateral Agent, for the benefit of the Secured Parties, a perfected first priority security interest in such property, including the filing of Uniform Commercial Code financing statements in such jurisdictions as may be required by the Collateral Agreement or by law or as may be requested by the Collateral Agent; provided, further that no such Lien shall be required to be granted on any real property.</w:t>
      </w:r>
    </w:p>
    <w:p>
      <w:pPr>
        <w:pStyle w:val="TextBody"/>
        <w:bidi w:val="0"/>
        <w:spacing w:before="0" w:after="240"/>
        <w:jc w:val="both"/>
        <w:rPr>
          <w:rFonts w:ascii="Times New Roman" w:hAnsi="Times New Roman"/>
          <w:sz w:val="20"/>
        </w:rPr>
      </w:pPr>
      <w:r>
        <w:rPr>
          <w:rFonts w:ascii="Times New Roman" w:hAnsi="Times New Roman"/>
          <w:strike/>
          <w:color w:val="FF0000"/>
          <w:sz w:val="22"/>
        </w:rPr>
        <w:t>(b)</w:t>
      </w:r>
      <w:r>
        <w:rPr>
          <w:rFonts w:ascii="Times New Roman" w:hAnsi="Times New Roman"/>
          <w:color w:val="000000"/>
          <w:sz w:val="20"/>
        </w:rPr>
        <w:t xml:space="preserve"> </w:t>
      </w:r>
      <w:r>
        <w:rPr>
          <w:rFonts w:ascii="Times New Roman" w:hAnsi="Times New Roman"/>
          <w:strike/>
          <w:color w:val="FF0000"/>
          <w:sz w:val="22"/>
        </w:rPr>
        <w:t>[Reserved].</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With respect to any new Subsidiary (other than an Excluded Foreign Subsidiary, a Non-Material Subsidiary, a Specified Joint Venture or a not-for-profit corporation or similar entity that is prohibited from granting a Lien on its assets to secure the Obligations by a Requirement of Law) created or acquired after November 15, 2010 by any Loan Party (which, for the purposes of this paragraph (c), shall include any existing Subsidiary that ceases to be an Excluded Foreign Subsidiary, a Non-Material Subsidiary, a Specified Joint Venture or a not-for-profit corporation or similar entity that is prohibited from granting a Lien on its assets to secure the Obligations by a Requirement of Law), promptly (</w:t>
      </w:r>
      <w:r>
        <w:rPr>
          <w:rFonts w:ascii="Times New Roman" w:hAnsi="Times New Roman"/>
          <w:color w:val="0000FF"/>
          <w:sz w:val="22"/>
          <w:u w:val="single"/>
        </w:rPr>
        <w:t>and, in any event, no later than the date that is forty-five (45) days following the creation or acquisition of such new Subsidiary (or such later date as the Administrative Agent may agree in its reasonable discretion)) (</w:t>
      </w:r>
      <w:r>
        <w:rPr>
          <w:rFonts w:ascii="Times New Roman" w:hAnsi="Times New Roman"/>
          <w:color w:val="000000"/>
          <w:sz w:val="22"/>
        </w:rPr>
        <w:t>i) execute and deliver to the Collateral Agent such amendments to the Collateral Agreement as the Collateral Agent deems necessary or advisable to grant to the Collateral Agent, for the benefit of the Secured Parties, a perfected first priority security interest in the Capital Stock of such new Subsidiary that is owned by any Loan Party, (ii) deliver to the Collateral Agent any certificates representing such Capital Stock, together with undated stock powers, in blank, executed and delivered by a duly authorized officer of the relevant Loan Party, (iii) cause such new Subsidiary other than any Specified Joint Venture (A) to become a party to the Subsidiary Guarantee Agreement and the Collateral Agreement, (B) to take such actions necessary or advisable to grant to the Collateral Agent for the benefit of the Secured Parties a perfected first priority security interest in the Collateral described in the Collateral Agreement with respect to such new Subsidiary, including the filing of Uniform Commercial Code financing statements in such jurisdictions as may be required by the Collateral Agreement or by law or as may be requested by the Collateral Agent and (C) to deliver to the Administrative Agent a certificate of such Subsidiary, substantially in the form of Exhibit C, with appropriate insertions and attachments, and a long form good standing certificate from its jurisdiction of organization, and (iv) if requested by the Administrative Agent, deliver to the Administrative Agent legal opinions relating to the matters described above, which opinions shall be in form and substance, and from counsel,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d</w:t>
      </w:r>
      <w:r>
        <w:rPr>
          <w:rFonts w:ascii="Times New Roman" w:hAnsi="Times New Roman"/>
          <w:color w:val="0000FF"/>
          <w:sz w:val="22"/>
          <w:u w:val="single"/>
        </w:rPr>
        <w:t>c</w:t>
      </w:r>
      <w:r>
        <w:rPr>
          <w:rFonts w:ascii="Times New Roman" w:hAnsi="Times New Roman"/>
          <w:color w:val="000000"/>
          <w:sz w:val="22"/>
        </w:rPr>
        <w:t>) With respect to any new Subsidiary (other than a Subsidiary required to become a Secured Guarantor pursuant to Section 6.10(</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created or acquired after the Closing Date by any Loan Party, promptly (i) execute and deliver to the Collateral Agent such amendments to the Collateral Agreement as the Collateral Agent deems necessary or advisable to grant to the Collateral Agent, for the benefit of the Secured Parties, a perfected first priority security interest in the Capital Stock of such new Subsidiary that is owned by any such Loan Party (provided that in no event shall more than 65% of the total outstanding voting Capital Stock of any Excluded Foreign Subsidiary be required to be so pledged), (ii) deliver to the Collateral Agent the certificates representing such Capital Stock, together with undated stock powers, in blank, executed and delivered by a duly authorized officer of the relevant Loan Party, and take such other action as may be necessary or, in the opinion of the Collateral Agent, desirable to perfect the Collateral Agent’s security interest therein, and (iii) if requested by the Collateral Agent, deliver to the Collateral Agent legal opinions relating to the matters described above, which opinions shall be in form and substance, and from counsel, reasonably satisfactory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e</w:t>
      </w:r>
      <w:r>
        <w:rPr>
          <w:rFonts w:ascii="Times New Roman" w:hAnsi="Times New Roman"/>
          <w:color w:val="0000FF"/>
          <w:sz w:val="22"/>
          <w:u w:val="single"/>
        </w:rPr>
        <w:t>d</w:t>
      </w:r>
      <w:r>
        <w:rPr>
          <w:rFonts w:ascii="Times New Roman" w:hAnsi="Times New Roman"/>
          <w:color w:val="000000"/>
          <w:sz w:val="22"/>
        </w:rPr>
        <w:t>) If, at the end of any fiscal quarter of the Borrower after the Closing Date, Subsidiaries that are “Non-Material Subsidiaries” pursuant to the definition of “Non-Material Subsidiary” exceed the amounts set forth in the definition thereof, promptly following delivery of each Compliance Certificate delivered pursuant to Section 6.2(b), (i) execute and deliver to the Collateral Agent such amendments to the Collateral Agreement as the Collateral Agent deems necessary or advisable to grant to the Collateral Agent, for the benefit of the Secured Parties, a perfected first priority security interest in the Capital Stock of each Subsidiary so designated by the Borrower that is owned by any Group Member, (ii) deliver to the Collateral Agent any certificates representing such Capital Stock, together with undated stock powers, in blank, executed and delivered by a duly authorized officer of the relevant Group Member, (iii) cause each Subsidiary designated by the Borrower (A) to become a party to the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Guarantee Agreement and the Collateral Agreement, (B) to take such actions necessary or advisable to grant to the Collateral Agent for the benefit of the Secured Parties a perfected first priority security interest in the Collateral described in the Collateral Agreement with respect to such Subsidiaries designated by the Borrower, including the filing of Uniform Commercial Code financing statements in such jurisdictions as may be required by the Collateral Agreement or by law or as may be requested by the Collateral Agent and (C) to deliver to the Collateral Agent a certificate of such Subsidiaries designated by the Borrower, substantially in the form of Exhibit C, with appropriate insertions and attachments, and (iv) if requested by the Collateral Agent, deliver to the Collateral Agent legal opinions relating to the matters described above, which opinions shall be in form and substance, and from counsel, reasonably satisfactory to the Administrative Agent, so that the foregoing condition regarding the definition of “Non-Material Subsidiary” continues to be true.</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f</w:t>
      </w:r>
      <w:r>
        <w:rPr>
          <w:rFonts w:ascii="Times New Roman" w:hAnsi="Times New Roman"/>
          <w:color w:val="0000FF"/>
          <w:sz w:val="22"/>
          <w:u w:val="single"/>
        </w:rPr>
        <w:t>e</w:t>
      </w:r>
      <w:r>
        <w:rPr>
          <w:rFonts w:ascii="Times New Roman" w:hAnsi="Times New Roman"/>
          <w:color w:val="000000"/>
          <w:sz w:val="22"/>
        </w:rPr>
        <w:t>) The Borrower may, from time to time in its sole discretion, elect to cause one or more Non-Material Subsidiaries not required to become parties to the Security Documents pursuant to this Agreement (including for the avoidance of doubt according to Section 6.10(</w:t>
      </w:r>
      <w:r>
        <w:rPr>
          <w:rFonts w:ascii="Times New Roman" w:hAnsi="Times New Roman"/>
          <w:strike/>
          <w:color w:val="FF0000"/>
          <w:sz w:val="22"/>
        </w:rPr>
        <w:t>e</w:t>
      </w:r>
      <w:r>
        <w:rPr>
          <w:rFonts w:ascii="Times New Roman" w:hAnsi="Times New Roman"/>
          <w:color w:val="0000FF"/>
          <w:sz w:val="22"/>
          <w:u w:val="single"/>
        </w:rPr>
        <w:t>d</w:t>
      </w:r>
      <w:r>
        <w:rPr>
          <w:rFonts w:ascii="Times New Roman" w:hAnsi="Times New Roman"/>
          <w:color w:val="000000"/>
          <w:sz w:val="22"/>
        </w:rPr>
        <w:t>)) to become either (i) Secured Guarantors in a manner consistent with Section 6.10(</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or (ii) Unsecured Guarantors by causing such Subsidiary (x) to become a party to the Subsidiary Guarantee Agreement and (y) to deliver to the Administrative Agent a certificate of such Subsidiary, substantially in the form of Exhibit C, with appropriate insertions and attachments, and a long form good standing certificate from its jurisdiction of organization.</w:t>
      </w:r>
    </w:p>
    <w:p>
      <w:pPr>
        <w:pStyle w:val="TextBody"/>
        <w:bidi w:val="0"/>
        <w:spacing w:before="0" w:after="240"/>
        <w:jc w:val="both"/>
        <w:rPr>
          <w:rFonts w:ascii="Times New Roman" w:hAnsi="Times New Roman"/>
          <w:sz w:val="20"/>
        </w:rPr>
      </w:pPr>
      <w:r>
        <w:rPr>
          <w:rFonts w:ascii="Times New Roman" w:hAnsi="Times New Roman"/>
          <w:color w:val="000000"/>
          <w:sz w:val="22"/>
        </w:rPr>
        <w:t>6.11</w:t>
      </w:r>
      <w:r>
        <w:rPr>
          <w:rFonts w:ascii="Times New Roman" w:hAnsi="Times New Roman"/>
          <w:color w:val="000000"/>
          <w:sz w:val="20"/>
          <w:u w:val="single"/>
        </w:rPr>
        <w:t xml:space="preserve"> </w:t>
      </w:r>
      <w:r>
        <w:rPr>
          <w:rFonts w:ascii="Times New Roman" w:hAnsi="Times New Roman"/>
          <w:color w:val="000000"/>
          <w:sz w:val="22"/>
          <w:u w:val="single"/>
        </w:rPr>
        <w:t>Maintenance of Ratings</w:t>
      </w:r>
      <w:r>
        <w:rPr>
          <w:rFonts w:ascii="Times New Roman" w:hAnsi="Times New Roman"/>
          <w:color w:val="000000"/>
          <w:sz w:val="22"/>
        </w:rPr>
        <w:t>. Use commercially reasonable efforts, including, for the avoidance of doubt, the payment of the usual and customary fees and expenses of each of S&amp;P and Moody’s, to cause the Borrower to continuously have public corporate credit and corporate family ratings, as applicable, from S&amp;P and Moody’s; provided that nothing herein shall require the maintenance of any such ratings with respect to securities issued by the Borrower in an unsecured capital markets transaction.</w:t>
      </w:r>
    </w:p>
    <w:p>
      <w:pPr>
        <w:pStyle w:val="TextBody"/>
        <w:bidi w:val="0"/>
        <w:spacing w:before="0" w:after="240"/>
        <w:jc w:val="both"/>
        <w:rPr>
          <w:rFonts w:ascii="Times New Roman" w:hAnsi="Times New Roman"/>
          <w:sz w:val="20"/>
        </w:rPr>
      </w:pPr>
      <w:r>
        <w:rPr>
          <w:rFonts w:ascii="Times New Roman" w:hAnsi="Times New Roman"/>
          <w:color w:val="000000"/>
          <w:sz w:val="22"/>
        </w:rPr>
        <w:t>6.12</w:t>
      </w:r>
      <w:r>
        <w:rPr>
          <w:rFonts w:ascii="Times New Roman" w:hAnsi="Times New Roman"/>
          <w:color w:val="000000"/>
          <w:sz w:val="20"/>
          <w:u w:val="single"/>
        </w:rPr>
        <w:t xml:space="preserve"> </w:t>
      </w:r>
      <w:r>
        <w:rPr>
          <w:rFonts w:ascii="Times New Roman" w:hAnsi="Times New Roman"/>
          <w:color w:val="000000"/>
          <w:sz w:val="22"/>
          <w:u w:val="single"/>
        </w:rPr>
        <w:t>ERISA Compliance</w:t>
      </w:r>
      <w:r>
        <w:rPr>
          <w:rFonts w:ascii="Times New Roman" w:hAnsi="Times New Roman"/>
          <w:color w:val="000000"/>
          <w:sz w:val="22"/>
        </w:rPr>
        <w:t>. With respect to each Group Member and each of their respective ERISA Affiliates, comply with the terms of each Plan and with the applicable provisions of ERISA and the Code and the regulations and published interpretations thereunder relating to the Plans, except as could not reasonably be expected, individually or in the aggregate,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6.13</w:t>
      </w:r>
      <w:r>
        <w:rPr>
          <w:rFonts w:ascii="Times New Roman" w:hAnsi="Times New Roman"/>
          <w:color w:val="000000"/>
          <w:sz w:val="20"/>
          <w:u w:val="single"/>
        </w:rPr>
        <w:t xml:space="preserve"> </w:t>
      </w:r>
      <w:r>
        <w:rPr>
          <w:rFonts w:ascii="Times New Roman" w:hAnsi="Times New Roman"/>
          <w:color w:val="000000"/>
          <w:sz w:val="22"/>
          <w:u w:val="single"/>
        </w:rPr>
        <w:t>Post-Closing Covenants</w:t>
      </w:r>
      <w:r>
        <w:rPr>
          <w:rFonts w:ascii="Times New Roman" w:hAnsi="Times New Roman"/>
          <w:color w:val="000000"/>
          <w:sz w:val="22"/>
        </w:rPr>
        <w:t>. Take each action otherwise required hereunder and set forth on Schedule 6.13 within the period set forth on Schedule 6.13 for such action.</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7.</w:t>
      </w:r>
      <w:r>
        <w:rPr>
          <w:rFonts w:ascii="Times New Roman" w:hAnsi="Times New Roman"/>
          <w:color w:val="000000"/>
          <w:sz w:val="20"/>
        </w:rPr>
        <w:t xml:space="preserve"> </w:t>
      </w:r>
      <w:r>
        <w:rPr>
          <w:rFonts w:ascii="Times New Roman" w:hAnsi="Times New Roman"/>
          <w:color w:val="000000"/>
          <w:sz w:val="22"/>
        </w:rPr>
        <w:t>NEGATIVE COVENANTS</w:t>
      </w:r>
    </w:p>
    <w:p>
      <w:pPr>
        <w:pStyle w:val="TextBody"/>
        <w:bidi w:val="0"/>
        <w:spacing w:before="0" w:after="240"/>
        <w:jc w:val="both"/>
        <w:rPr>
          <w:rFonts w:ascii="Times New Roman" w:hAnsi="Times New Roman"/>
          <w:color w:val="000000"/>
          <w:sz w:val="22"/>
        </w:rPr>
      </w:pPr>
      <w:bookmarkStart w:id="7" w:name="aa"/>
      <w:bookmarkEnd w:id="7"/>
      <w:r>
        <w:rPr>
          <w:rFonts w:ascii="Times New Roman" w:hAnsi="Times New Roman"/>
          <w:color w:val="000000"/>
          <w:sz w:val="22"/>
        </w:rPr>
        <w:t>The Borrower hereby agrees that, so long as the Commitments remain in effect, any Letter of Credit remains outstanding or any Loan or other amount is owing to any Lender or the Administrative Agent hereunder, the Borrower shall not, and shall not permit any of its Subsidiaries to, directly or indirectly:</w:t>
      </w:r>
    </w:p>
    <w:p>
      <w:pPr>
        <w:pStyle w:val="TextBody"/>
        <w:bidi w:val="0"/>
        <w:spacing w:before="0" w:after="240"/>
        <w:jc w:val="both"/>
        <w:rPr>
          <w:rFonts w:ascii="Times New Roman" w:hAnsi="Times New Roman"/>
          <w:sz w:val="20"/>
        </w:rPr>
      </w:pPr>
      <w:r>
        <w:rPr>
          <w:rFonts w:ascii="Times New Roman" w:hAnsi="Times New Roman"/>
          <w:color w:val="000000"/>
          <w:sz w:val="22"/>
        </w:rPr>
        <w:t>7.1</w:t>
      </w:r>
      <w:r>
        <w:rPr>
          <w:rFonts w:ascii="Times New Roman" w:hAnsi="Times New Roman"/>
          <w:color w:val="000000"/>
          <w:sz w:val="20"/>
          <w:u w:val="single"/>
        </w:rPr>
        <w:t xml:space="preserve"> </w:t>
      </w:r>
      <w:r>
        <w:rPr>
          <w:rFonts w:ascii="Times New Roman" w:hAnsi="Times New Roman"/>
          <w:color w:val="000000"/>
          <w:sz w:val="22"/>
          <w:u w:val="single"/>
        </w:rPr>
        <w:t>Financial Condition Covenants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Consolidated Net Leverage Ratio</w:t>
      </w:r>
      <w:r>
        <w:rPr>
          <w:rFonts w:ascii="Times New Roman" w:hAnsi="Times New Roman"/>
          <w:color w:val="000000"/>
          <w:sz w:val="22"/>
        </w:rPr>
        <w:t>. Permit the Consolidated Net Leverage Ratio as at the last day of any period of four consecutive fiscal quarters of the Borrower (or, if less, the number of full fiscal quarters subsequent to the Closing Date) ending with any fiscal quarter to exceed 3.75:1.00 (</w:t>
      </w:r>
      <w:r>
        <w:rPr>
          <w:rFonts w:ascii="Times New Roman" w:hAnsi="Times New Roman"/>
          <w:color w:val="000000"/>
          <w:sz w:val="22"/>
          <w:u w:val="single"/>
        </w:rPr>
        <w:t>provided</w:t>
      </w:r>
      <w:r>
        <w:rPr>
          <w:rFonts w:ascii="Times New Roman" w:hAnsi="Times New Roman"/>
          <w:color w:val="000000"/>
          <w:sz w:val="22"/>
        </w:rPr>
        <w:t>, that, at the election of the Borrower by delivering written notice to the Administrative Agent on or prior to the consummation of a Material Permitted Acquisition, the applicable Consolidated Net Leverage Ratio shall be 4.25:1.00 for four quarters following such Material Permitted Acquisition;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Borrower may only make up to three such elections during the term of this Agreement and, after making any such election, may only make a subsequent election after at least one full fiscal quarter shall have elapsed after the end of any step-up in the maximum Consolidated Net Leverage Ratio as a result of a prior election);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from and after the Collateral Release Date (unless the Collateral and Guarantees have been reinstated in accordance with Section 10.14(c), Indebtedness of Subsidiaries (other than any Specified Joint Ventures and Foreign Subsidiaries) must be permitted under Section 7.2.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0" w:after="240"/>
        <w:jc w:val="both"/>
        <w:rPr>
          <w:rFonts w:ascii="Times New Roman" w:hAnsi="Times New Roman"/>
          <w:sz w:val="20"/>
        </w:rPr>
      </w:pPr>
      <w:r>
        <w:rPr>
          <w:rFonts w:ascii="Times New Roman" w:hAnsi="Times New Roman"/>
          <w:color w:val="000000"/>
          <w:sz w:val="22"/>
        </w:rPr>
        <w:t>7.2</w:t>
      </w:r>
      <w:r>
        <w:rPr>
          <w:rFonts w:ascii="Times New Roman" w:hAnsi="Times New Roman"/>
          <w:color w:val="000000"/>
          <w:sz w:val="20"/>
          <w:u w:val="single"/>
        </w:rPr>
        <w:t xml:space="preserve"> </w:t>
      </w:r>
      <w:r>
        <w:rPr>
          <w:rFonts w:ascii="Times New Roman" w:hAnsi="Times New Roman"/>
          <w:color w:val="000000"/>
          <w:sz w:val="22"/>
          <w:u w:val="single"/>
        </w:rPr>
        <w:t>Indebtedness</w:t>
      </w:r>
      <w:r>
        <w:rPr>
          <w:rFonts w:ascii="Times New Roman" w:hAnsi="Times New Roman"/>
          <w:color w:val="000000"/>
          <w:sz w:val="22"/>
        </w:rPr>
        <w:t>. Create, issue, incur, assume, become liable in respect of or suffer to exist any Indebtedness (it being understood that any Indebtedness of any Subsidiary (other than any Specified Joint Venture or Foreign Subsidiary) incurred in reliance on this Section 7.2 prior to the Collateral Release Date (or after any reinstatement of the Collateral and Guarantees), shall be permitted but shall not be refinanced or extended except to the extent permitted under this Section 7.2 (other than Section 7.2(m)),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Indebtedness of any Loan Party pursuant to any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Indebtedness of the Borrower to any Subsidiary and of any Guarantor to the Borrower or any other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Guarantee Obligations incurred in the ordinary course of business by the (i) Borrower or any of its Subsidiaries of obligations of any Secured Guarantor, (ii) any Unsecured Guarantor of obligations of any other Unsecured Guarantor and (iii) any Subsidiary that is not a Guarantor of any other Subsidiary that is not a Guarantor;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Indebtedness outstanding on the Tenth Amendment Effective Date and listed on Schedule 7.2(d);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Indebtedness of the Loan Parties in respect of the Secured Senior Notes in an aggregate principal amount not to exceed $3,500,000,000;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Indebtedness of any Group Member in respect to the Receivables 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of any Person that becomes a Subsidiary after the date hereof other than as a result of a Division, provided that (i) such Indebtedness exists at the time such Person becomes a Subsidiary and is not created in contemplation or in connection with such Person becoming a Subsidiary and (ii) after giving pro forma effect to the incurrence of such Indebtedness, the Borrower shall be in compliance with the covenant set forth in Section 7.1(a) recomputed as of the last day of the most recently ended four quarters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additional unsecured Indebtedness of the Borrower or, prior to the Collateral Release Date (or, if applicable, after the Collateral and Guarantees are reinstated), any of its Subsidiaries;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aggregate principal amount of such Indebtedness outstanding at any time shall not exceed $250,000,000 and (ii) the net cash proceeds of any such Indebtedness are used to finance Investments made pursuant to Section 7.8(m) or to refinance Revolving Loans, the proceeds of which were used to make Investments pursuant to Section 7.8(m);</w:t>
      </w:r>
    </w:p>
    <w:p>
      <w:pPr>
        <w:pStyle w:val="TextBody"/>
        <w:bidi w:val="0"/>
        <w:spacing w:before="0" w:after="240"/>
        <w:jc w:val="both"/>
        <w:rPr>
          <w:rFonts w:ascii="Times New Roman" w:hAnsi="Times New Roman"/>
          <w:sz w:val="20"/>
        </w:rPr>
      </w:pPr>
      <w:r>
        <w:rPr>
          <w:rFonts w:ascii="Times New Roman" w:hAnsi="Times New Roman"/>
          <w:color w:val="000000"/>
          <w:sz w:val="22"/>
        </w:rPr>
        <w:t>(i) so long as no Event of Default shall have occurred and be continuing, additional Indebtedness (including, without limitation, Capital Lease Obligations and purchase money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obligations) of the Borrower or any of its Subsidiaries in an aggregate principal amount (for the Borrower and all Subsidiaries) not to exceed $300,000,000 at any one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(j) Indebtedness of the Borrower in respect of one or more series of senior secured notes pursuant to an indenture or a note purchase agreement or otherwise and any extensions, renewals, refinancings and replacements thereof (the “</w:t>
      </w:r>
      <w:r>
        <w:rPr>
          <w:rFonts w:ascii="Times New Roman" w:hAnsi="Times New Roman"/>
          <w:color w:val="000000"/>
          <w:sz w:val="22"/>
          <w:u w:val="single"/>
        </w:rPr>
        <w:t>Additional Notes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Additional Notes are secured by the Collateral on a pari passu basis with the Obligations pursuant to an intercreditor agreement reasonably acceptable to the Administrative Agent or the extent the Collateral Release Date has occurred, and the Collateral and Guarantees shall not have been reinstated, are unsecured and not guaranteed by any Subsidiary, (ii) such Additional Notes are not secured by any property or assets of the Borrower or any Subsidiary other than, prior to the Collateral Release Date (or, if applicable, after the Collateral and Guarantees are reinstated), the Collateral, (iii) such Additional Notes are not scheduled to mature prior to the date that is 91 days after the Latest Term Facility Maturity Date, (iv) the aggregate outstanding principal amount of all (x) Additional Notes issued pursuant to this paragraph (j) plus (y) Indebtedness issued pursuant to Section 2.24, shall not exceed the Maximum Incremental Amount at any time, (v) to the extent applicable, the security agreements relating to the Additional Notes are substantially the same as the Security Documents (with such differences as are reasonably satisfactory to the Administrative Agent), (vi) such Additional Notes are not guaranteed or secured by any Subsidiaries of the Borrower other than, prior to the Collateral Release Date (or, if applicable, the Collateral and Guarantees are reinstated), the Loan Parties, (vii) the documentation with respect to any Additional Notes contains no mandatory prepayment, repurchase or redemption provisions except with respect to change of control and asset sale offers that are customary for high yield notes of such type, (viii) no Default then exists or would result therefrom and (ix) the covenants, events of default, guarantees, security documents and other terms and conditions of such Additional Notes (excluding pricing) are, taken as a whole, not more restrictive to the Borrower and its Subsidiaries than those herein based on the good faith determination of a Responsible Officer;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additional unsecured Indebtedness of the Borrower of the type referred to in clause (ii) of the definition of “Indebtedness”;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(x) no Default then exists or would result therefrom, (y) the maturity date of such Indebtedness occurs after the Latest Term Facility Maturity Date and (z) the aggregate principal amount of such Indebtedness outstanding at any time shall not exceed $250,000,000;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additional unsecured Indebtedness of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(x) no Default then exists or would result therefrom, (y) the maturity date of such Indebtedness occurs after the Latest Term Facility Maturity Date and (z) after giving effect to the incurrence thereof, the Borrower shall be in compliance with the covenant set forth in Section 7.1(a) recomputed as of the last day of the most recently ended four quarters period;</w:t>
      </w:r>
    </w:p>
    <w:p>
      <w:pPr>
        <w:pStyle w:val="TextBody"/>
        <w:bidi w:val="0"/>
        <w:spacing w:before="0" w:after="240"/>
        <w:jc w:val="both"/>
        <w:rPr>
          <w:rFonts w:ascii="Times New Roman" w:hAnsi="Times New Roman"/>
          <w:sz w:val="20"/>
        </w:rPr>
      </w:pPr>
      <w:r>
        <w:rPr>
          <w:rFonts w:ascii="Times New Roman" w:hAnsi="Times New Roman"/>
          <w:color w:val="000000"/>
          <w:sz w:val="22"/>
        </w:rPr>
        <w:t>(m) Indebtedness which represents a replacement, refinancing, refunding or renewal of any of the Indebtedness described in clauses (d), (e), (f), (g), (h), (i), (j), (k), and (l) hereof (any such Indebtedness being referred to as “</w:t>
      </w:r>
      <w:r>
        <w:rPr>
          <w:rFonts w:ascii="Times New Roman" w:hAnsi="Times New Roman"/>
          <w:color w:val="000000"/>
          <w:sz w:val="22"/>
          <w:u w:val="single"/>
        </w:rPr>
        <w:t>Refinancing Indebtedness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principal amount of such Indebtedness is not increased, (ii) any Liens securing such Indebtedness are not extended to any additional property of any Loan Party, (iii) no Loan Party that is not originally obligated with respect to repayment of such Indebtedness is required to become obligated with respect thereto, (iv) such replacement, refinancing, refunding or renewal does not result in a shortening of the average weighted maturity of the Indebtedness so extended, modified, replaced, refinanced, refunded or renewed, (v) if the Indebtedness that is refinanced, refunded, renewed, modified, replaced or extended was unsecured Indebtedness, then the replacement, refinancing, refunding or renewal Indebtedness must be unsecured, (vi) if the Indebtedness that is refinanced,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refunded, renewed, modified, replaced or extended was Subordinated Indebtedness, then the terms and conditions of the replacement, refinancing, refunding or renewal Indebtedness must include subordination terms and conditions that are at least as favorable to the Administrative Agent and the Lenders as those that were applicable to the replacement, refinancing, refunding or renewal Indebtedness and (vii) such Refinancing Indebtedness may be issued or incurred within sixty (60) days (before or after) of the repayment of the applicable Indebtedness described in clause (d), (e), (f), (g), (h), (i), (j), (k), or (l) using interim Indebtedness otherwise permitted hereunder,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the case of any replacement, refinancing, refunding or renewal of any of the Secured Senior Notes, such replacement, refinancing, refunding or renewal Indebtedness shall not mature prior to the date that is ninety (90) days after the Latest Term Facility Maturity Date;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other Indebtedness of the Borrower or any of its Subsidiaries (whether secured or unsecured) in an aggregate principal amount not to exceed $500,000,000 at any one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7.3</w:t>
      </w:r>
      <w:r>
        <w:rPr>
          <w:rFonts w:ascii="Times New Roman" w:hAnsi="Times New Roman"/>
          <w:color w:val="000000"/>
          <w:sz w:val="20"/>
          <w:u w:val="single"/>
        </w:rPr>
        <w:t xml:space="preserve"> </w:t>
      </w:r>
      <w:r>
        <w:rPr>
          <w:rFonts w:ascii="Times New Roman" w:hAnsi="Times New Roman"/>
          <w:color w:val="000000"/>
          <w:sz w:val="22"/>
          <w:u w:val="single"/>
        </w:rPr>
        <w:t>Liens</w:t>
      </w:r>
      <w:r>
        <w:rPr>
          <w:rFonts w:ascii="Times New Roman" w:hAnsi="Times New Roman"/>
          <w:color w:val="000000"/>
          <w:sz w:val="22"/>
        </w:rPr>
        <w:t>. Create, incur, assume or suffer to exist any Lien upon any of its property, whether now owned or hereafter acquired, except: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Liens for taxes not yet due or that are being contested in good faith by appropriate proceedings,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adequate reserves with respect thereto are maintained on the books of the Borrower or its Subsidiaries, as the case may be, in conformity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carriers’, warehousemen’s, mechanics’, materialmen’s, repairmen’s or other like Liens arising in the ordinary course of business that are not overdue for a period of more than 30 days or that are being contested in good faith by appropriate proceedings;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pledges or deposits in connection with workers’ compensation, unemployment insurance and other social security legislation;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deposits to secure the performance of bids, trade contracts (other than for borrowed money), leases, statutory obligations, surety and appeal bonds, performance bonds and other obligations of a like nature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Liens in existence on the Tenth Amendment Effective Date listed on Schedule 7.3(f), securing Indebtedness permitted by Section 7.2(d),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Lien is spread to cover any additional property after such date and that the amount of Indebtedness secured thereby is not increased;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Liens created pursuant to the Security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any interest or title of a lessor under any lease entered into by the Borrower or any Subsidiary in the ordinary course of its business and covering only the assets so leased;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Liens securing the Secured Senior Notes pursuant to the Collateral Agreement;</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Liens arising out of the Receivables 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Lien existing on any asset of any Person at the time such Person becomes a Subsidiary and not created in contemplation of such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any Lien existing on any asset prior to the acquisition thereof by the Borrower or a Subsidiary and not created in contemplation of such acquisition;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any Lien arising out of the refinancing, replacement, renewal or refunding of any Indebtedness permitted under Section 7.2(m);</w:t>
      </w:r>
    </w:p>
    <w:p>
      <w:pPr>
        <w:pStyle w:val="TextBody"/>
        <w:bidi w:val="0"/>
        <w:spacing w:before="0" w:after="240"/>
        <w:jc w:val="both"/>
        <w:rPr>
          <w:rFonts w:ascii="Times New Roman" w:hAnsi="Times New Roman"/>
          <w:sz w:val="20"/>
        </w:rPr>
      </w:pPr>
      <w:r>
        <w:rPr>
          <w:rFonts w:ascii="Times New Roman" w:hAnsi="Times New Roman"/>
          <w:color w:val="000000"/>
          <w:sz w:val="22"/>
        </w:rPr>
        <w:t>(n) Liens not otherwise permitted by this Section so long as the aggregate outstanding principal amount of the obligations secured thereby does not exceed (as to the Borrower and all Subsidiaries) $</w:t>
      </w:r>
      <w:r>
        <w:rPr>
          <w:rFonts w:ascii="Times New Roman" w:hAnsi="Times New Roman"/>
          <w:strike/>
          <w:color w:val="FF0000"/>
          <w:sz w:val="22"/>
        </w:rPr>
        <w:t>300,000,000</w:t>
      </w:r>
      <w:r>
        <w:rPr>
          <w:rFonts w:ascii="Times New Roman" w:hAnsi="Times New Roman"/>
          <w:color w:val="0000FF"/>
          <w:sz w:val="22"/>
          <w:u w:val="single"/>
        </w:rPr>
        <w:t>500,000,000</w:t>
      </w:r>
      <w:r>
        <w:rPr>
          <w:rFonts w:ascii="Times New Roman" w:hAnsi="Times New Roman"/>
          <w:color w:val="000000"/>
          <w:sz w:val="20"/>
        </w:rPr>
        <w:t xml:space="preserve"> </w:t>
      </w:r>
      <w:r>
        <w:rPr>
          <w:rFonts w:ascii="Times New Roman" w:hAnsi="Times New Roman"/>
          <w:color w:val="000000"/>
          <w:sz w:val="22"/>
        </w:rPr>
        <w:t>at any one time;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on Collateral in respect of Indebtedness permitted by Section 7.2(j) and subject to the provisions set forth in Section 7.2(j).</w:t>
      </w:r>
    </w:p>
    <w:p>
      <w:pPr>
        <w:pStyle w:val="TextBody"/>
        <w:bidi w:val="0"/>
        <w:spacing w:before="0" w:after="240"/>
        <w:jc w:val="both"/>
        <w:rPr>
          <w:rFonts w:ascii="Times New Roman" w:hAnsi="Times New Roman"/>
          <w:sz w:val="20"/>
        </w:rPr>
      </w:pPr>
      <w:r>
        <w:rPr>
          <w:rFonts w:ascii="Times New Roman" w:hAnsi="Times New Roman"/>
          <w:color w:val="000000"/>
          <w:sz w:val="22"/>
        </w:rPr>
        <w:t>7.4</w:t>
      </w:r>
      <w:r>
        <w:rPr>
          <w:rFonts w:ascii="Times New Roman" w:hAnsi="Times New Roman"/>
          <w:color w:val="000000"/>
          <w:sz w:val="20"/>
          <w:u w:val="single"/>
        </w:rPr>
        <w:t xml:space="preserve"> </w:t>
      </w:r>
      <w:r>
        <w:rPr>
          <w:rFonts w:ascii="Times New Roman" w:hAnsi="Times New Roman"/>
          <w:color w:val="000000"/>
          <w:sz w:val="22"/>
          <w:u w:val="single"/>
        </w:rPr>
        <w:t>Fundamental Changes</w:t>
      </w:r>
      <w:r>
        <w:rPr>
          <w:rFonts w:ascii="Times New Roman" w:hAnsi="Times New Roman"/>
          <w:color w:val="000000"/>
          <w:sz w:val="22"/>
        </w:rPr>
        <w:t>. Enter into any merger, consolidation or amalgamation, or liquidate, wind up or dissolve itself (or suffer any liquidation or dissolution), or Dispose of all or substantially all of its property or business, except that:</w:t>
      </w:r>
    </w:p>
    <w:p>
      <w:pPr>
        <w:pStyle w:val="TextBody"/>
        <w:bidi w:val="0"/>
        <w:spacing w:before="0" w:after="240"/>
        <w:jc w:val="both"/>
        <w:rPr>
          <w:rFonts w:ascii="Times New Roman" w:hAnsi="Times New Roman"/>
          <w:sz w:val="20"/>
        </w:rPr>
      </w:pPr>
      <w:r>
        <w:rPr>
          <w:rFonts w:ascii="Times New Roman" w:hAnsi="Times New Roman"/>
          <w:color w:val="000000"/>
          <w:sz w:val="22"/>
        </w:rPr>
        <w:t>(a) any Subsidiary of the Borrower may be merged or consolidated with or into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Borrower shall be the continuing or surviving corporation) or with or into any other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(x) in any such transaction involving a Wholly Owned Subsidiary Guarantor, the Wholly Owned Subsidiary Guarantor shall be the continuing or surviving corporation, (y) in any such transaction to which the foregoing clause (x) does not apply and involving a Guarantor, the Guarantor shall be the continuing or surviving corporation) and (z) if such Guarantor is a Secured Guarantor, then the continuing or surviving corporation shall be a Secured Guarantor;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Subsidiary of the Borrower may Dispose of any or all of its assets (i) to the Borrower or any Wholly Owned Subsidiary Guarantor (upon voluntary liquidation or otherwise) or (ii) pursuant to a Disposition permitted by Section 7.5;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transferor Subsidiary is a Secured Guarantor, then the transferee Subsidiary shall be a Secured Guarantor;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Investment expressly permitted by Section 7.8 may be structured as a merger, consolidation or amalgamation;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any Subsidiary that is an LLC may consummate a Division as the Dividing Person if, immediately upon the consummation of the Division, the assets of the applicable Dividing Person are held by one or more Guarantors at such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Dividing Person is a Secured Guarantor prior to consummation of the Division, then the assets of such Dividing Person shall be held by one or more Secured Guarantors after the consummation of the Division.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in this Agreement, any Subsidiary which is a Division Successor resulting from a Division of assets of a Subsidiary that is not a Non-Material Subsidiary may not be deemed to be a Non-Material Subsidiary at the time of or in connection with the applicable Division.</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7.5</w:t>
      </w:r>
      <w:r>
        <w:rPr>
          <w:rFonts w:ascii="Times New Roman" w:hAnsi="Times New Roman"/>
          <w:color w:val="000000"/>
          <w:sz w:val="20"/>
          <w:u w:val="single"/>
        </w:rPr>
        <w:t xml:space="preserve"> </w:t>
      </w:r>
      <w:r>
        <w:rPr>
          <w:rFonts w:ascii="Times New Roman" w:hAnsi="Times New Roman"/>
          <w:color w:val="000000"/>
          <w:sz w:val="22"/>
          <w:u w:val="single"/>
        </w:rPr>
        <w:t>Disposition of Property</w:t>
      </w:r>
      <w:r>
        <w:rPr>
          <w:rFonts w:ascii="Times New Roman" w:hAnsi="Times New Roman"/>
          <w:color w:val="000000"/>
          <w:sz w:val="22"/>
        </w:rPr>
        <w:t>. Dispose of any of its property, whether now owned or hereafter acquired, or, in the case of any Subsidiary, issue or sell any shares of such Subsidiary’s Capital Stock to any Person,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Disposition of obsolete or worn out property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sale of inventory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Dispositions permitted by clause (i) of Section 7.4(b) and Section 7.11;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sale or issuance of any Subsidiary’s Capital Stock to the Borrower or any Guarantor;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Capital Stock is owned by a Secured Guarantor, then such sale or issuance shall be limited to the Borrower or any other Secured Guarantor;</w:t>
      </w:r>
    </w:p>
    <w:p>
      <w:pPr>
        <w:pStyle w:val="TextBody"/>
        <w:bidi w:val="0"/>
        <w:spacing w:before="0" w:after="240"/>
        <w:jc w:val="both"/>
        <w:rPr>
          <w:rFonts w:ascii="Times New Roman" w:hAnsi="Times New Roman"/>
          <w:sz w:val="20"/>
        </w:rPr>
      </w:pPr>
      <w:r>
        <w:rPr>
          <w:rFonts w:ascii="Times New Roman" w:hAnsi="Times New Roman"/>
          <w:color w:val="000000"/>
          <w:sz w:val="22"/>
        </w:rPr>
        <w:t>(e) the Disposition by any Subsidiary of the Borrower of substantially all of its accounts receivable to the special purpose Subsidiary referred to in the definition of “</w:t>
      </w:r>
      <w:r>
        <w:rPr>
          <w:rFonts w:ascii="Times New Roman" w:hAnsi="Times New Roman"/>
          <w:color w:val="000000"/>
          <w:sz w:val="22"/>
          <w:u w:val="single"/>
        </w:rPr>
        <w:t>Receivables Financing</w:t>
      </w:r>
      <w:r>
        <w:rPr>
          <w:rFonts w:ascii="Times New Roman" w:hAnsi="Times New Roman"/>
          <w:color w:val="000000"/>
          <w:sz w:val="20"/>
        </w:rPr>
        <w:t xml:space="preserve">” </w:t>
      </w:r>
      <w:r>
        <w:rPr>
          <w:rFonts w:ascii="Times New Roman" w:hAnsi="Times New Roman"/>
          <w:color w:val="000000"/>
          <w:sz w:val="22"/>
        </w:rPr>
        <w:t>pursuant to the Receivables Financing and such Subsidiary may obtain financing of up to $600,000,000 by selling or pledging substantially all such accounts receivable to certain investors;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Disposition of (i) other property having a fair market value not to exceed, in the aggregate for any fiscal year of the Borrower, 5.0% of the consolidated total assets of the Borrower and its Subsidiaries (calculated in conformity with GAAP based on the annual financial statements for the prior fiscal year of the Borrower delivered to the Administrative Agent pursuant to Section 6.1(a)) and (ii) Non-Material Subsidiaries (or property of Non-Material Subsidiaries) having a fair market value not to exceed, in the aggregate during the term of this Agreement, the Non-Material Subsidiary Cap;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any Disposition required to be made by any Governmental Authority.</w:t>
      </w:r>
    </w:p>
    <w:p>
      <w:pPr>
        <w:pStyle w:val="TextBody"/>
        <w:bidi w:val="0"/>
        <w:spacing w:before="0" w:after="240"/>
        <w:jc w:val="both"/>
        <w:rPr>
          <w:rFonts w:ascii="Times New Roman" w:hAnsi="Times New Roman"/>
          <w:sz w:val="20"/>
        </w:rPr>
      </w:pPr>
      <w:r>
        <w:rPr>
          <w:rFonts w:ascii="Times New Roman" w:hAnsi="Times New Roman"/>
          <w:color w:val="000000"/>
          <w:sz w:val="22"/>
        </w:rPr>
        <w:t>7.6</w:t>
      </w:r>
      <w:r>
        <w:rPr>
          <w:rFonts w:ascii="Times New Roman" w:hAnsi="Times New Roman"/>
          <w:color w:val="000000"/>
          <w:sz w:val="20"/>
          <w:u w:val="single"/>
        </w:rPr>
        <w:t xml:space="preserve"> </w:t>
      </w:r>
      <w:r>
        <w:rPr>
          <w:rFonts w:ascii="Times New Roman" w:hAnsi="Times New Roman"/>
          <w:color w:val="000000"/>
          <w:sz w:val="22"/>
          <w:u w:val="single"/>
        </w:rPr>
        <w:t>Restricted Payments</w:t>
      </w:r>
      <w:r>
        <w:rPr>
          <w:rFonts w:ascii="Times New Roman" w:hAnsi="Times New Roman"/>
          <w:color w:val="000000"/>
          <w:sz w:val="22"/>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(other than any Permitted Bond Hedge and any Permitted Warrant) of any Group Member, whether now or hereafter outstanding, or make any other distribution in respect thereof, either directly or indirectly, whether in cash or property or in obligations of any Group Member (collectively, “Restricted Payments”), except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Subsidiary may make Restricted Payments ratably to its respective shareholders;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so long as no Event of Default shall have occurred and be continuing, the Borrower may purchase the Borrower’s common stock or common stock options from present or former officers or employees of any Group Member upon the death, disability or termination of employment of such officer or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may declare and pay quarterly dividends with respect to the common stock of the Borrower not to exceed $0.10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payment of cash by the Borrower or the Subsidiary issuer upon conversion or exchange of any Convertible Notes;</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other Restricted Payments not to exceed the Available Excess Cash Flow Amount on such date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 the cumulative amount used to make Investments pursuant to Section 7.8(i) and (ii) the cumulative amount used to make Restricted Payments pursuant to this clause (e) prior to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 addition to Restricted Payments otherwise expressly permitted by this Section, Restricted Payments by the Borrower in an aggregate amount not to exceed the difference between (x) $400,000,000 since the Tenth Amendment Effective Date and (y) the cumulative amount (valued at cost) used to make Investments pursuant to Section 7.8(m) prior to the date of such Restricted Payment;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other Restricted Payments;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the Consolidated Net Leverage Ratio, calculated on a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forma</w:t>
      </w:r>
      <w:r>
        <w:rPr>
          <w:rFonts w:ascii="Times New Roman" w:hAnsi="Times New Roman"/>
          <w:color w:val="000000"/>
          <w:sz w:val="20"/>
        </w:rPr>
        <w:t xml:space="preserve"> </w:t>
      </w:r>
      <w:r>
        <w:rPr>
          <w:rFonts w:ascii="Times New Roman" w:hAnsi="Times New Roman"/>
          <w:color w:val="000000"/>
          <w:sz w:val="22"/>
        </w:rPr>
        <w:t>basis after giving effect to such Restricted Payments and the incurrence of all Indebtedness in connection therewith for the four most-recent fiscal quarters shall not be more than 3.50 to 1.00 and (ii) no Default or Event of Default shall then exist or would exist after giving effect thereto.</w:t>
      </w:r>
    </w:p>
    <w:p>
      <w:pPr>
        <w:pStyle w:val="TextBody"/>
        <w:bidi w:val="0"/>
        <w:spacing w:before="0" w:after="240"/>
        <w:jc w:val="both"/>
        <w:rPr>
          <w:rFonts w:ascii="Times New Roman" w:hAnsi="Times New Roman"/>
          <w:sz w:val="20"/>
        </w:rPr>
      </w:pPr>
      <w:r>
        <w:rPr>
          <w:rFonts w:ascii="Times New Roman" w:hAnsi="Times New Roman"/>
          <w:color w:val="000000"/>
          <w:sz w:val="22"/>
        </w:rPr>
        <w:t>7.7</w:t>
      </w:r>
      <w:r>
        <w:rPr>
          <w:rFonts w:ascii="Times New Roman" w:hAnsi="Times New Roman"/>
          <w:color w:val="000000"/>
          <w:sz w:val="20"/>
          <w:u w:val="single"/>
        </w:rPr>
        <w:t xml:space="preserve">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7.8</w:t>
      </w:r>
      <w:r>
        <w:rPr>
          <w:rFonts w:ascii="Times New Roman" w:hAnsi="Times New Roman"/>
          <w:color w:val="000000"/>
          <w:sz w:val="20"/>
          <w:u w:val="single"/>
        </w:rPr>
        <w:t xml:space="preserve"> </w:t>
      </w:r>
      <w:r>
        <w:rPr>
          <w:rFonts w:ascii="Times New Roman" w:hAnsi="Times New Roman"/>
          <w:color w:val="000000"/>
          <w:sz w:val="22"/>
          <w:u w:val="single"/>
        </w:rPr>
        <w:t>Investments</w:t>
      </w:r>
      <w:r>
        <w:rPr>
          <w:rFonts w:ascii="Times New Roman" w:hAnsi="Times New Roman"/>
          <w:color w:val="000000"/>
          <w:sz w:val="22"/>
        </w:rPr>
        <w:t>. Make any advance, loan, extension of credit (by way of guaranty or otherwise) or capital contribution to, or purchase, hold or acquire (including pursuant to any merger with, or as a Division Successor pursuant to the Division of, any Person that was not a wholly owned Subsidiary prior to such merger or Division) any Capital Stock, bonds, notes, debentures or other debt securities of, or any assets constituting a business unit of, or make any other investment in, any Person (all of the foregoing, “Investments”),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Investments in existence on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extensions of trade credit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investments in Cash Equivalents;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Guarantee Obligations permitted by Section 7.2;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loans and advances to employees of any Group Member in the ordinary course of business (including for travel, entertainment and relocation expenses) not to exceed $10,000,000 in the aggregate at any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Investments in assets useful in the business of the Borrower and its Subsidiaries made by the Borrower or any of its Subsidiaries with the proceeds of any Reinvestment Deferred Amount;</w:t>
      </w:r>
    </w:p>
    <w:p>
      <w:pPr>
        <w:pStyle w:val="TextBody"/>
        <w:bidi w:val="0"/>
        <w:spacing w:before="0" w:after="240"/>
        <w:jc w:val="both"/>
        <w:rPr>
          <w:rFonts w:ascii="Times New Roman" w:hAnsi="Times New Roman"/>
          <w:sz w:val="20"/>
        </w:rPr>
      </w:pPr>
      <w:r>
        <w:rPr>
          <w:rFonts w:ascii="Times New Roman" w:hAnsi="Times New Roman"/>
          <w:color w:val="000000"/>
          <w:sz w:val="22"/>
        </w:rPr>
        <w:t>(h) intercompany Investments by any Group Member in the Borrower or any Person that, prior to such investment, is a Subsidiary or, promptly after such Investment becomes a Subsidiary and performs the actions set forth in Section 6.10(</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provided that the amount of intercompany Investments made in any Subsidiary that is not a Guarantor pursuant to this clause (h) shall not exceed $100,000,000 in the aggregate;</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so long as no Event of Default shall have occurred and be continuing, other Investments (valued at cost) not to exceed the Available Excess Cash Flow Amount on such date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 the cumulative amount used to make Restricted Payments pursuant to Section 7.6(e) and (ii) the cumulative amount used to make Investments pursuant to this clause (i) prior to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Investments in any Permitted Bond Hedge;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Investments by means of any payment of cash by the Borrower or the Subsidiary issuer upon conversion or exchange of any Convertible Notes;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Investments in Non-Material Subsidiaries to the extent the proceeds of such loans are used to fund Capital Expenditures;</w:t>
      </w:r>
    </w:p>
    <w:p>
      <w:pPr>
        <w:pStyle w:val="TextBody"/>
        <w:bidi w:val="0"/>
        <w:spacing w:before="0" w:after="240"/>
        <w:jc w:val="both"/>
        <w:rPr>
          <w:rFonts w:ascii="Times New Roman" w:hAnsi="Times New Roman"/>
          <w:sz w:val="20"/>
        </w:rPr>
      </w:pPr>
      <w:r>
        <w:rPr>
          <w:rFonts w:ascii="Times New Roman" w:hAnsi="Times New Roman"/>
          <w:color w:val="000000"/>
          <w:sz w:val="22"/>
        </w:rPr>
        <w:t>(m) in addition to Investments otherwise expressly permitted by this Section, (i) Investments by the Borrower or any of its Subsidiaries in an aggregate amount (valued at cost) not to exceed the difference between (x) $400,000,000 since the Tenth</w:t>
      </w:r>
      <w:r>
        <w:rPr>
          <w:rFonts w:ascii="Times New Roman" w:hAnsi="Times New Roman"/>
          <w:color w:val="000000"/>
          <w:sz w:val="20"/>
        </w:rPr>
        <w:t xml:space="preserve"> </w:t>
      </w:r>
      <w:r>
        <w:rPr>
          <w:rFonts w:ascii="Times New Roman" w:hAnsi="Times New Roman"/>
          <w:color w:val="000000"/>
          <w:sz w:val="22"/>
        </w:rPr>
        <w:t xml:space="preserve">Amendment Effective Date and (y) the cumulative amount used to make Restricted Payments pursuant to Section 7.6(f) prior to the date of such Investment and (ii) other Investments by the Borrower or any of its Subsidiaries; provided that (i) the Consolidated Net Leverage Ratio, calculated on a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forma</w:t>
      </w:r>
      <w:r>
        <w:rPr>
          <w:rFonts w:ascii="Times New Roman" w:hAnsi="Times New Roman"/>
          <w:color w:val="000000"/>
          <w:sz w:val="20"/>
        </w:rPr>
        <w:t xml:space="preserve"> </w:t>
      </w:r>
      <w:r>
        <w:rPr>
          <w:rFonts w:ascii="Times New Roman" w:hAnsi="Times New Roman"/>
          <w:color w:val="000000"/>
          <w:sz w:val="22"/>
        </w:rPr>
        <w:t>basis after giving effect to any such Investment for the four most-recent fiscal quarters shall not be more than 3.50 to 1.00 (or, in the case of an Investment that constitutes a Material Permitted Acquisition with respect to which Borrower has delivered written notice of election to the Administrative Agent in accordance with Section 7.1(a), the applicable Consolidated Net Leverage Ratio that will be required under Section 7.1(a) for the four quarters following such Material Permitted Acquisition after giving effect to the election) and (ii) no Default or Event of Default shall then exist or would exist after giving effect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purposes of determining the amount of Investments made, the amount of any Investment made by a Subsidiary that is not a wholly-owned Subsidiary of the Borrower shall only include the allocable portion of such Investment corresponding to the Borrower’s direct or indirect ownership interest in such Subsidiary.</w:t>
      </w:r>
    </w:p>
    <w:p>
      <w:pPr>
        <w:pStyle w:val="TextBody"/>
        <w:bidi w:val="0"/>
        <w:spacing w:before="0" w:after="240"/>
        <w:jc w:val="both"/>
        <w:rPr>
          <w:rFonts w:ascii="Times New Roman" w:hAnsi="Times New Roman"/>
          <w:sz w:val="20"/>
        </w:rPr>
      </w:pPr>
      <w:r>
        <w:rPr>
          <w:rFonts w:ascii="Times New Roman" w:hAnsi="Times New Roman"/>
          <w:color w:val="000000"/>
          <w:sz w:val="22"/>
        </w:rPr>
        <w:t>7.9</w:t>
      </w:r>
      <w:r>
        <w:rPr>
          <w:rFonts w:ascii="Times New Roman" w:hAnsi="Times New Roman"/>
          <w:color w:val="000000"/>
          <w:sz w:val="20"/>
          <w:u w:val="single"/>
        </w:rPr>
        <w:t xml:space="preserve"> </w:t>
      </w:r>
      <w:r>
        <w:rPr>
          <w:rFonts w:ascii="Times New Roman" w:hAnsi="Times New Roman"/>
          <w:color w:val="000000"/>
          <w:sz w:val="22"/>
          <w:u w:val="single"/>
        </w:rPr>
        <w:t>Optional Payments and Modifications of Certain Debt Instruments</w:t>
      </w:r>
      <w:r>
        <w:rPr>
          <w:rFonts w:ascii="Times New Roman" w:hAnsi="Times New Roman"/>
          <w:color w:val="000000"/>
          <w:sz w:val="22"/>
        </w:rPr>
        <w:t>. (a) Make or offer to make any optional or voluntary payment, prepayment, repurchase or redemption of or otherwise optionally or voluntarily defease or segregate funds with respect to the Secured Senior Notes or any Subordinated Indebtedness other than in connection with a refinancing thereof permitted by Section 7.2(m) unless (i) the Consolidated Net Leverage Ratio, calculated on a pro forma basis after giving effect to such prepayment, redemption or purchase for the four most-recent fiscal quarters shall not be more than 3.50 to 1.00 and (ii) no Default or Event of Default shall then exist or would exist after giving effect thereto or (b) amend, modify, waive or otherwise change, or consent or agree to any amendment, modification, waiver or other change to, any of the terms of any of the Secured Senior Notes to the extent that such amendment, modification, waiver or change could reasonably be expected to be adverse in any material respect to the Lenders.</w:t>
      </w:r>
    </w:p>
    <w:p>
      <w:pPr>
        <w:pStyle w:val="TextBody"/>
        <w:bidi w:val="0"/>
        <w:spacing w:before="0" w:after="240"/>
        <w:jc w:val="both"/>
        <w:rPr>
          <w:rFonts w:ascii="Times New Roman" w:hAnsi="Times New Roman"/>
          <w:sz w:val="20"/>
        </w:rPr>
      </w:pPr>
      <w:r>
        <w:rPr>
          <w:rFonts w:ascii="Times New Roman" w:hAnsi="Times New Roman"/>
          <w:color w:val="000000"/>
          <w:sz w:val="22"/>
        </w:rPr>
        <w:t>7.10</w:t>
      </w:r>
      <w:r>
        <w:rPr>
          <w:rFonts w:ascii="Times New Roman" w:hAnsi="Times New Roman"/>
          <w:color w:val="000000"/>
          <w:sz w:val="20"/>
          <w:u w:val="single"/>
        </w:rPr>
        <w:t xml:space="preserve"> </w:t>
      </w:r>
      <w:r>
        <w:rPr>
          <w:rFonts w:ascii="Times New Roman" w:hAnsi="Times New Roman"/>
          <w:color w:val="000000"/>
          <w:sz w:val="22"/>
          <w:u w:val="single"/>
        </w:rPr>
        <w:t>Transactions with Affiliates</w:t>
      </w:r>
      <w:r>
        <w:rPr>
          <w:rFonts w:ascii="Times New Roman" w:hAnsi="Times New Roman"/>
          <w:color w:val="000000"/>
          <w:sz w:val="22"/>
        </w:rPr>
        <w:t>. Except for any transaction (x) consistent with normal business practices consummated pursuant to Management Agreements or (y) involving aggregate payments or consideration not in excess of $25 million,</w:t>
      </w:r>
      <w:r>
        <w:rPr>
          <w:rFonts w:ascii="Times New Roman" w:hAnsi="Times New Roman"/>
          <w:color w:val="000000"/>
          <w:sz w:val="20"/>
        </w:rPr>
        <w:t xml:space="preserve"> </w:t>
      </w:r>
      <w:r>
        <w:rPr>
          <w:rFonts w:ascii="Times New Roman" w:hAnsi="Times New Roman"/>
          <w:color w:val="000000"/>
          <w:sz w:val="22"/>
        </w:rPr>
        <w:t>enter into any transaction, including any purchase, sale, lease or exchange of property, the rendering of any service or the payment of any management, advisory or similar fees, with any Affiliate (other than the Borrower or any Wholly Owned Subsidiary Guarantor) unless such transaction is (a) otherwise permitted under this Agreement, (b) in the ordinary course of business of the relevant Group Member, and (c) upon fair and reasonable terms no less favorable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relevant Group Member than it would obtain in a comparable arm’s length transaction with a Person that is not an Affiliate.</w:t>
      </w:r>
    </w:p>
    <w:p>
      <w:pPr>
        <w:pStyle w:val="TextBody"/>
        <w:bidi w:val="0"/>
        <w:spacing w:before="0" w:after="240"/>
        <w:jc w:val="both"/>
        <w:rPr>
          <w:rFonts w:ascii="Times New Roman" w:hAnsi="Times New Roman"/>
          <w:sz w:val="20"/>
        </w:rPr>
      </w:pPr>
      <w:r>
        <w:rPr>
          <w:rFonts w:ascii="Times New Roman" w:hAnsi="Times New Roman"/>
          <w:color w:val="000000"/>
          <w:sz w:val="22"/>
        </w:rPr>
        <w:t>7.11</w:t>
      </w:r>
      <w:r>
        <w:rPr>
          <w:rFonts w:ascii="Times New Roman" w:hAnsi="Times New Roman"/>
          <w:color w:val="000000"/>
          <w:sz w:val="20"/>
          <w:u w:val="single"/>
        </w:rPr>
        <w:t xml:space="preserve"> </w:t>
      </w:r>
      <w:r>
        <w:rPr>
          <w:rFonts w:ascii="Times New Roman" w:hAnsi="Times New Roman"/>
          <w:color w:val="000000"/>
          <w:sz w:val="22"/>
          <w:u w:val="single"/>
        </w:rPr>
        <w:t>Sales and Leasebacks</w:t>
      </w:r>
      <w:r>
        <w:rPr>
          <w:rFonts w:ascii="Times New Roman" w:hAnsi="Times New Roman"/>
          <w:color w:val="000000"/>
          <w:sz w:val="22"/>
        </w:rPr>
        <w: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Subsidiary that is made for cash consideration in an amount not less than the fair value of such fixed or capital asset and is consummated within 90 days after the Borrower or Subsidiary acquires or completes the construction of such fixed or capital asset, provided that the aggregate amount of sale and leaseback transactions consummated in reliance on this Section 7.11 shall not exceed $100,000,000. Nothing in this Section 7.11 shall prohibit the substitution of properties in a new sale and leaseback arrangement for properties then subject to sale-leaseback arrangements which were in existence on the Tenth Amendment Effective Date or were thereafter effected in compliance with this Section 7.11.</w:t>
      </w:r>
    </w:p>
    <w:p>
      <w:pPr>
        <w:pStyle w:val="TextBody"/>
        <w:bidi w:val="0"/>
        <w:spacing w:before="0" w:after="240"/>
        <w:jc w:val="both"/>
        <w:rPr>
          <w:rFonts w:ascii="Times New Roman" w:hAnsi="Times New Roman"/>
          <w:sz w:val="20"/>
        </w:rPr>
      </w:pPr>
      <w:r>
        <w:rPr>
          <w:rFonts w:ascii="Times New Roman" w:hAnsi="Times New Roman"/>
          <w:color w:val="000000"/>
          <w:sz w:val="22"/>
        </w:rPr>
        <w:t>7.12</w:t>
      </w:r>
      <w:r>
        <w:rPr>
          <w:rFonts w:ascii="Times New Roman" w:hAnsi="Times New Roman"/>
          <w:color w:val="000000"/>
          <w:sz w:val="20"/>
          <w:u w:val="single"/>
        </w:rPr>
        <w:t xml:space="preserve"> </w:t>
      </w:r>
      <w:r>
        <w:rPr>
          <w:rFonts w:ascii="Times New Roman" w:hAnsi="Times New Roman"/>
          <w:color w:val="000000"/>
          <w:sz w:val="22"/>
          <w:u w:val="single"/>
        </w:rPr>
        <w:t>Swap Agreements</w:t>
      </w:r>
      <w:r>
        <w:rPr>
          <w:rFonts w:ascii="Times New Roman" w:hAnsi="Times New Roman"/>
          <w:color w:val="000000"/>
          <w:sz w:val="22"/>
        </w:rPr>
        <w:t>. Enter into any Swap Agreement, except (a) Swap Agreements entered into to hedge or mitigate risks to which the Borrower or any Subsidiary has actual exposure (other than those in respect of Capital Stock, the Secured Senior Notes), (b) Swap Agreements entered into in order to effectively cap, collar or exchange interest rates (from fixed to floating rates, from one floating rate to another floating rate or otherwise) with respect to any interest-bearing liability or investment of the Borrower or any Subsidiary, (c) any Permitted Bond Hedge and (d) any Permitted Warrant.</w:t>
      </w:r>
    </w:p>
    <w:p>
      <w:pPr>
        <w:pStyle w:val="TextBody"/>
        <w:bidi w:val="0"/>
        <w:spacing w:before="0" w:after="240"/>
        <w:jc w:val="both"/>
        <w:rPr>
          <w:rFonts w:ascii="Times New Roman" w:hAnsi="Times New Roman"/>
          <w:sz w:val="20"/>
        </w:rPr>
      </w:pPr>
      <w:r>
        <w:rPr>
          <w:rFonts w:ascii="Times New Roman" w:hAnsi="Times New Roman"/>
          <w:color w:val="000000"/>
          <w:sz w:val="22"/>
        </w:rPr>
        <w:t>7.13</w:t>
      </w:r>
      <w:r>
        <w:rPr>
          <w:rFonts w:ascii="Times New Roman" w:hAnsi="Times New Roman"/>
          <w:color w:val="000000"/>
          <w:sz w:val="20"/>
          <w:u w:val="single"/>
        </w:rPr>
        <w:t xml:space="preserve"> </w:t>
      </w:r>
      <w:r>
        <w:rPr>
          <w:rFonts w:ascii="Times New Roman" w:hAnsi="Times New Roman"/>
          <w:color w:val="000000"/>
          <w:sz w:val="22"/>
          <w:u w:val="single"/>
        </w:rPr>
        <w:t>Changes in Fiscal Periods</w:t>
      </w:r>
      <w:r>
        <w:rPr>
          <w:rFonts w:ascii="Times New Roman" w:hAnsi="Times New Roman"/>
          <w:color w:val="000000"/>
          <w:sz w:val="22"/>
        </w:rPr>
        <w:t>. Permit the fiscal year of the Borrower to end on a day other than December 31 or change the Borrower’s method of determining fiscal quarters.</w:t>
      </w:r>
    </w:p>
    <w:p>
      <w:pPr>
        <w:pStyle w:val="TextBody"/>
        <w:bidi w:val="0"/>
        <w:spacing w:before="0" w:after="240"/>
        <w:jc w:val="both"/>
        <w:rPr>
          <w:rFonts w:ascii="Times New Roman" w:hAnsi="Times New Roman"/>
          <w:sz w:val="20"/>
        </w:rPr>
      </w:pPr>
      <w:r>
        <w:rPr>
          <w:rFonts w:ascii="Times New Roman" w:hAnsi="Times New Roman"/>
          <w:color w:val="000000"/>
          <w:sz w:val="22"/>
        </w:rPr>
        <w:t>7.14</w:t>
      </w:r>
      <w:r>
        <w:rPr>
          <w:rFonts w:ascii="Times New Roman" w:hAnsi="Times New Roman"/>
          <w:color w:val="000000"/>
          <w:sz w:val="20"/>
          <w:u w:val="single"/>
        </w:rPr>
        <w:t xml:space="preserve"> </w:t>
      </w:r>
      <w:r>
        <w:rPr>
          <w:rFonts w:ascii="Times New Roman" w:hAnsi="Times New Roman"/>
          <w:color w:val="000000"/>
          <w:sz w:val="22"/>
          <w:u w:val="single"/>
        </w:rPr>
        <w:t>Negative Pledge Clauses</w:t>
      </w:r>
      <w:r>
        <w:rPr>
          <w:rFonts w:ascii="Times New Roman" w:hAnsi="Times New Roman"/>
          <w:color w:val="000000"/>
          <w:sz w:val="22"/>
        </w:rPr>
        <w:t>. Enter into or suffer to exist or become effective any agreement that prohibits or limits the ability of any Group Member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any agreement governing Indebtedness of a Specified Joint Venture; provided that, in the case of this clause (c), such prohibitions or limitations contained therein do not extend to any other Group Member and (d) the 2020 Indenture, the 2021 Indenture or the 2024 Indenture and any refinancing thereof permitted by Section 7.2(m); provided that the provisions of any such refinancing that prohibit or limit the ability of any Group Member to create, incur, assume or suffer to exist any Lien upon any of its property or revenues, whether now owned or hereafter acquired, to secure its obligations under the Loan Documents to which it is a party are at least as favorable to the Secured Parties as those contained in the 2020 Indenture, the 2021 Indenture or the 2024 Indenture,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7.15</w:t>
      </w:r>
      <w:r>
        <w:rPr>
          <w:rFonts w:ascii="Times New Roman" w:hAnsi="Times New Roman"/>
          <w:color w:val="000000"/>
          <w:sz w:val="20"/>
          <w:u w:val="single"/>
        </w:rPr>
        <w:t xml:space="preserve"> </w:t>
      </w:r>
      <w:r>
        <w:rPr>
          <w:rFonts w:ascii="Times New Roman" w:hAnsi="Times New Roman"/>
          <w:color w:val="000000"/>
          <w:sz w:val="22"/>
          <w:u w:val="single"/>
        </w:rPr>
        <w:t>Clauses Restricting Subsidiary Distributions</w:t>
      </w:r>
      <w:r>
        <w:rPr>
          <w:rFonts w:ascii="Times New Roman" w:hAnsi="Times New Roman"/>
          <w:color w:val="000000"/>
          <w:sz w:val="22"/>
        </w:rPr>
        <w:t>. Enter into or suffer to exist or become effective any consensual encumbrance or restriction on the ability of any Subsidiary of the Borrower to (a) make Restricted Payments in respect of any Capital Stock of such Subsidiary held by, or pay any Indebtedness owed to, the Borrower or any other Subsidiary of the Borrower, (b) make loans or advances to, or other Investments in, the Borrower or any other Subsidiary of the Borrower or (c) transfer any of its assets to the Borrower or any other Subsidiary of the Borrower, except for such encumbrances or restrictions existing under or by reason of (i) any restrictions existing under the Loan Documents, (ii) any restrictions with respect to a Subsidiary imposed pursuant to an agreement that has been entered into in connection with the Disposition of all or substantially all of the Capital Stock or assets of such Subsidiary, (iii) with respect to any Subsidiary that is not a Wholly Owned Subsidiary, restrictions contained in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formation documents of such Subsidiary (provided that in the case of any such Subsidiary in existence on the Closing Date, the exception provided for in this clause (iii) shall only be applicable with respect to the formation documents of such Subsidiary as in effect on July 9, 2010, or the date of formation of such Subsidiary if a later date) and (iv) the 2020 Indenture, the 2021 Indenture or the 2024 Indenture and any refinancing thereof permitted by Section 7.2(m); provided that the provisions of any such refinancing that impose any encumbrance or restriction described in the foregoing clauses (a) through (c) are at least as favorable to the Secured Parties as those contained in the 2020 Indenture, the 2021 Indenture or the 2024 Indenture,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7.16</w:t>
      </w:r>
      <w:r>
        <w:rPr>
          <w:rFonts w:ascii="Times New Roman" w:hAnsi="Times New Roman"/>
          <w:color w:val="000000"/>
          <w:sz w:val="20"/>
          <w:u w:val="single"/>
        </w:rPr>
        <w:t xml:space="preserve"> </w:t>
      </w:r>
      <w:r>
        <w:rPr>
          <w:rFonts w:ascii="Times New Roman" w:hAnsi="Times New Roman"/>
          <w:color w:val="000000"/>
          <w:sz w:val="22"/>
          <w:u w:val="single"/>
        </w:rPr>
        <w:t>Lines of Business</w:t>
      </w:r>
      <w:r>
        <w:rPr>
          <w:rFonts w:ascii="Times New Roman" w:hAnsi="Times New Roman"/>
          <w:color w:val="000000"/>
          <w:sz w:val="22"/>
        </w:rPr>
        <w:t>. Enter into any business, either directly or through any Subsidiary, except for those businesses of the same general type in which the Borrower and its Subsidiaries are engaged on the date of this Agreement or that are reasonably related thereto.</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8.</w:t>
      </w:r>
      <w:r>
        <w:rPr>
          <w:rFonts w:ascii="Times New Roman" w:hAnsi="Times New Roman"/>
          <w:color w:val="000000"/>
          <w:sz w:val="20"/>
        </w:rPr>
        <w:t xml:space="preserve"> </w:t>
      </w:r>
      <w:r>
        <w:rPr>
          <w:rFonts w:ascii="Times New Roman" w:hAnsi="Times New Roman"/>
          <w:color w:val="000000"/>
          <w:sz w:val="22"/>
        </w:rPr>
        <w:t>EVENTS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of the following events shall occur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five days after any such interest or other amount becomes due in accordance with the terms 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Loan Party shall default in the observance or performance of any agreement contained in clause (i) of Section 6.4(a) (with respect to the Borrower only), Section 6.7(a) or Section 7 of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pStyle w:val="TextBody"/>
        <w:bidi w:val="0"/>
        <w:spacing w:before="0" w:after="240"/>
        <w:jc w:val="both"/>
        <w:rPr>
          <w:rFonts w:ascii="Times New Roman" w:hAnsi="Times New Roman"/>
          <w:sz w:val="20"/>
        </w:rPr>
      </w:pPr>
      <w:r>
        <w:rPr>
          <w:rFonts w:ascii="Times New Roman" w:hAnsi="Times New Roman"/>
          <w:color w:val="000000"/>
          <w:sz w:val="22"/>
        </w:rPr>
        <w:t>(e) (i) any Group Member shall (A) default in making any payment of any principal of any Indebtedness (including any Guarantee Obligation, but excluding the Loans) on the scheduled or original due date with respect thereto; or (B) default in making any payment of any interest on any such Indebtedness beyond the period of grace, if any, provided in the instrument or agreement under which such Indebtedness was created; or (C) default in the observance or performance of any other agreement or condition relating to any such Indebtedness or contained in any instrument or agreement evidencing, securing or relating thereto, or any other event shall occur or condition exist (other than any event or condition that permits the holder(s) of any Convertible Notes to convert or exchange such Indebtedness, by its terms, into or for cash and/or common stock of the Borrower),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payable or (ii) there occurs under any Swap Agreement an Early Termination Date or similar concept (as defined in such Swap Agreement) resulting from (A) any event of default under such Swap Agreement as to which a Group Member is the Defaulting Party or similar concept (as defined in such Swap Agreement) or (B) any Additional Termination Event or similar concept (as so defined) under such Swap Agreement as to which a Group Member is the sole Affected Party or similar concept (as so defined); </w:t>
      </w:r>
      <w:r>
        <w:rPr>
          <w:rFonts w:ascii="Times New Roman" w:hAnsi="Times New Roman"/>
          <w:color w:val="000000"/>
          <w:sz w:val="22"/>
          <w:u w:val="single"/>
        </w:rPr>
        <w:t>provided</w:t>
      </w:r>
      <w:r>
        <w:rPr>
          <w:rFonts w:ascii="Times New Roman" w:hAnsi="Times New Roman"/>
          <w:color w:val="000000"/>
          <w:sz w:val="22"/>
        </w:rPr>
        <w:t>, that a default, event or condition described in clause (i)(A), (i)(B), (i)(C), (ii)(A) or (ii)(B) of this paragraph (e) shall not at any time constitute an Event of Default unless, at such time, one or more defaults, events or conditions of the type described in such clauses shall have occurred and be continuing and the aggregate of (x) in the case of clauses (i)(A), (i)(B), (i)(C) of this paragraph (e), the aggregate outstanding principal amount of the relevant Indebtedness plus (y) in the case of clauses (ii)(A) and (ii)(B) of this paragraph (e), the Swap Termination Value owed by the relevant Group Members as a result of any such events is $100,000,000 or more;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 any Group Member (other than a Non-Material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noBreakHyphen/>
        <w:t>up, liquidation, dissolution, composition or other relief with respect to it or its debts, or (B) seeking appointment of a receiver, trustee, custodian, conservator or other similar official for it or for all or any substantial part of its assets; or (ii) there shall be commenced against any Group Member (other than a Non-Material Subsidiary) any case, proceeding or other action of a nature referred to in clause (i) above that (A) results in the entry of an order for relief or any such adjudication or appointment or (B) remains undismissed or undischarged for a period of 60 days; or (iii) there shall be commenced against any Group Member (other than a Non-Material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any Group Member (other than a Non-Material Subsidiary) shall take any action in furtherance of, or indicating its consent to, approval of, or acquiescence in, any of the acts set forth in clause (i), (ii), or (iii) above; or (v) any Group Member (other than a Non-Material Subsidiary) shall generally not, or shall be unable to, or shall admit in writing its inability to, pay its debts as they become due; or (vi) or any Group Member (other than a Non-Material Subsidiary) shall make a general assignment for the benefit of its creditors;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 an ERISA Event shall have occurred, (ii) a trustee shall be appointed by a United States district court to administer any Pension Plan, (iii) the PBGC shall institute proceedings to terminate any Pension Plan(s), (iv) any Loan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or (v) any other event or condition shall occur or exist with respect to a Plan; and in each case in clauses (i) through (v) above, such event or condition, together with all other such events or conditions, if any, could reasonably be expected to result in a Material Adverse Effect; or</w:t>
      </w:r>
    </w:p>
    <w:p>
      <w:pPr>
        <w:pStyle w:val="TextBody"/>
        <w:bidi w:val="0"/>
        <w:spacing w:before="0" w:after="240"/>
        <w:jc w:val="both"/>
        <w:rPr>
          <w:rFonts w:ascii="Times New Roman" w:hAnsi="Times New Roman"/>
          <w:sz w:val="20"/>
        </w:rPr>
      </w:pPr>
      <w:r>
        <w:rPr>
          <w:rFonts w:ascii="Times New Roman" w:hAnsi="Times New Roman"/>
          <w:color w:val="000000"/>
          <w:sz w:val="22"/>
        </w:rPr>
        <w:t>(h) one or more judgments or decrees shall be entered against any Group Member involving in the aggregate a liability (not (x) fully covered by insurance as to which the relevant insurance company has acknowledged coverage or (y) paid within 30 days) of $100,000,000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more, and all such judgments or decrees shall not have been vacated, discharged, stayed or bonded pending appeal within 30 days from the entry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of the Security Documents shall cease, for any reason, with respect to a material part of the Collateral to be in full force and effect, or any Loan Party or any Affiliate of any Loan Party shall so assert, or any Lien created by any of the Security Documents on any material part of the Collateral shall cease to be enforceable and of the same effect and priority purported to be created thereby;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guarantee contained in Section 2 of the Subsidiary Guarantee Agreement shall cease, for any reason, to be in full force and effect or any Loan Party or any Affiliate of any Loan Party shall so assert;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 any “person” or “group” (as such terms are used in Sections 13(d) and 14(d) of the Securities Exchange Act of 1934, as amended (the “Exchange Act”)) shall become, or obtain rights (whether by means or warrants, options or otherwise) to become, the “beneficial owner” (as defined in Rules 13(d)-3 and 13(d)</w:t>
        <w:noBreakHyphen/>
        <w:t>5 under the Exchange Act), directly or indirectly, of more than 35% of the outstanding common stock of the Borrower; (ii) the board of directors of the Borrower shall cease to consist of a majority of Continuing Directors; or (iii) so long as the Secured Senior Notes are outstanding, a Specified Change of Control shall occur,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then, and in any such event, (A) if such event is an Event of Default specified in clause (i) or (ii) of paragraph (f)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Section, presentment, demand, protest and all other notices of any kind are hereby expressly waived by the Borrower.</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9.</w:t>
      </w:r>
      <w:r>
        <w:rPr>
          <w:rFonts w:ascii="Times New Roman" w:hAnsi="Times New Roman"/>
          <w:color w:val="000000"/>
          <w:sz w:val="20"/>
        </w:rPr>
        <w:t xml:space="preserve"> </w:t>
      </w:r>
      <w:r>
        <w:rPr>
          <w:rFonts w:ascii="Times New Roman" w:hAnsi="Times New Roman"/>
          <w:color w:val="000000"/>
          <w:sz w:val="22"/>
        </w:rPr>
        <w:t>THE AGENTS</w:t>
      </w:r>
    </w:p>
    <w:p>
      <w:pPr>
        <w:pStyle w:val="TextBody"/>
        <w:bidi w:val="0"/>
        <w:spacing w:before="0" w:after="240"/>
        <w:jc w:val="both"/>
        <w:rPr>
          <w:rFonts w:ascii="Times New Roman" w:hAnsi="Times New Roman"/>
          <w:sz w:val="20"/>
        </w:rPr>
      </w:pPr>
      <w:r>
        <w:rPr>
          <w:rFonts w:ascii="Times New Roman" w:hAnsi="Times New Roman"/>
          <w:color w:val="000000"/>
          <w:sz w:val="22"/>
        </w:rPr>
        <w:t>9.1</w:t>
      </w:r>
      <w:r>
        <w:rPr>
          <w:rFonts w:ascii="Times New Roman" w:hAnsi="Times New Roman"/>
          <w:color w:val="000000"/>
          <w:sz w:val="20"/>
          <w:u w:val="single"/>
        </w:rPr>
        <w:t xml:space="preserve"> </w:t>
      </w:r>
      <w:r>
        <w:rPr>
          <w:rFonts w:ascii="Times New Roman" w:hAnsi="Times New Roman"/>
          <w:color w:val="000000"/>
          <w:sz w:val="22"/>
          <w:u w:val="single"/>
        </w:rPr>
        <w:t>Appointment</w:t>
      </w:r>
      <w:r>
        <w:rPr>
          <w:rFonts w:ascii="Times New Roman" w:hAnsi="Times New Roman"/>
          <w:color w:val="000000"/>
          <w:sz w:val="22"/>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9.2</w:t>
      </w:r>
      <w:r>
        <w:rPr>
          <w:rFonts w:ascii="Times New Roman" w:hAnsi="Times New Roman"/>
          <w:color w:val="000000"/>
          <w:sz w:val="20"/>
          <w:u w:val="single"/>
        </w:rPr>
        <w:t xml:space="preserve"> </w:t>
      </w:r>
      <w:r>
        <w:rPr>
          <w:rFonts w:ascii="Times New Roman" w:hAnsi="Times New Roman"/>
          <w:color w:val="000000"/>
          <w:sz w:val="22"/>
          <w:u w:val="single"/>
        </w:rPr>
        <w:t>Delegation of Duties</w:t>
      </w:r>
      <w:r>
        <w:rPr>
          <w:rFonts w:ascii="Times New Roman" w:hAnsi="Times New Roman"/>
          <w:color w:val="000000"/>
          <w:sz w:val="22"/>
        </w:rPr>
        <w:t>. The Administrative Agent may execute any of its duties under this Agreement and the other Loan Documents by or through agents or attorneys</w:t>
        <w:noBreakHyphen/>
        <w:t>in</w:t>
        <w:noBreakHyphen/>
        <w:t>fact and shall be entitled to advice of counsel concerning all matters pertaining to such duties. The Administrative Agent shall not be responsible for the negligence or misconduct of any agents or attorneys-in</w:t>
        <w:noBreakHyphen/>
        <w:t>fact selected by it with reasonable care.</w:t>
      </w:r>
    </w:p>
    <w:p>
      <w:pPr>
        <w:pStyle w:val="TextBody"/>
        <w:bidi w:val="0"/>
        <w:spacing w:before="0" w:after="240"/>
        <w:jc w:val="both"/>
        <w:rPr>
          <w:rFonts w:ascii="Times New Roman" w:hAnsi="Times New Roman"/>
          <w:sz w:val="20"/>
        </w:rPr>
      </w:pPr>
      <w:r>
        <w:rPr>
          <w:rFonts w:ascii="Times New Roman" w:hAnsi="Times New Roman"/>
          <w:color w:val="000000"/>
          <w:sz w:val="22"/>
        </w:rPr>
        <w:t>9.3</w:t>
      </w:r>
      <w:r>
        <w:rPr>
          <w:rFonts w:ascii="Times New Roman" w:hAnsi="Times New Roman"/>
          <w:color w:val="000000"/>
          <w:sz w:val="20"/>
          <w:u w:val="single"/>
        </w:rPr>
        <w:t xml:space="preserve"> </w:t>
      </w:r>
      <w:r>
        <w:rPr>
          <w:rFonts w:ascii="Times New Roman" w:hAnsi="Times New Roman"/>
          <w:color w:val="000000"/>
          <w:sz w:val="22"/>
          <w:u w:val="single"/>
        </w:rPr>
        <w:t>Exculpatory Provisions; Limitation of Liability</w:t>
      </w:r>
      <w:r>
        <w:rPr>
          <w:rFonts w:ascii="Times New Roman" w:hAnsi="Times New Roman"/>
          <w:color w:val="000000"/>
          <w:sz w:val="22"/>
        </w:rPr>
        <w:t>. (a) Neither any Agent nor any of their respective officers, directors, employees, agents, advisors, attorneys</w:t>
        <w:noBreakHyphen/>
        <w:t>in</w:t>
        <w:noBreakHyphen/>
        <w:t>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pStyle w:val="TextBody"/>
        <w:bidi w:val="0"/>
        <w:spacing w:before="0" w:after="240"/>
        <w:jc w:val="both"/>
        <w:rPr>
          <w:rFonts w:ascii="Times New Roman" w:hAnsi="Times New Roman"/>
          <w:sz w:val="20"/>
        </w:rPr>
      </w:pPr>
      <w:r>
        <w:rPr>
          <w:rFonts w:ascii="Times New Roman" w:hAnsi="Times New Roman"/>
          <w:color w:val="000000"/>
          <w:sz w:val="22"/>
        </w:rPr>
        <w:t>(b) To the extent permitted by applicable law (i) the Borrower and any Loan Party shall not assert, and the Borrower and each Loan Party hereby waives, any claim against the Administrative Agent, any Joint Lead Arranger, any Co-Syndication Agent, any Co-Documentation Agent , any Issuing Lender and any Lender, and any affiliates and the respective directors, officers, employees, agents and advisors of such Person and such Person’s affiliates of any of the foregoing Persons (each such Person being called a “</w:t>
      </w:r>
      <w:r>
        <w:rPr>
          <w:rFonts w:ascii="Times New Roman" w:hAnsi="Times New Roman"/>
          <w:color w:val="000000"/>
          <w:sz w:val="22"/>
          <w:u w:val="single"/>
        </w:rPr>
        <w:t>Lender-Related Person</w:t>
      </w:r>
      <w:r>
        <w:rPr>
          <w:rFonts w:ascii="Times New Roman" w:hAnsi="Times New Roman"/>
          <w:color w:val="000000"/>
          <w:sz w:val="20"/>
        </w:rPr>
        <w:t>”</w:t>
      </w:r>
      <w:r>
        <w:rPr>
          <w:rFonts w:ascii="Times New Roman" w:hAnsi="Times New Roman"/>
          <w:color w:val="000000"/>
          <w:sz w:val="22"/>
        </w:rPr>
        <w:t>)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losses, claims (including intraparty claims), demands, damages or liabilities of any kind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9.3(b) shall relieve the Borrower and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Party of any obligation it may have to indemnify an Indemnitee, as provided in ‎Section 10.5, against any special, indirect, consequential or punitive damages asserted against such Indemnitee by a third party.</w:t>
      </w:r>
    </w:p>
    <w:p>
      <w:pPr>
        <w:pStyle w:val="TextBody"/>
        <w:bidi w:val="0"/>
        <w:spacing w:before="0" w:after="240"/>
        <w:jc w:val="both"/>
        <w:rPr>
          <w:rFonts w:ascii="Times New Roman" w:hAnsi="Times New Roman"/>
          <w:sz w:val="20"/>
        </w:rPr>
      </w:pPr>
      <w:r>
        <w:rPr>
          <w:rFonts w:ascii="Times New Roman" w:hAnsi="Times New Roman"/>
          <w:color w:val="000000"/>
          <w:sz w:val="22"/>
        </w:rPr>
        <w:t>9.4</w:t>
      </w:r>
      <w:r>
        <w:rPr>
          <w:rFonts w:ascii="Times New Roman" w:hAnsi="Times New Roman"/>
          <w:color w:val="000000"/>
          <w:sz w:val="20"/>
          <w:u w:val="single"/>
        </w:rPr>
        <w:t xml:space="preserve"> </w:t>
      </w:r>
      <w:r>
        <w:rPr>
          <w:rFonts w:ascii="Times New Roman" w:hAnsi="Times New Roman"/>
          <w:color w:val="000000"/>
          <w:sz w:val="22"/>
          <w:u w:val="single"/>
        </w:rPr>
        <w:t>Reliance by Administrative Agent</w:t>
      </w:r>
      <w:r>
        <w:rPr>
          <w:rFonts w:ascii="Times New Roman" w:hAnsi="Times New Roman"/>
          <w:color w:val="000000"/>
          <w:sz w:val="22"/>
        </w:rPr>
        <w:t>. The Administrative Agent (including in its capacity as Collateral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pStyle w:val="TextBody"/>
        <w:bidi w:val="0"/>
        <w:spacing w:before="0" w:after="240"/>
        <w:jc w:val="both"/>
        <w:rPr>
          <w:rFonts w:ascii="Times New Roman" w:hAnsi="Times New Roman"/>
          <w:sz w:val="20"/>
        </w:rPr>
      </w:pPr>
      <w:r>
        <w:rPr>
          <w:rFonts w:ascii="Times New Roman" w:hAnsi="Times New Roman"/>
          <w:color w:val="000000"/>
          <w:sz w:val="22"/>
        </w:rPr>
        <w:t>9.5</w:t>
      </w:r>
      <w:r>
        <w:rPr>
          <w:rFonts w:ascii="Times New Roman" w:hAnsi="Times New Roman"/>
          <w:color w:val="000000"/>
          <w:sz w:val="20"/>
          <w:u w:val="single"/>
        </w:rPr>
        <w:t xml:space="preserve"> </w:t>
      </w:r>
      <w:r>
        <w:rPr>
          <w:rFonts w:ascii="Times New Roman" w:hAnsi="Times New Roman"/>
          <w:color w:val="000000"/>
          <w:sz w:val="22"/>
          <w:u w:val="single"/>
        </w:rPr>
        <w:t>Notice of Default</w:t>
      </w:r>
      <w:r>
        <w:rPr>
          <w:rFonts w:ascii="Times New Roman" w:hAnsi="Times New Roman"/>
          <w:color w:val="000000"/>
          <w:sz w:val="22"/>
        </w:rPr>
        <w:t>.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9.6</w:t>
      </w:r>
      <w:r>
        <w:rPr>
          <w:rFonts w:ascii="Times New Roman" w:hAnsi="Times New Roman"/>
          <w:color w:val="000000"/>
          <w:sz w:val="20"/>
          <w:u w:val="single"/>
        </w:rPr>
        <w:t xml:space="preserve"> </w:t>
      </w:r>
      <w:r>
        <w:rPr>
          <w:rFonts w:ascii="Times New Roman" w:hAnsi="Times New Roman"/>
          <w:color w:val="000000"/>
          <w:sz w:val="22"/>
          <w:u w:val="single"/>
        </w:rPr>
        <w:t>Non-Reliance on Agents and Other Lenders</w:t>
      </w:r>
      <w:r>
        <w:rPr>
          <w:rFonts w:ascii="Times New Roman" w:hAnsi="Times New Roman"/>
          <w:color w:val="000000"/>
          <w:sz w:val="22"/>
        </w:rPr>
        <w:t>. Each Lender expressly acknowledges that neither the Agents nor any of their respective officers, directors, employees, agents, advisors, attorneys</w:t>
        <w:noBreakHyphen/>
        <w:t>in</w:t>
        <w:noBreakHyphen/>
        <w:t>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Party or any affiliate of a Loan Party that may come into the possession of the Administrative Agent or any of its officers, directors, employees, agents, advisors, attorneys</w:t>
        <w:noBreakHyphen/>
        <w:t>in</w:t>
        <w:noBreakHyphen/>
        <w:t>fact or affiliates.</w:t>
      </w:r>
    </w:p>
    <w:p>
      <w:pPr>
        <w:pStyle w:val="TextBody"/>
        <w:bidi w:val="0"/>
        <w:spacing w:before="0" w:after="240"/>
        <w:jc w:val="both"/>
        <w:rPr>
          <w:rFonts w:ascii="Times New Roman" w:hAnsi="Times New Roman"/>
          <w:sz w:val="20"/>
        </w:rPr>
      </w:pPr>
      <w:r>
        <w:rPr>
          <w:rFonts w:ascii="Times New Roman" w:hAnsi="Times New Roman"/>
          <w:color w:val="000000"/>
          <w:sz w:val="22"/>
        </w:rPr>
        <w:t>9.7</w:t>
      </w:r>
      <w:r>
        <w:rPr>
          <w:rFonts w:ascii="Times New Roman" w:hAnsi="Times New Roman"/>
          <w:color w:val="000000"/>
          <w:sz w:val="20"/>
          <w:u w:val="single"/>
        </w:rPr>
        <w:t xml:space="preserve"> </w:t>
      </w:r>
      <w:r>
        <w:rPr>
          <w:rFonts w:ascii="Times New Roman" w:hAnsi="Times New Roman"/>
          <w:color w:val="000000"/>
          <w:sz w:val="22"/>
          <w:u w:val="single"/>
        </w:rPr>
        <w:t>Indemnification</w:t>
      </w:r>
      <w:r>
        <w:rPr>
          <w:rFonts w:ascii="Times New Roman" w:hAnsi="Times New Roman"/>
          <w:color w:val="000000"/>
          <w:sz w:val="22"/>
        </w:rPr>
        <w:t>. The Lenders agree to indemnify each Agent and its officers, directors, employees, affiliates, agents, advisors and controlling persons (each, an “Agent Indemnitee”)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in its capacity as such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bad faith or willful misconduct. The agreements in this Section shall survive the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9.8</w:t>
      </w:r>
      <w:r>
        <w:rPr>
          <w:rFonts w:ascii="Times New Roman" w:hAnsi="Times New Roman"/>
          <w:color w:val="000000"/>
          <w:sz w:val="20"/>
          <w:u w:val="single"/>
        </w:rPr>
        <w:t xml:space="preserve"> </w:t>
      </w:r>
      <w:r>
        <w:rPr>
          <w:rFonts w:ascii="Times New Roman" w:hAnsi="Times New Roman"/>
          <w:color w:val="000000"/>
          <w:sz w:val="22"/>
          <w:u w:val="single"/>
        </w:rPr>
        <w:t>Agent in Its Individual Capacity</w:t>
      </w:r>
      <w:r>
        <w:rPr>
          <w:rFonts w:ascii="Times New Roman" w:hAnsi="Times New Roman"/>
          <w:color w:val="000000"/>
          <w:sz w:val="22"/>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pStyle w:val="TextBody"/>
        <w:bidi w:val="0"/>
        <w:spacing w:before="0" w:after="240"/>
        <w:jc w:val="both"/>
        <w:rPr>
          <w:rFonts w:ascii="Times New Roman" w:hAnsi="Times New Roman"/>
          <w:sz w:val="20"/>
        </w:rPr>
      </w:pPr>
      <w:r>
        <w:rPr>
          <w:rFonts w:ascii="Times New Roman" w:hAnsi="Times New Roman"/>
          <w:color w:val="000000"/>
          <w:sz w:val="22"/>
        </w:rPr>
        <w:t>9.9</w:t>
      </w:r>
      <w:r>
        <w:rPr>
          <w:rFonts w:ascii="Times New Roman" w:hAnsi="Times New Roman"/>
          <w:color w:val="000000"/>
          <w:sz w:val="20"/>
          <w:u w:val="single"/>
        </w:rPr>
        <w:t xml:space="preserve"> </w:t>
      </w:r>
      <w:r>
        <w:rPr>
          <w:rFonts w:ascii="Times New Roman" w:hAnsi="Times New Roman"/>
          <w:color w:val="000000"/>
          <w:sz w:val="22"/>
          <w:u w:val="single"/>
        </w:rPr>
        <w:t>Successor Administrative Agent</w:t>
      </w:r>
      <w:r>
        <w:rPr>
          <w:rFonts w:ascii="Times New Roman" w:hAnsi="Times New Roman"/>
          <w:color w:val="000000"/>
          <w:sz w:val="22"/>
        </w:rPr>
        <w:t>. The Administrative Agent may resign as Administrative Agent (including in its capacity as Collateral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Section 9 and of Section 10.5 shall continue to inure to its benefit.</w:t>
      </w:r>
    </w:p>
    <w:p>
      <w:pPr>
        <w:pStyle w:val="TextBody"/>
        <w:bidi w:val="0"/>
        <w:spacing w:before="0" w:after="240"/>
        <w:jc w:val="both"/>
        <w:rPr>
          <w:rFonts w:ascii="Times New Roman" w:hAnsi="Times New Roman"/>
          <w:sz w:val="20"/>
        </w:rPr>
      </w:pPr>
      <w:r>
        <w:rPr>
          <w:rFonts w:ascii="Times New Roman" w:hAnsi="Times New Roman"/>
          <w:color w:val="000000"/>
          <w:sz w:val="22"/>
        </w:rPr>
        <w:t>9.10</w:t>
      </w:r>
      <w:r>
        <w:rPr>
          <w:rFonts w:ascii="Times New Roman" w:hAnsi="Times New Roman"/>
          <w:color w:val="000000"/>
          <w:sz w:val="20"/>
          <w:u w:val="single"/>
        </w:rPr>
        <w:t xml:space="preserve"> </w:t>
      </w:r>
      <w:r>
        <w:rPr>
          <w:rFonts w:ascii="Times New Roman" w:hAnsi="Times New Roman"/>
          <w:color w:val="000000"/>
          <w:sz w:val="22"/>
          <w:u w:val="single"/>
        </w:rPr>
        <w:t>Co-Documentation Agents, Co-Syndication Agents and Joint Lead Arrangers</w:t>
      </w:r>
      <w:r>
        <w:rPr>
          <w:rFonts w:ascii="Times New Roman" w:hAnsi="Times New Roman"/>
          <w:color w:val="000000"/>
          <w:sz w:val="22"/>
        </w:rPr>
        <w:t>. None of the Co-Documentation Agents, the Co-Syndication Agents or the Joint Lead Arrangers shall have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duties or responsibilities hereunder in their capacity as such under this Agreement or any other Loan Document and shall incur no liability hereunder or thereunder in such capacity, but all such persons shall have the benefit of the indemnities provided for hereunder.</w:t>
      </w:r>
    </w:p>
    <w:p>
      <w:pPr>
        <w:pStyle w:val="TextBody"/>
        <w:bidi w:val="0"/>
        <w:spacing w:before="0" w:after="240"/>
        <w:jc w:val="both"/>
        <w:rPr>
          <w:rFonts w:ascii="Times New Roman" w:hAnsi="Times New Roman"/>
          <w:sz w:val="20"/>
        </w:rPr>
      </w:pPr>
      <w:r>
        <w:rPr>
          <w:rFonts w:ascii="Times New Roman" w:hAnsi="Times New Roman"/>
          <w:color w:val="000000"/>
          <w:sz w:val="22"/>
        </w:rPr>
        <w:t>9.11</w:t>
      </w:r>
      <w:r>
        <w:rPr>
          <w:rFonts w:ascii="Times New Roman" w:hAnsi="Times New Roman"/>
          <w:color w:val="000000"/>
          <w:sz w:val="20"/>
          <w:u w:val="single"/>
        </w:rPr>
        <w:t xml:space="preserve"> </w:t>
      </w:r>
      <w:r>
        <w:rPr>
          <w:rFonts w:ascii="Times New Roman" w:hAnsi="Times New Roman"/>
          <w:color w:val="000000"/>
          <w:sz w:val="22"/>
          <w:u w:val="single"/>
        </w:rPr>
        <w:t>Certain ERISA Matters</w:t>
      </w:r>
      <w:r>
        <w:rPr>
          <w:rFonts w:ascii="Times New Roman" w:hAnsi="Times New Roman"/>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Joint Lead Arrangers and their respective Affiliates, and not, for the avoidance of doubt, to or for the benefit of the Borrower or any other Loan Party, that at least one of the following is and will be true: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such Lender is not using “plan assets” (within the meaning of the Plan Asset Regulations) of one or more Benefit Plans in connection with the Loans, the Letters of Credit, the Commitments 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b</w:t>
      </w:r>
      <w:r>
        <w:rPr>
          <w:rFonts w:ascii="Times New Roman" w:hAnsi="Times New Roman"/>
          <w:color w:val="0000FF"/>
          <w:sz w:val="22"/>
          <w:u w:val="single"/>
        </w:rPr>
        <w:t>c</w:t>
      </w:r>
      <w:r>
        <w:rPr>
          <w:rFonts w:ascii="Times New Roman" w:hAnsi="Times New Roman"/>
          <w:color w:val="000000"/>
          <w:sz w:val="22"/>
        </w:rPr>
        <w:t>)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 none of the Administrative Agent or the Joint Lead Arrangers or any of their respective Affiliates is a fiduciary with respect to the assets of such Lender involved in the Loans, the Letters of Credit, the Commitments and this Agreement (including in connection with the reservation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exercise of any rights by the Administrative Agent under this Agreement, any Loan Document or any documents related to hereto or thereto).</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c</w:t>
      </w:r>
      <w:r>
        <w:rPr>
          <w:rFonts w:ascii="Times New Roman" w:hAnsi="Times New Roman"/>
          <w:color w:val="0000FF"/>
          <w:sz w:val="22"/>
          <w:u w:val="single"/>
        </w:rPr>
        <w:t>d</w:t>
      </w:r>
      <w:r>
        <w:rPr>
          <w:rFonts w:ascii="Times New Roman" w:hAnsi="Times New Roman"/>
          <w:color w:val="000000"/>
          <w:sz w:val="22"/>
        </w:rPr>
        <w:t>) The Administrative Agent and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240"/>
        <w:jc w:val="both"/>
        <w:rPr>
          <w:rFonts w:ascii="Times New Roman" w:hAnsi="Times New Roman"/>
          <w:sz w:val="20"/>
        </w:rPr>
      </w:pPr>
      <w:r>
        <w:rPr>
          <w:rFonts w:ascii="Times New Roman" w:hAnsi="Times New Roman"/>
          <w:color w:val="000000"/>
          <w:sz w:val="22"/>
        </w:rPr>
        <w:t>9.12</w:t>
      </w:r>
      <w:r>
        <w:rPr>
          <w:rFonts w:ascii="Times New Roman" w:hAnsi="Times New Roman"/>
          <w:color w:val="000000"/>
          <w:sz w:val="20"/>
          <w:u w:val="single"/>
        </w:rPr>
        <w:t xml:space="preserve"> </w:t>
      </w:r>
      <w:r>
        <w:rPr>
          <w:rFonts w:ascii="Times New Roman" w:hAnsi="Times New Roman"/>
          <w:color w:val="000000"/>
          <w:sz w:val="22"/>
          <w:u w:val="single"/>
        </w:rPr>
        <w:t>Erroneous 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color w:val="000000"/>
          <w:sz w:val="22"/>
          <w:u w:val="single"/>
        </w:rPr>
        <w:t>Payment</w:t>
      </w:r>
      <w:r>
        <w:rPr>
          <w:rFonts w:ascii="Times New Roman" w:hAnsi="Times New Roman"/>
          <w:color w:val="000000"/>
          <w:sz w:val="20"/>
        </w:rPr>
        <w:t>”</w:t>
      </w:r>
      <w:r>
        <w:rPr>
          <w:rFonts w:ascii="Times New Roman" w:hAnsi="Times New Roman"/>
          <w:color w:val="000000"/>
          <w:sz w:val="22"/>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9.12(a)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2"/>
          <w:u w:val="single"/>
        </w:rPr>
        <w:t>Payment Notice</w:t>
      </w:r>
      <w:r>
        <w:rPr>
          <w:rFonts w:ascii="Times New Roman" w:hAnsi="Times New Roman"/>
          <w:color w:val="000000"/>
          <w:sz w:val="20"/>
        </w:rPr>
        <w:t>”</w:t>
      </w:r>
      <w:r>
        <w:rPr>
          <w:rFonts w:ascii="Times New Roman" w:hAnsi="Times New Roman"/>
          <w:color w:val="000000"/>
          <w:sz w:val="22"/>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party’s obligations under this Section 9.12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jc w:val="center"/>
        <w:rPr>
          <w:rFonts w:ascii="Times New Roman" w:hAnsi="Times New Roman"/>
          <w:sz w:val="20"/>
        </w:rPr>
      </w:pPr>
      <w:r>
        <w:rPr>
          <w:rFonts w:ascii="Times New Roman" w:hAnsi="Times New Roman"/>
          <w:caps/>
          <w:color w:val="000000"/>
          <w:sz w:val="22"/>
        </w:rPr>
        <w:t>SECTION 10.</w:t>
      </w:r>
      <w:r>
        <w:rPr>
          <w:rFonts w:ascii="Times New Roman" w:hAnsi="Times New Roman"/>
          <w:color w:val="000000"/>
          <w:sz w:val="20"/>
        </w:rPr>
        <w:t xml:space="preserve"> </w:t>
      </w:r>
      <w:r>
        <w:rPr>
          <w:rFonts w:ascii="Times New Roman" w:hAnsi="Times New Roman"/>
          <w:color w:val="000000"/>
          <w:sz w:val="22"/>
        </w:rP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10.1</w:t>
      </w:r>
      <w:r>
        <w:rPr>
          <w:rFonts w:ascii="Times New Roman" w:hAnsi="Times New Roman"/>
          <w:color w:val="000000"/>
          <w:sz w:val="20"/>
          <w:u w:val="single"/>
        </w:rPr>
        <w:t xml:space="preserve"> </w:t>
      </w:r>
      <w:r>
        <w:rPr>
          <w:rFonts w:ascii="Times New Roman" w:hAnsi="Times New Roman"/>
          <w:color w:val="000000"/>
          <w:sz w:val="22"/>
          <w:u w:val="single"/>
        </w:rPr>
        <w:t>Amendments and Waivers</w:t>
      </w:r>
      <w:r>
        <w:rPr>
          <w:rFonts w:ascii="Times New Roman" w:hAnsi="Times New Roman"/>
          <w:color w:val="000000"/>
          <w:sz w:val="22"/>
        </w:rPr>
        <w:t>. (a) Subject to Section 2.16(b) and Section 10.1(d) below,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the principal amount or extend the final scheduled date of maturity of any Loan, extend the scheduled date of any amortization payment in respect of any Term Loan, reduce the stated rate of any interest or fee payable hereunder (except (x) in connection with the waiver of applicability of any post-default increase in interest rates (which waiver shall be effective with the consent of the Majority Facility Lenders of each adversely affected Facility)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Commitment, in each case, without the written consent of each Lender directly affected thereby; (ii) eliminate or reduce the voting rights of any Lender under this Section 10.1 without the written consent of such Lender; (iii) reduce any percentage specified in the definition of “Required Lenders” or otherwise amend any other provision specifying the number or percentage of Lenders which are required to waive, amend or modify any rights hereunder, consent to the assignment or transfer by the Borrower of any of its rights and obligations under this Agreement and the other Loan Documents, release all or substantially all of the Collateral or release all or substantially all of the Guarantors from their obligations under the Subsidiary Guarantee Agreement or the Collateral Agreement except as provided in Section 10.14, in each case, without the written consent of all Lenders; (iv) amend, modify or waive any provision of Section 2.17 or Section 10.7(a) without the written consent of each Lender adversely affected thereby; (v) reduce the amount of Net Cash Proceeds required to be applied to prepay Loans under this Agreement without the written consent of the Majority Facility Lenders with respect to each Facility adversely affected thereby; (vi) reduce the percentage specified in the definition of “Majority Facility Lenders” with respect to any Facility without the written consent of all Lenders under such Facility; (vii) amend, modify or waive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provision of Section 9 or any other provision of any Loan Document that affects the Administrative Agent without the written consent of the Administrative Agent; (viii) amend, modify or waive any provision of Section 2.6 or 2.7 without the written consent of the Swingline Lender; (ix) amend, modify or waive any provision of Section 3 without the written consent of each Issuing Lender; (x) amend, modify or waive any provision of Section 2.23 without the written consent of the Administrative Agent, the Swingline Lender and each Issuing Lender; (xi) amend the conditions precedent set forth in ‎Section 5.2 to an extension of credit under </w:t>
      </w:r>
      <w:r>
        <w:rPr>
          <w:rFonts w:ascii="Times New Roman" w:hAnsi="Times New Roman"/>
          <w:color w:val="0000FF"/>
          <w:sz w:val="22"/>
          <w:u w:val="single"/>
        </w:rPr>
        <w:t xml:space="preserve">(x) </w:t>
      </w:r>
      <w:r>
        <w:rPr>
          <w:rFonts w:ascii="Times New Roman" w:hAnsi="Times New Roman"/>
          <w:color w:val="000000"/>
          <w:sz w:val="22"/>
        </w:rPr>
        <w:t>the Revolving Facility or 2026 Delayed Draw Term Loan Facility after the Eleventh Amendment Effective Date without the written consent of the Majority Facility Lenders with respect to the Revolving Facility or 2026 Delayed Draw Term Loan Facility, as applicable, and, in the case of an extension of credit that constitutes the issuance of a Letter of Credit, the applicable Issuing Lender</w:t>
      </w:r>
      <w:r>
        <w:rPr>
          <w:rFonts w:ascii="Times New Roman" w:hAnsi="Times New Roman"/>
          <w:color w:val="0000FF"/>
          <w:sz w:val="20"/>
          <w:u w:val="single"/>
        </w:rPr>
        <w:t xml:space="preserve"> </w:t>
      </w:r>
      <w:r>
        <w:rPr>
          <w:rFonts w:ascii="Times New Roman" w:hAnsi="Times New Roman"/>
          <w:color w:val="0000FF"/>
          <w:sz w:val="22"/>
          <w:u w:val="single"/>
        </w:rPr>
        <w:t>and (y) the 2026-2 Delayed Draw Term Loan Facility after the Twelfth Amendment Effective Date without the written consent of the Majority Facility Lenders with respect to the 2026-2 Delayed Draw Term Loan Facility</w:t>
      </w:r>
      <w:r>
        <w:rPr>
          <w:rFonts w:ascii="Times New Roman" w:hAnsi="Times New Roman"/>
          <w:color w:val="000000"/>
          <w:sz w:val="22"/>
        </w:rPr>
        <w:t>, (xii) subordinate (x) the Liens securing any of the Obligations on all or substantially all of the Collateral (“Existing Liens”)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“Senior Indebtedness”),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“Ancillary Fees”)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(xiii) amend, modify or waive Section 2.23(b) without the written consent of each Defaulting Lender that is a Revolving Lender or (xiv) change the payment waterfall provision of ‎Section 5.5 of the Collateral Agreement without the written consent of each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Revolving Extensions of Credit and the accrued interest and fees in respect thereof and (b) to include appropriately the Lenders holding such credit facilities in any determination of the Required Lenders and Majority Facility Lenders.</w:t>
      </w:r>
    </w:p>
    <w:p>
      <w:pPr>
        <w:pStyle w:val="TextBody"/>
        <w:bidi w:val="0"/>
        <w:spacing w:before="0" w:after="240"/>
        <w:jc w:val="both"/>
        <w:rPr>
          <w:rFonts w:ascii="Times New Roman" w:hAnsi="Times New Roman"/>
          <w:sz w:val="20"/>
        </w:rPr>
      </w:pPr>
      <w:r>
        <w:rPr>
          <w:rFonts w:ascii="Times New Roman" w:hAnsi="Times New Roman"/>
          <w:color w:val="000000"/>
          <w:sz w:val="22"/>
        </w:rPr>
        <w:t>(c) In addition, notwithstanding the foregoing, this Agreement may be amended with the written consent of the Administrative Agent, the Borrower and the Lenders providing the relevant Replacement Term Loans (as defined below) to permit the refinancing, replacement or modification of all outstanding Tranche A Term Loans, 2026 Incremental Term Loans</w:t>
      </w:r>
      <w:r>
        <w:rPr>
          <w:rFonts w:ascii="Times New Roman" w:hAnsi="Times New Roman"/>
          <w:color w:val="0000FF"/>
          <w:sz w:val="22"/>
          <w:u w:val="single"/>
        </w:rPr>
        <w:t>, 2026 Delayed Draw Term Loans</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and/or </w:t>
      </w:r>
      <w:r>
        <w:rPr>
          <w:rFonts w:ascii="Times New Roman" w:hAnsi="Times New Roman"/>
          <w:strike/>
          <w:color w:val="FF0000"/>
          <w:sz w:val="22"/>
        </w:rPr>
        <w:t>2026</w:t>
      </w:r>
      <w:r>
        <w:rPr>
          <w:rFonts w:ascii="Times New Roman" w:hAnsi="Times New Roman"/>
          <w:color w:val="0000FF"/>
          <w:sz w:val="22"/>
          <w:u w:val="single"/>
        </w:rPr>
        <w:t>2026-2</w:t>
      </w:r>
      <w:r>
        <w:rPr>
          <w:rFonts w:ascii="Times New Roman" w:hAnsi="Times New Roman"/>
          <w:color w:val="000000"/>
          <w:sz w:val="20"/>
        </w:rPr>
        <w:t xml:space="preserve"> </w:t>
      </w:r>
      <w:r>
        <w:rPr>
          <w:rFonts w:ascii="Times New Roman" w:hAnsi="Times New Roman"/>
          <w:color w:val="000000"/>
          <w:sz w:val="22"/>
        </w:rPr>
        <w:t>Delayed Draw Term Loans, as applicable (“</w:t>
      </w:r>
      <w:r>
        <w:rPr>
          <w:rFonts w:ascii="Times New Roman" w:hAnsi="Times New Roman"/>
          <w:color w:val="000000"/>
          <w:sz w:val="22"/>
          <w:u w:val="single"/>
        </w:rPr>
        <w:t>Replaced Term Loans</w:t>
      </w:r>
      <w:r>
        <w:rPr>
          <w:rFonts w:ascii="Times New Roman" w:hAnsi="Times New Roman"/>
          <w:color w:val="000000"/>
          <w:sz w:val="20"/>
        </w:rPr>
        <w:t>”</w:t>
      </w:r>
      <w:r>
        <w:rPr>
          <w:rFonts w:ascii="Times New Roman" w:hAnsi="Times New Roman"/>
          <w:color w:val="000000"/>
          <w:sz w:val="22"/>
        </w:rPr>
        <w:t>) with a replacement term loan tranche hereunder (“</w:t>
      </w:r>
      <w:r>
        <w:rPr>
          <w:rFonts w:ascii="Times New Roman" w:hAnsi="Times New Roman"/>
          <w:color w:val="000000"/>
          <w:sz w:val="22"/>
          <w:u w:val="single"/>
        </w:rPr>
        <w:t>Replacement Term Loans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the aggregate principal amount of such Replacement Term Loans shall not exceed the aggregate principal amount of such Replaced Term Loans, (b) the Applicable Margin for such Replacement Term Loans shall not be higher than the Applicable Margin for such Replaced Term Loans and (c) the weighted average life to maturity of such Replacement Term Loans shall not be shorter than the weighted average life to maturity of such Replaced Term Loans at the time of such refinancing</w:t>
      </w:r>
      <w:r>
        <w:rPr>
          <w:rFonts w:ascii="Times New Roman" w:hAnsi="Times New Roman"/>
          <w:strike/>
          <w:color w:val="FF0000"/>
          <w:sz w:val="22"/>
        </w:rPr>
        <w:t>.</w:t>
      </w:r>
      <w:r>
        <w:rPr>
          <w:rFonts w:ascii="Times New Roman" w:hAnsi="Times New Roman"/>
          <w:color w:val="0000FF"/>
          <w:sz w:val="22"/>
          <w:u w:val="single"/>
        </w:rPr>
        <w:t>, and with respect to the replacement of any 2026-2 Delayed Draw Term Loans, (i) the weighted average life to maturity of such Replacement Term Loans shall not be shorter than the weighted average life to maturity of the Tranche A Term Loans, 2026 Incremental Term Loans and 2026 Delayed Draw Term Loans at the time of such refinancing and (ii) the final maturity date of any such Replacement Term Loans shall not be inside the final maturity date applicable to the Tranche A Term Loans, 2026 Incremental Term Loans and 2026 Delayed Draw Term Loans at the time of such refinancing.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10.2</w:t>
      </w:r>
      <w:r>
        <w:rPr>
          <w:rFonts w:ascii="Times New Roman" w:hAnsi="Times New Roman"/>
          <w:color w:val="000000"/>
          <w:sz w:val="20"/>
          <w:u w:val="single"/>
        </w:rPr>
        <w:t xml:space="preserve"> </w:t>
      </w:r>
      <w:r>
        <w:rPr>
          <w:rFonts w:ascii="Times New Roman" w:hAnsi="Times New Roman"/>
          <w:color w:val="000000"/>
          <w:sz w:val="22"/>
          <w:u w:val="single"/>
        </w:rPr>
        <w:t>Notices</w:t>
      </w:r>
      <w:r>
        <w:rPr>
          <w:rFonts w:ascii="Times New Roman" w:hAnsi="Times New Roman"/>
          <w:color w:val="000000"/>
          <w:sz w:val="22"/>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tbl>
      <w:tblPr>
        <w:tblW w:w="10205" w:type="dxa"/>
        <w:jc w:val="left"/>
        <w:tblInd w:w="0" w:type="dxa"/>
        <w:tblLayout w:type="fixed"/>
        <w:tblCellMar>
          <w:top w:w="28" w:type="dxa"/>
          <w:left w:w="28" w:type="dxa"/>
          <w:bottom w:w="28" w:type="dxa"/>
          <w:right w:w="28" w:type="dxa"/>
        </w:tblCellMar>
      </w:tblPr>
      <w:tblGrid>
        <w:gridCol w:w="3311"/>
        <w:gridCol w:w="6894"/>
      </w:tblGrid>
      <w:tr>
        <w:trPr/>
        <w:tc>
          <w:tcPr>
            <w:tcW w:w="3311" w:type="dxa"/>
            <w:tcBorders/>
            <w:vAlign w:val="center"/>
          </w:tcPr>
          <w:p>
            <w:pPr>
              <w:pStyle w:val="TableContents"/>
              <w:bidi w:val="0"/>
              <w:spacing w:before="0" w:after="283"/>
              <w:jc w:val="left"/>
              <w:rPr>
                <w:sz w:val="4"/>
                <w:szCs w:val="4"/>
              </w:rPr>
            </w:pPr>
            <w:r>
              <w:rPr>
                <w:sz w:val="4"/>
                <w:szCs w:val="4"/>
              </w:rPr>
            </w:r>
          </w:p>
        </w:tc>
        <w:tc>
          <w:tcPr>
            <w:tcW w:w="6894"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Borrower:</w:t>
            </w:r>
          </w:p>
        </w:tc>
        <w:tc>
          <w:tcPr>
            <w:tcW w:w="6894"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367 South Gulph Road, P.O. Box 61558, King of Prussia, PA</w:t>
            </w:r>
          </w:p>
          <w:p>
            <w:pPr>
              <w:pStyle w:val="TableContents"/>
              <w:bidi w:val="0"/>
              <w:jc w:val="both"/>
              <w:rPr>
                <w:rFonts w:ascii="Times New Roman" w:hAnsi="Times New Roman"/>
                <w:color w:val="000000"/>
                <w:sz w:val="22"/>
              </w:rPr>
            </w:pPr>
            <w:r>
              <w:rPr>
                <w:rFonts w:ascii="Times New Roman" w:hAnsi="Times New Roman"/>
                <w:color w:val="000000"/>
                <w:sz w:val="22"/>
              </w:rPr>
              <w:t>19406-0958</w:t>
            </w:r>
          </w:p>
          <w:p>
            <w:pPr>
              <w:pStyle w:val="TableContents"/>
              <w:bidi w:val="0"/>
              <w:jc w:val="both"/>
              <w:rPr>
                <w:rFonts w:ascii="Times New Roman" w:hAnsi="Times New Roman"/>
                <w:color w:val="000000"/>
                <w:sz w:val="22"/>
              </w:rPr>
            </w:pPr>
            <w:r>
              <w:rPr>
                <w:rFonts w:ascii="Times New Roman" w:hAnsi="Times New Roman"/>
                <w:color w:val="000000"/>
                <w:sz w:val="22"/>
              </w:rPr>
              <w:t>Attention: Cheryl K. Ramagano</w:t>
            </w:r>
          </w:p>
          <w:p>
            <w:pPr>
              <w:pStyle w:val="TableContents"/>
              <w:bidi w:val="0"/>
              <w:jc w:val="both"/>
              <w:rPr>
                <w:rFonts w:ascii="Times New Roman" w:hAnsi="Times New Roman"/>
                <w:color w:val="000000"/>
                <w:sz w:val="22"/>
              </w:rPr>
            </w:pPr>
            <w:r>
              <w:rPr>
                <w:rFonts w:ascii="Times New Roman" w:hAnsi="Times New Roman"/>
                <w:color w:val="000000"/>
                <w:sz w:val="22"/>
              </w:rPr>
              <w:t>Senior Vice President and Treasurer</w:t>
            </w:r>
          </w:p>
          <w:p>
            <w:pPr>
              <w:pStyle w:val="TableContents"/>
              <w:bidi w:val="0"/>
              <w:jc w:val="both"/>
              <w:rPr>
                <w:rFonts w:ascii="Times New Roman" w:hAnsi="Times New Roman"/>
                <w:color w:val="000000"/>
                <w:sz w:val="22"/>
              </w:rPr>
            </w:pPr>
            <w:r>
              <w:rPr>
                <w:rFonts w:ascii="Times New Roman" w:hAnsi="Times New Roman"/>
                <w:color w:val="000000"/>
                <w:sz w:val="22"/>
              </w:rPr>
              <w:t>Telecopy: (610) 382-4407</w:t>
            </w:r>
          </w:p>
          <w:p>
            <w:pPr>
              <w:pStyle w:val="TableContents"/>
              <w:bidi w:val="0"/>
              <w:jc w:val="both"/>
              <w:rPr>
                <w:rFonts w:ascii="Times New Roman" w:hAnsi="Times New Roman"/>
                <w:color w:val="000000"/>
                <w:sz w:val="22"/>
              </w:rPr>
            </w:pPr>
            <w:r>
              <w:rPr>
                <w:rFonts w:ascii="Times New Roman" w:hAnsi="Times New Roman"/>
                <w:color w:val="000000"/>
                <w:sz w:val="22"/>
              </w:rPr>
              <w:t>Telephone: (610) 768-3402</w:t>
            </w:r>
          </w:p>
          <w:p>
            <w:pPr>
              <w:pStyle w:val="TableContents"/>
              <w:bidi w:val="0"/>
              <w:spacing w:before="0" w:after="283"/>
              <w:jc w:val="both"/>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Administrative Agent or Swingline Lender:</w:t>
            </w:r>
          </w:p>
        </w:tc>
        <w:tc>
          <w:tcPr>
            <w:tcW w:w="6894"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JPMorgan Chase Bank, N.A., at the address separately provided to the Borrower and each Lender (upon request)</w:t>
            </w:r>
          </w:p>
          <w:p>
            <w:pPr>
              <w:pStyle w:val="TableContents"/>
              <w:bidi w:val="0"/>
              <w:spacing w:before="0" w:after="283"/>
              <w:jc w:val="both"/>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JPMorgan Chase Bank, N.A. as Issuing Lender</w:t>
            </w:r>
          </w:p>
        </w:tc>
        <w:tc>
          <w:tcPr>
            <w:tcW w:w="6894"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JPMorgan Chase Bank, N.A.</w:t>
            </w:r>
          </w:p>
          <w:p>
            <w:pPr>
              <w:pStyle w:val="TableContents"/>
              <w:bidi w:val="0"/>
              <w:jc w:val="both"/>
              <w:rPr>
                <w:rFonts w:ascii="Times New Roman" w:hAnsi="Times New Roman"/>
                <w:color w:val="000000"/>
                <w:sz w:val="22"/>
              </w:rPr>
            </w:pPr>
            <w:r>
              <w:rPr>
                <w:rFonts w:ascii="Times New Roman" w:hAnsi="Times New Roman"/>
                <w:color w:val="000000"/>
                <w:sz w:val="22"/>
              </w:rPr>
              <w:t>10410 Highland Manor Dr. 3rd Floor</w:t>
            </w:r>
          </w:p>
          <w:p>
            <w:pPr>
              <w:pStyle w:val="TableContents"/>
              <w:bidi w:val="0"/>
              <w:jc w:val="both"/>
              <w:rPr>
                <w:rFonts w:ascii="Times New Roman" w:hAnsi="Times New Roman"/>
                <w:color w:val="000000"/>
                <w:sz w:val="22"/>
              </w:rPr>
            </w:pPr>
            <w:r>
              <w:rPr>
                <w:rFonts w:ascii="Times New Roman" w:hAnsi="Times New Roman"/>
                <w:color w:val="000000"/>
                <w:sz w:val="22"/>
              </w:rPr>
              <w:t>Tampa, FL 33610</w:t>
            </w:r>
          </w:p>
          <w:p>
            <w:pPr>
              <w:pStyle w:val="TableContents"/>
              <w:bidi w:val="0"/>
              <w:jc w:val="both"/>
              <w:rPr>
                <w:rFonts w:ascii="Times New Roman" w:hAnsi="Times New Roman"/>
                <w:color w:val="000000"/>
                <w:sz w:val="22"/>
              </w:rPr>
            </w:pPr>
            <w:r>
              <w:rPr>
                <w:rFonts w:ascii="Times New Roman" w:hAnsi="Times New Roman"/>
                <w:color w:val="000000"/>
                <w:sz w:val="22"/>
              </w:rPr>
              <w:t>Attention: Standby LC Unit</w:t>
            </w:r>
          </w:p>
          <w:p>
            <w:pPr>
              <w:pStyle w:val="TableContents"/>
              <w:bidi w:val="0"/>
              <w:jc w:val="both"/>
              <w:rPr>
                <w:rFonts w:ascii="Times New Roman" w:hAnsi="Times New Roman"/>
                <w:color w:val="000000"/>
                <w:sz w:val="22"/>
              </w:rPr>
            </w:pPr>
            <w:r>
              <w:rPr>
                <w:rFonts w:ascii="Times New Roman" w:hAnsi="Times New Roman"/>
                <w:color w:val="000000"/>
                <w:sz w:val="22"/>
              </w:rPr>
              <w:t>Tel: 800-364-1969</w:t>
            </w:r>
          </w:p>
          <w:p>
            <w:pPr>
              <w:pStyle w:val="TableContents"/>
              <w:bidi w:val="0"/>
              <w:jc w:val="both"/>
              <w:rPr>
                <w:rFonts w:ascii="Times New Roman" w:hAnsi="Times New Roman"/>
                <w:color w:val="000000"/>
                <w:sz w:val="22"/>
              </w:rPr>
            </w:pPr>
            <w:r>
              <w:rPr>
                <w:rFonts w:ascii="Times New Roman" w:hAnsi="Times New Roman"/>
                <w:color w:val="000000"/>
                <w:sz w:val="22"/>
              </w:rPr>
              <w:t>Fax: 856-294-5267</w:t>
            </w:r>
          </w:p>
          <w:p>
            <w:pPr>
              <w:pStyle w:val="TableContents"/>
              <w:bidi w:val="0"/>
              <w:jc w:val="both"/>
              <w:rPr>
                <w:rFonts w:ascii="Times New Roman" w:hAnsi="Times New Roman"/>
                <w:color w:val="000000"/>
                <w:sz w:val="22"/>
              </w:rPr>
            </w:pPr>
            <w:r>
              <w:rPr>
                <w:rFonts w:ascii="Times New Roman" w:hAnsi="Times New Roman"/>
                <w:color w:val="000000"/>
                <w:sz w:val="22"/>
              </w:rPr>
              <w:t>Email: GTS.Client.Services@jpmchase.com</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With a copy to:</w:t>
            </w:r>
          </w:p>
        </w:tc>
      </w:tr>
    </w:tbl>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1651"/>
        <w:gridCol w:w="4276"/>
      </w:tblGrid>
      <w:tr>
        <w:trPr/>
        <w:tc>
          <w:tcPr>
            <w:tcW w:w="1651"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shd w:fill="FFFFFF" w:val="clear"/>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JPMorgan Chase Bank, N.A.</w:t>
            </w:r>
          </w:p>
          <w:p>
            <w:pPr>
              <w:pStyle w:val="TableContents"/>
              <w:bidi w:val="0"/>
              <w:jc w:val="both"/>
              <w:rPr>
                <w:rFonts w:ascii="Times New Roman" w:hAnsi="Times New Roman"/>
                <w:color w:val="000000"/>
                <w:sz w:val="22"/>
              </w:rPr>
            </w:pPr>
            <w:r>
              <w:rPr>
                <w:rFonts w:ascii="Times New Roman" w:hAnsi="Times New Roman"/>
                <w:color w:val="000000"/>
                <w:sz w:val="22"/>
              </w:rPr>
              <w:t>500 Stanton Christiana Rd.</w:t>
            </w:r>
          </w:p>
          <w:p>
            <w:pPr>
              <w:pStyle w:val="TableContents"/>
              <w:bidi w:val="0"/>
              <w:jc w:val="both"/>
              <w:rPr>
                <w:rFonts w:ascii="Times New Roman" w:hAnsi="Times New Roman"/>
                <w:color w:val="000000"/>
                <w:sz w:val="22"/>
              </w:rPr>
            </w:pPr>
            <w:r>
              <w:rPr>
                <w:rFonts w:ascii="Times New Roman" w:hAnsi="Times New Roman"/>
                <w:color w:val="000000"/>
                <w:sz w:val="22"/>
              </w:rPr>
              <w:t>NCC5 / 1st Floor</w:t>
            </w:r>
          </w:p>
          <w:p>
            <w:pPr>
              <w:pStyle w:val="TableContents"/>
              <w:bidi w:val="0"/>
              <w:jc w:val="both"/>
              <w:rPr>
                <w:rFonts w:ascii="Times New Roman" w:hAnsi="Times New Roman"/>
                <w:color w:val="000000"/>
                <w:sz w:val="22"/>
              </w:rPr>
            </w:pPr>
            <w:r>
              <w:rPr>
                <w:rFonts w:ascii="Times New Roman" w:hAnsi="Times New Roman"/>
                <w:color w:val="000000"/>
                <w:sz w:val="22"/>
              </w:rPr>
              <w:t>Newark, DE 19713</w:t>
            </w:r>
          </w:p>
          <w:p>
            <w:pPr>
              <w:pStyle w:val="TableContents"/>
              <w:bidi w:val="0"/>
              <w:jc w:val="both"/>
              <w:rPr>
                <w:rFonts w:ascii="Times New Roman" w:hAnsi="Times New Roman"/>
                <w:color w:val="000000"/>
                <w:sz w:val="22"/>
              </w:rPr>
            </w:pPr>
            <w:r>
              <w:rPr>
                <w:rFonts w:ascii="Times New Roman" w:hAnsi="Times New Roman"/>
                <w:color w:val="000000"/>
                <w:sz w:val="22"/>
              </w:rPr>
              <w:t>Attention: Loan &amp; Agency Services Group</w:t>
            </w:r>
          </w:p>
          <w:p>
            <w:pPr>
              <w:pStyle w:val="TableContents"/>
              <w:bidi w:val="0"/>
              <w:jc w:val="both"/>
              <w:rPr>
                <w:rFonts w:ascii="Times New Roman" w:hAnsi="Times New Roman"/>
                <w:color w:val="000000"/>
                <w:sz w:val="22"/>
              </w:rPr>
            </w:pPr>
            <w:r>
              <w:rPr>
                <w:rFonts w:ascii="Times New Roman" w:hAnsi="Times New Roman"/>
                <w:color w:val="000000"/>
                <w:sz w:val="22"/>
              </w:rPr>
              <w:t>Tel: +1-302-634-1928</w:t>
            </w:r>
          </w:p>
          <w:p>
            <w:pPr>
              <w:pStyle w:val="TableContents"/>
              <w:bidi w:val="0"/>
              <w:jc w:val="both"/>
              <w:rPr>
                <w:rFonts w:ascii="Times New Roman" w:hAnsi="Times New Roman"/>
                <w:color w:val="000000"/>
                <w:sz w:val="22"/>
              </w:rPr>
            </w:pPr>
            <w:r>
              <w:rPr>
                <w:rFonts w:ascii="Times New Roman" w:hAnsi="Times New Roman"/>
                <w:color w:val="000000"/>
                <w:sz w:val="22"/>
              </w:rPr>
              <w:t>Email: marsea.medori@chase.com</w:t>
            </w:r>
          </w:p>
          <w:p>
            <w:pPr>
              <w:pStyle w:val="TableContents"/>
              <w:bidi w:val="0"/>
              <w:spacing w:before="0" w:after="283"/>
              <w:jc w:val="both"/>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Collateral Agent</w:t>
            </w:r>
          </w:p>
        </w:tc>
        <w:tc>
          <w:tcPr>
            <w:tcW w:w="427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JPMorgan Chase &amp; Co.</w:t>
            </w:r>
          </w:p>
          <w:p>
            <w:pPr>
              <w:pStyle w:val="TableContents"/>
              <w:bidi w:val="0"/>
              <w:jc w:val="both"/>
              <w:rPr>
                <w:rFonts w:ascii="Times New Roman" w:hAnsi="Times New Roman"/>
                <w:color w:val="000000"/>
                <w:sz w:val="22"/>
              </w:rPr>
            </w:pPr>
            <w:r>
              <w:rPr>
                <w:rFonts w:ascii="Times New Roman" w:hAnsi="Times New Roman"/>
                <w:color w:val="000000"/>
                <w:sz w:val="22"/>
              </w:rPr>
              <w:t>CIB DMO WLO</w:t>
            </w:r>
          </w:p>
          <w:p>
            <w:pPr>
              <w:pStyle w:val="TableContents"/>
              <w:bidi w:val="0"/>
              <w:jc w:val="both"/>
              <w:rPr>
                <w:rFonts w:ascii="Times New Roman" w:hAnsi="Times New Roman"/>
                <w:color w:val="000000"/>
                <w:sz w:val="22"/>
              </w:rPr>
            </w:pPr>
            <w:r>
              <w:rPr>
                <w:rFonts w:ascii="Times New Roman" w:hAnsi="Times New Roman"/>
                <w:color w:val="000000"/>
                <w:sz w:val="22"/>
              </w:rPr>
              <w:t>Mail code NY1-C413</w:t>
            </w:r>
          </w:p>
          <w:p>
            <w:pPr>
              <w:pStyle w:val="TableContents"/>
              <w:bidi w:val="0"/>
              <w:jc w:val="both"/>
              <w:rPr>
                <w:rFonts w:ascii="Times New Roman" w:hAnsi="Times New Roman"/>
                <w:color w:val="000000"/>
                <w:sz w:val="22"/>
              </w:rPr>
            </w:pPr>
            <w:r>
              <w:rPr>
                <w:rFonts w:ascii="Times New Roman" w:hAnsi="Times New Roman"/>
                <w:color w:val="000000"/>
                <w:sz w:val="22"/>
              </w:rPr>
              <w:t>4 CMC, Brooklyn, NY, 11245-0001</w:t>
            </w:r>
          </w:p>
          <w:p>
            <w:pPr>
              <w:pStyle w:val="TableContents"/>
              <w:bidi w:val="0"/>
              <w:jc w:val="both"/>
              <w:rPr>
                <w:rFonts w:ascii="Times New Roman" w:hAnsi="Times New Roman"/>
                <w:color w:val="000000"/>
                <w:sz w:val="22"/>
              </w:rPr>
            </w:pPr>
            <w:r>
              <w:rPr>
                <w:rFonts w:ascii="Times New Roman" w:hAnsi="Times New Roman"/>
                <w:color w:val="000000"/>
                <w:sz w:val="22"/>
              </w:rPr>
              <w:t>United States</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Email: ib.collateral.services@jpmchase.com</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notice, request or demand to or upon the Administrative Agent or the Lenders shall not be effective until received during the recipient’s normal business hours.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Notices and other communications to the Lenders hereunder may be delivered or furnished by electronic communications pursuant to procedures approved by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foregoing shall not apply to notices pursuant to Section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2"/>
        </w:rPr>
        <w:t>10.3</w:t>
      </w:r>
      <w:r>
        <w:rPr>
          <w:rFonts w:ascii="Times New Roman" w:hAnsi="Times New Roman"/>
          <w:color w:val="000000"/>
          <w:sz w:val="20"/>
          <w:u w:val="single"/>
        </w:rPr>
        <w:t xml:space="preserve"> </w:t>
      </w:r>
      <w:r>
        <w:rPr>
          <w:rFonts w:ascii="Times New Roman" w:hAnsi="Times New Roman"/>
          <w:color w:val="000000"/>
          <w:sz w:val="22"/>
          <w:u w:val="single"/>
        </w:rPr>
        <w:t>No Waiver; Cumulative Remedies</w:t>
      </w:r>
      <w:r>
        <w:rPr>
          <w:rFonts w:ascii="Times New Roman" w:hAnsi="Times New Roman"/>
          <w:color w:val="000000"/>
          <w:sz w:val="22"/>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240"/>
        <w:jc w:val="both"/>
        <w:rPr>
          <w:rFonts w:ascii="Times New Roman" w:hAnsi="Times New Roman"/>
          <w:sz w:val="20"/>
        </w:rPr>
      </w:pPr>
      <w:r>
        <w:rPr>
          <w:rFonts w:ascii="Times New Roman" w:hAnsi="Times New Roman"/>
          <w:color w:val="000000"/>
          <w:sz w:val="22"/>
        </w:rPr>
        <w:t>10.4</w:t>
      </w:r>
      <w:r>
        <w:rPr>
          <w:rFonts w:ascii="Times New Roman" w:hAnsi="Times New Roman"/>
          <w:color w:val="000000"/>
          <w:sz w:val="20"/>
          <w:u w:val="single"/>
        </w:rPr>
        <w:t xml:space="preserve"> </w:t>
      </w:r>
      <w:r>
        <w:rPr>
          <w:rFonts w:ascii="Times New Roman" w:hAnsi="Times New Roman"/>
          <w:color w:val="000000"/>
          <w:sz w:val="22"/>
          <w:u w:val="single"/>
        </w:rPr>
        <w:t>Survival of Representations and Warranties</w:t>
      </w:r>
      <w:r>
        <w:rPr>
          <w:rFonts w:ascii="Times New Roman" w:hAnsi="Times New Roman"/>
          <w:color w:val="000000"/>
          <w:sz w:val="22"/>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bidi w:val="0"/>
        <w:spacing w:before="0" w:after="240"/>
        <w:jc w:val="both"/>
        <w:rPr>
          <w:rFonts w:ascii="Times New Roman" w:hAnsi="Times New Roman"/>
          <w:sz w:val="20"/>
        </w:rPr>
      </w:pPr>
      <w:r>
        <w:rPr>
          <w:rFonts w:ascii="Times New Roman" w:hAnsi="Times New Roman"/>
          <w:color w:val="000000"/>
          <w:sz w:val="22"/>
        </w:rPr>
        <w:t>10.5</w:t>
      </w:r>
      <w:r>
        <w:rPr>
          <w:rFonts w:ascii="Times New Roman" w:hAnsi="Times New Roman"/>
          <w:color w:val="000000"/>
          <w:sz w:val="20"/>
          <w:u w:val="single"/>
        </w:rPr>
        <w:t xml:space="preserve"> </w:t>
      </w:r>
      <w:r>
        <w:rPr>
          <w:rFonts w:ascii="Times New Roman" w:hAnsi="Times New Roman"/>
          <w:color w:val="000000"/>
          <w:sz w:val="22"/>
          <w:u w:val="single"/>
        </w:rPr>
        <w:t>Payment of Expenses and Taxes</w:t>
      </w:r>
      <w:r>
        <w:rPr>
          <w:rFonts w:ascii="Times New Roman" w:hAnsi="Times New Roman"/>
          <w:color w:val="000000"/>
          <w:sz w:val="22"/>
        </w:rPr>
        <w:t>. The Borrower agrees (a) to pay or reimburse the Administrative Agent for all its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one transaction counsel to the Administrative Agent in addition to special or local counsel and filing and recording fees and expenses, with statements with respect to the foregoing to be submitted to the Borrower prior to the Closing Date (in the case of amounts to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paid on the Closing Date) and from time to time thereafter on a quarterly basis or such other periodic basis as the Administrative Agent shall deem appropriate, (b) to pay or reimburse each Lender and the Administrative Agent for all its out-of-pocket costs and expenses incurred in connection with the enforcement or preservation of any rights under this Agreement, the other Loan Documents and any such other documents, including the fees and disbursements of counsel (including the allocated fees and expenses of in-house counsel) to each Lender and of counsel to the Administrative Agent, (c) to pay, indemnify, and hold each Lender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the Administrative Agent and each Joint Lead Arranger and their respective officers, directors, employees, affiliates, agents, advisors and controlling persons and any successor and assigns of the foregoing (each, an “Indemnitee”) harmless from and against any and all other liabilities, obligations, losses, claims, damages, penalties, actions, judgments, suits, costs, expenses or disbursements of any kind or nature whatsoever (excluding net income taxes, franchise taxes, net worth taxes, gross receipts taxes or any similar taxes) arising out of or in connection with the execution, delivery, enforcement, performance and administration of this Agreement, the other Loan Documents and any such other documents,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(all the foregoing in this clause (d), collectively, the “Indemnified Liabilities”),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or willful misconduct of such Indemnitee or (y) result from a claim not involving an act or omission of the Borrower that is brought by an Indemnitee against another Indemnitee.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10.5 shall be payable not later than 10 days after written demand therefor. Statements payable by the Borrower pursuant to this Section 10.5 shall be submitted to the Borrower in accordance with Section 10.2. The agreements in this Section 10.5 shall survive the termination of this Agreement and the repayment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10.6</w:t>
      </w:r>
      <w:r>
        <w:rPr>
          <w:rFonts w:ascii="Times New Roman" w:hAnsi="Times New Roman"/>
          <w:color w:val="000000"/>
          <w:sz w:val="20"/>
          <w:u w:val="single"/>
        </w:rPr>
        <w:t xml:space="preserve"> </w:t>
      </w:r>
      <w:r>
        <w:rPr>
          <w:rFonts w:ascii="Times New Roman" w:hAnsi="Times New Roman"/>
          <w:color w:val="000000"/>
          <w:sz w:val="22"/>
          <w:u w:val="single"/>
        </w:rPr>
        <w:t>Successors and Assigns; Participations and Assignments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(a) The provisions of this Agreement shall be binding upon and inure to the benefit of the parties hereto and their respective successors and assigns permitted hereby (including any affiliate of either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strike/>
          <w:color w:val="FF0000"/>
          <w:sz w:val="22"/>
        </w:rPr>
        <w:t xml:space="preserve">(i) </w:t>
      </w:r>
      <w:r>
        <w:rPr>
          <w:rFonts w:ascii="Times New Roman" w:hAnsi="Times New Roman"/>
          <w:color w:val="000000"/>
          <w:sz w:val="22"/>
        </w:rPr>
        <w:t>Subject to the conditions set forth in paragraph (b)(ii) below, any Lender may assign to one or more assignees other than a natural Person or individual (each, an “</w:t>
      </w:r>
      <w:r>
        <w:rPr>
          <w:rFonts w:ascii="Times New Roman" w:hAnsi="Times New Roman"/>
          <w:color w:val="000000"/>
          <w:sz w:val="22"/>
          <w:u w:val="single"/>
        </w:rPr>
        <w:t>Assignee</w:t>
      </w:r>
      <w:r>
        <w:rPr>
          <w:rFonts w:ascii="Times New Roman" w:hAnsi="Times New Roman"/>
          <w:color w:val="000000"/>
          <w:sz w:val="20"/>
        </w:rPr>
        <w:t>”</w:t>
      </w:r>
      <w:r>
        <w:rPr>
          <w:rFonts w:ascii="Times New Roman" w:hAnsi="Times New Roman"/>
          <w:color w:val="000000"/>
          <w:sz w:val="22"/>
        </w:rPr>
        <w:t>) all or a portion of its rights and obligations under this Agreement (including all or a portion of its Commitments and the Loans at the time owing to it) with the prior written consent of:</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(A)</w:t>
      </w:r>
      <w:r>
        <w:rPr>
          <w:rFonts w:ascii="Times New Roman" w:hAnsi="Times New Roman"/>
          <w:color w:val="000000"/>
          <w:sz w:val="20"/>
        </w:rPr>
        <w:t xml:space="preserve"> </w:t>
      </w:r>
      <w:r>
        <w:rPr>
          <w:rFonts w:ascii="Times New Roman" w:hAnsi="Times New Roman"/>
          <w:color w:val="000000"/>
          <w:sz w:val="22"/>
        </w:rPr>
        <w:t xml:space="preserve">the Borrower (such consent not to be unreasonably withheld),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consent of the Borrower shall be required for an assignment to a Lender, an affiliate of a Lender, an Approved Fund (as defined below) or, if an Event of Default has occurred and is continuing, any other Person;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2"/>
        </w:rPr>
        <w:t>, that the Borrower shall be deemed to have consented to any such assignment unless the Borrower shall object thereto by written notice to the Administrative Agent within five Business Days after having received notice thereof; and</w:t>
      </w:r>
    </w:p>
    <w:p>
      <w:pPr>
        <w:pStyle w:val="TextBody"/>
        <w:bidi w:val="0"/>
        <w:spacing w:before="0" w:after="240"/>
        <w:jc w:val="both"/>
        <w:rPr>
          <w:rFonts w:ascii="Times New Roman" w:hAnsi="Times New Roman"/>
          <w:sz w:val="20"/>
        </w:rPr>
      </w:pPr>
      <w:r>
        <w:rPr>
          <w:rFonts w:ascii="Times New Roman" w:hAnsi="Times New Roman"/>
          <w:color w:val="010000"/>
          <w:sz w:val="22"/>
        </w:rPr>
        <w:t>(B)</w:t>
      </w:r>
      <w:r>
        <w:rPr>
          <w:rFonts w:ascii="Times New Roman" w:hAnsi="Times New Roman"/>
          <w:color w:val="000000"/>
          <w:sz w:val="20"/>
        </w:rPr>
        <w:t xml:space="preserve"> </w:t>
      </w:r>
      <w:r>
        <w:rPr>
          <w:rFonts w:ascii="Times New Roman" w:hAnsi="Times New Roman"/>
          <w:color w:val="000000"/>
          <w:sz w:val="22"/>
        </w:rPr>
        <w:t xml:space="preserve">the Administrative Agent (such consent not to be unreasonably withheld or delayed),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consent of the Administrative Agent shall be required for an assignment of all or any portion of a Term Loan to a Lender, an affiliate of a Lender or an Approved Fund.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Assignments shall be subject to the following additional conditions:</w:t>
      </w:r>
    </w:p>
    <w:p>
      <w:pPr>
        <w:pStyle w:val="TextBody"/>
        <w:bidi w:val="0"/>
        <w:spacing w:before="0" w:after="240"/>
        <w:jc w:val="both"/>
        <w:rPr>
          <w:rFonts w:ascii="Times New Roman" w:hAnsi="Times New Roman"/>
          <w:sz w:val="20"/>
        </w:rPr>
      </w:pPr>
      <w:r>
        <w:rPr>
          <w:rFonts w:ascii="Times New Roman" w:hAnsi="Times New Roman"/>
          <w:color w:val="010000"/>
          <w:sz w:val="22"/>
        </w:rPr>
        <w:t>(A)</w:t>
      </w:r>
      <w:r>
        <w:rPr>
          <w:rFonts w:ascii="Times New Roman" w:hAnsi="Times New Roman"/>
          <w:color w:val="000000"/>
          <w:sz w:val="20"/>
        </w:rPr>
        <w:t xml:space="preserve"> </w:t>
      </w:r>
      <w:r>
        <w:rPr>
          <w:rFonts w:ascii="Times New Roman" w:hAnsi="Times New Roman"/>
          <w:color w:val="000000"/>
          <w:sz w:val="22"/>
        </w:rPr>
        <w:t>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provided that (1) no such consent of the Borrower shall be required if an Event of Default has occurred and is continuing and (2) such amounts shall be aggregated in respect of each Lender and its affiliates or Approved Funds, if any;</w:t>
      </w:r>
    </w:p>
    <w:p>
      <w:pPr>
        <w:pStyle w:val="TextBody"/>
        <w:bidi w:val="0"/>
        <w:spacing w:before="0" w:after="240"/>
        <w:jc w:val="both"/>
        <w:rPr>
          <w:rFonts w:ascii="Times New Roman" w:hAnsi="Times New Roman"/>
          <w:sz w:val="20"/>
        </w:rPr>
      </w:pPr>
      <w:r>
        <w:rPr>
          <w:rFonts w:ascii="Times New Roman" w:hAnsi="Times New Roman"/>
          <w:color w:val="010000"/>
          <w:sz w:val="22"/>
        </w:rPr>
        <w:t>(B)</w:t>
      </w:r>
      <w:r>
        <w:rPr>
          <w:rFonts w:ascii="Times New Roman" w:hAnsi="Times New Roman"/>
          <w:color w:val="000000"/>
          <w:sz w:val="20"/>
        </w:rPr>
        <w:t xml:space="preserve"> </w:t>
      </w:r>
      <w:r>
        <w:rPr>
          <w:rFonts w:ascii="Times New Roman" w:hAnsi="Times New Roman"/>
          <w:color w:val="000000"/>
          <w:sz w:val="22"/>
        </w:rPr>
        <w:t>(1) the parties to each assignment shall execute and deliver to the Administrative Agent an Assignment and Assumption, together with a processing and recordation fee of $3,500 and (2) the assigning Lender shall have paid in full any amounts owing by it to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(C)</w:t>
      </w:r>
      <w:r>
        <w:rPr>
          <w:rFonts w:ascii="Times New Roman" w:hAnsi="Times New Roman"/>
          <w:color w:val="000000"/>
          <w:sz w:val="20"/>
        </w:rPr>
        <w:t xml:space="preserve"> </w:t>
      </w:r>
      <w:r>
        <w:rPr>
          <w:rFonts w:ascii="Times New Roman" w:hAnsi="Times New Roman"/>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jc w:val="both"/>
        <w:rPr>
          <w:rFonts w:ascii="Times New Roman" w:hAnsi="Times New Roman"/>
          <w:sz w:val="20"/>
        </w:rPr>
      </w:pPr>
      <w:r>
        <w:rPr>
          <w:rFonts w:ascii="Times New Roman" w:hAnsi="Times New Roman"/>
          <w:color w:val="010000"/>
          <w:sz w:val="22"/>
        </w:rPr>
        <w:t>(D)</w:t>
      </w:r>
      <w:r>
        <w:rPr>
          <w:rFonts w:ascii="Times New Roman" w:hAnsi="Times New Roman"/>
          <w:color w:val="000000"/>
          <w:sz w:val="20"/>
        </w:rPr>
        <w:t xml:space="preserve"> </w:t>
      </w:r>
      <w:r>
        <w:rPr>
          <w:rFonts w:ascii="Times New Roman" w:hAnsi="Times New Roman"/>
          <w:color w:val="000000"/>
          <w:sz w:val="22"/>
        </w:rPr>
        <w:t>no assignment of all or a portion of a Lender’s Loans shall be permitted to (i) any natural person and (ii) any other Person that the Administrative Agent determines is maintained primarily for the purpose of holding or managing Loans for the benefit of any natural person and/or immediate family members or heirs thereof, in each case unless otherwise agreed by each of the Administrative Agent and the Borrower in its sole discretion; and</w:t>
      </w:r>
    </w:p>
    <w:p>
      <w:pPr>
        <w:pStyle w:val="TextBody"/>
        <w:bidi w:val="0"/>
        <w:spacing w:before="0" w:after="240"/>
        <w:jc w:val="both"/>
        <w:rPr>
          <w:rFonts w:ascii="Times New Roman" w:hAnsi="Times New Roman"/>
          <w:sz w:val="20"/>
        </w:rPr>
      </w:pPr>
      <w:r>
        <w:rPr>
          <w:rFonts w:ascii="Times New Roman" w:hAnsi="Times New Roman"/>
          <w:color w:val="010000"/>
          <w:sz w:val="22"/>
        </w:rPr>
        <w:t>(E)</w:t>
      </w:r>
      <w:r>
        <w:rPr>
          <w:rFonts w:ascii="Times New Roman" w:hAnsi="Times New Roman"/>
          <w:color w:val="000000"/>
          <w:sz w:val="20"/>
        </w:rPr>
        <w:t xml:space="preserve"> </w:t>
      </w:r>
      <w:r>
        <w:rPr>
          <w:rFonts w:ascii="Times New Roman" w:hAnsi="Times New Roman"/>
          <w:color w:val="000000"/>
          <w:sz w:val="22"/>
        </w:rPr>
        <w:t>without the prior written consent of the Administrative Agent, no assignment shall be made to a prospective assignee that bears a relationship to the Borrower described in Section 108(e)(4) of the Code.</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For the purposes of this Section 10.6, “</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pStyle w:val="TextBody"/>
        <w:bidi w:val="0"/>
        <w:spacing w:before="0" w:after="240"/>
        <w:jc w:val="both"/>
        <w:rPr>
          <w:rFonts w:ascii="Times New Roman" w:hAnsi="Times New Roman"/>
          <w:sz w:val="20"/>
        </w:rPr>
      </w:pPr>
      <w:r>
        <w:rPr>
          <w:rFonts w:ascii="Times New Roman" w:hAnsi="Times New Roman"/>
          <w:color w:val="000000"/>
          <w:sz w:val="22"/>
        </w:rPr>
        <w:t>(iv) The Administrative Agent, acting for this purpose as an agent of the Borrower, shall maintain at one of its offices a copy of each Assignment and Assumption delivered to it and a register for the recordation of the names and addresses of the Lenders, and the Commitments of, and principal amount of the Loans and L/C Obligations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 the Administrative Agent, the Issuing Lenders and the Lenders may treat each Person whose name is recorded in the Register pursuant to the terms hereof as a Lender hereunder for all purposes of this Agreement, notwithstanding notice to the contrary.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strike/>
          <w:color w:val="FF0000"/>
          <w:sz w:val="22"/>
        </w:rPr>
        <w:t xml:space="preserve">(i) </w:t>
      </w:r>
      <w:r>
        <w:rPr>
          <w:rFonts w:ascii="Times New Roman" w:hAnsi="Times New Roman"/>
          <w:color w:val="000000"/>
          <w:sz w:val="22"/>
        </w:rPr>
        <w:t>Any Lender may, without the consent of the Borrower or the Administrative Agent, sell participations to one or more banks or other entities (a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in all or a portion of such Lender’s rights and obligations under this Agreement (including all or a portion of its Commitments and the Loans owing to it); provided that (A) such Lender’s obligations under this Agreement shall remain unchanged, (B) such Lender shall remain solely responsible to the other parties hereto for the performance of such obligations, (C) the Borrower, the Administrative Agent, the Issuing Lenders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Borrower described in Section 108(e)(4) of the Code.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affects such Participant. Subject to paragraph (c)(ii) of this Section, the Borrower agrees that each Participant shall be entitled to the benefits and subject to the limitations of Sections 2.18, 2.19 and 2.20 to the same extent as if it were a Lender and had acquired its interest by assignment pursuant to paragraph (b) of this Section. To the extent permitted by law, each Participant also shall be entitled to the benefits of Section 10.7(b) as though it were a Lender, provided such Participant shall be subject to Section 10.7(a)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Administrative Agent or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ii</w:t>
      </w:r>
      <w:r>
        <w:rPr>
          <w:rFonts w:ascii="Times New Roman" w:hAnsi="Times New Roman"/>
          <w:color w:val="0000FF"/>
          <w:sz w:val="22"/>
          <w:u w:val="single"/>
        </w:rPr>
        <w:t>i</w:t>
      </w:r>
      <w:r>
        <w:rPr>
          <w:rFonts w:ascii="Times New Roman" w:hAnsi="Times New Roman"/>
          <w:color w:val="000000"/>
          <w:sz w:val="22"/>
        </w:rPr>
        <w:t>) A Participant shall not be entitled to receive any greater payment under Section 2.18 or 2.19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or unless the sale of the participation to such Participant is made with the Borrower’s prior written consent. No Participant shall be entitled to the benefits of Section 2.19 unless such Participant complies with Section 2.19(d) as if it were a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Borrower, upon receipt of written notice from the relevant Lender, agrees to issue Notes to any Lender requiring Notes to facilitate transactions of the type described in paragraph (d) above.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Notwithstanding the foregoing, any Conduit Lender may assign any or all of the Loans it may have funded hereunder to its designating Lender without the consent of the Borrower or the Administrative Agent and without regard to the limitations set forth in Section 10.6(b). Each of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hAnsi="Times New Roman"/>
          <w:color w:val="000000"/>
          <w:sz w:val="22"/>
          <w:u w:val="single"/>
        </w:rPr>
        <w:t>provided</w:t>
      </w:r>
      <w:r>
        <w:rPr>
          <w:rFonts w:ascii="Times New Roman" w:hAnsi="Times New Roman"/>
          <w:color w:val="000000"/>
          <w:sz w:val="22"/>
        </w:rPr>
        <w:t>, however,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10.7</w:t>
      </w:r>
      <w:r>
        <w:rPr>
          <w:rFonts w:ascii="Times New Roman" w:hAnsi="Times New Roman"/>
          <w:color w:val="000000"/>
          <w:sz w:val="20"/>
          <w:u w:val="single"/>
        </w:rPr>
        <w:t xml:space="preserve"> </w:t>
      </w:r>
      <w:r>
        <w:rPr>
          <w:rFonts w:ascii="Times New Roman" w:hAnsi="Times New Roman"/>
          <w:color w:val="000000"/>
          <w:sz w:val="22"/>
          <w:u w:val="single"/>
        </w:rPr>
        <w:t>Adjustments; Set</w:t>
        <w:noBreakHyphen/>
        <w:t>off</w:t>
      </w:r>
      <w:r>
        <w:rPr>
          <w:rFonts w:ascii="Times New Roman" w:hAnsi="Times New Roman"/>
          <w:color w:val="000000"/>
          <w:sz w:val="22"/>
        </w:rPr>
        <w:t>. (a) Except to the extent that this Agreement or a court order expressly provides for payments to be allocated to a particular Lender or to the Lenders under a particular Facility, if any Lender (a “Benefitted Lender”) shall receive any payment of all or part of the Obligations owing to it (other than in connection with an assignment made pursuant to Section 10.6), or receive any collateral in respect thereof (whether voluntarily or involuntarily, by set</w:t>
        <w:noBreakHyphen/>
        <w: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 provided further, that to the extent prohibited by applicable law as described in the definition of “Excluded Swap Obligation,” no amounts received from, or set off with respect to, any Guarantor shall be applied to any Excluded Swap Obligations of such Guarantor.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to give such notice shall not affect the validity of such application.</w:t>
      </w:r>
    </w:p>
    <w:p>
      <w:pPr>
        <w:pStyle w:val="TextBody"/>
        <w:bidi w:val="0"/>
        <w:spacing w:before="0" w:after="240"/>
        <w:jc w:val="both"/>
        <w:rPr>
          <w:rFonts w:ascii="Times New Roman" w:hAnsi="Times New Roman"/>
          <w:sz w:val="20"/>
        </w:rPr>
      </w:pPr>
      <w:r>
        <w:rPr>
          <w:rFonts w:ascii="Times New Roman" w:hAnsi="Times New Roman"/>
          <w:color w:val="000000"/>
          <w:sz w:val="22"/>
        </w:rPr>
        <w:t>10.8</w:t>
      </w:r>
      <w:r>
        <w:rPr>
          <w:rFonts w:ascii="Times New Roman" w:hAnsi="Times New Roman"/>
          <w:color w:val="000000"/>
          <w:sz w:val="20"/>
          <w:u w:val="single"/>
        </w:rPr>
        <w:t xml:space="preserve"> </w:t>
      </w:r>
      <w:r>
        <w:rPr>
          <w:rFonts w:ascii="Times New Roman" w:hAnsi="Times New Roman"/>
          <w:color w:val="000000"/>
          <w:sz w:val="22"/>
          <w:u w:val="single"/>
        </w:rPr>
        <w:t>Counterparts; Electronic Signatures</w:t>
      </w:r>
      <w:r>
        <w:rPr>
          <w:rFonts w:ascii="Times New Roman" w:hAnsi="Times New Roman"/>
          <w:color w:val="000000"/>
          <w:sz w:val="22"/>
        </w:rPr>
        <w:t>. (a)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(b)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 w:hAnsi="Times New Roman"/>
          <w:color w:val="000000"/>
          <w:sz w:val="22"/>
          <w:u w:val="single"/>
        </w:rPr>
        <w:t>Ancillary Document</w:t>
      </w:r>
      <w:r>
        <w:rPr>
          <w:rFonts w:ascii="Times New Roman" w:hAnsi="Times New Roman"/>
          <w:color w:val="000000"/>
          <w:sz w:val="20"/>
        </w:rPr>
        <w:t>”</w:t>
      </w:r>
      <w:r>
        <w:rPr>
          <w:rFonts w:ascii="Times New Roman" w:hAnsi="Times New Roman"/>
          <w:color w:val="000000"/>
          <w:sz w:val="22"/>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(1) to the extent the Administrative Agent has agreed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(2)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and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losses, claims (including intraparty claims), demands, damages or liabilities of any kind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before="0" w:after="240"/>
        <w:jc w:val="both"/>
        <w:rPr>
          <w:rFonts w:ascii="Times New Roman" w:hAnsi="Times New Roman"/>
          <w:sz w:val="20"/>
        </w:rPr>
      </w:pPr>
      <w:r>
        <w:rPr>
          <w:rFonts w:ascii="Times New Roman" w:hAnsi="Times New Roman"/>
          <w:color w:val="000000"/>
          <w:sz w:val="22"/>
        </w:rPr>
        <w:t>10.9</w:t>
      </w:r>
      <w:r>
        <w:rPr>
          <w:rFonts w:ascii="Times New Roman" w:hAnsi="Times New Roman"/>
          <w:color w:val="000000"/>
          <w:sz w:val="20"/>
          <w:u w:val="single"/>
        </w:rPr>
        <w:t xml:space="preserve"> </w:t>
      </w:r>
      <w:r>
        <w:rPr>
          <w:rFonts w:ascii="Times New Roman" w:hAnsi="Times New Roman"/>
          <w:color w:val="000000"/>
          <w:sz w:val="22"/>
          <w:u w:val="single"/>
        </w:rPr>
        <w:t>Severability</w:t>
      </w:r>
      <w:r>
        <w:rPr>
          <w:rFonts w:ascii="Times New Roman" w:hAnsi="Times New Roman"/>
          <w:color w:val="000000"/>
          <w:sz w:val="22"/>
        </w:rPr>
        <w:t>. Any provision of this Agreement that is prohibited, invalid, illegal or unenforceable in any jurisdiction shall, as to such jurisdiction, be ineffective to the extent of such prohibition or unenforceability without invalidating the remaining provisions hereof, and any such prohibition, validity, legality or unenforceability in any jurisdiction shall not invalidate or render unenforceable such provision in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10.10</w:t>
      </w:r>
      <w:r>
        <w:rPr>
          <w:rFonts w:ascii="Times New Roman" w:hAnsi="Times New Roman"/>
          <w:color w:val="000000"/>
          <w:sz w:val="20"/>
          <w:u w:val="single"/>
        </w:rPr>
        <w:t xml:space="preserve"> </w:t>
      </w:r>
      <w:r>
        <w:rPr>
          <w:rFonts w:ascii="Times New Roman" w:hAnsi="Times New Roman"/>
          <w:color w:val="000000"/>
          <w:sz w:val="22"/>
          <w:u w:val="single"/>
        </w:rPr>
        <w:t>Integration</w:t>
      </w:r>
      <w:r>
        <w:rPr>
          <w:rFonts w:ascii="Times New Roman" w:hAnsi="Times New Roman"/>
          <w:color w:val="000000"/>
          <w:sz w:val="22"/>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10.11</w:t>
      </w:r>
      <w:r>
        <w:rPr>
          <w:rFonts w:ascii="Times New Roman" w:hAnsi="Times New Roman"/>
          <w:color w:val="000000"/>
          <w:sz w:val="20"/>
          <w:u w:val="single"/>
        </w:rPr>
        <w:t xml:space="preserve"> </w:t>
      </w:r>
      <w:r>
        <w:rPr>
          <w:rFonts w:ascii="Times New Roman" w:hAnsi="Times New Roman"/>
          <w:b/>
          <w:caps/>
          <w:color w:val="000000"/>
          <w:sz w:val="22"/>
          <w:u w:val="single"/>
        </w:rPr>
        <w:t>Governing Law</w:t>
      </w:r>
      <w:r>
        <w:rPr>
          <w:rFonts w:ascii="Times New Roman" w:hAnsi="Times New Roman"/>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2"/>
        </w:rPr>
        <w:t>10.12</w:t>
      </w:r>
      <w:r>
        <w:rPr>
          <w:rFonts w:ascii="Times New Roman" w:hAnsi="Times New Roman"/>
          <w:color w:val="000000"/>
          <w:sz w:val="20"/>
          <w:u w:val="single"/>
        </w:rPr>
        <w:t xml:space="preserve"> </w:t>
      </w:r>
      <w:r>
        <w:rPr>
          <w:rFonts w:ascii="Times New Roman" w:hAnsi="Times New Roman"/>
          <w:color w:val="000000"/>
          <w:sz w:val="22"/>
          <w:u w:val="single"/>
        </w:rPr>
        <w:t>Submission To Jurisdiction; Waivers</w:t>
      </w:r>
      <w:r>
        <w:rPr>
          <w:rFonts w:ascii="Times New Roman" w:hAnsi="Times New Roman"/>
          <w:color w:val="000000"/>
          <w:sz w:val="22"/>
        </w:rPr>
        <w:t>. The Borrower hereby irrevocably and unconditionally:</w:t>
      </w:r>
    </w:p>
    <w:p>
      <w:pPr>
        <w:pStyle w:val="TextBody"/>
        <w:bidi w:val="0"/>
        <w:spacing w:before="0" w:after="240"/>
        <w:jc w:val="both"/>
        <w:rPr>
          <w:rFonts w:ascii="Times New Roman" w:hAnsi="Times New Roman"/>
          <w:sz w:val="20"/>
        </w:rPr>
      </w:pPr>
      <w:r>
        <w:rPr>
          <w:rFonts w:ascii="Times New Roman" w:hAnsi="Times New Roman"/>
          <w:color w:val="000000"/>
          <w:sz w:val="22"/>
        </w:rPr>
        <w:t>(a) submits for itself and its property in any legal action or proceeding relating to this Agreement and the other Loan Documents to which it is a party, or for recognition and enforcement of any judgment in respect thereof, to the exclusive jurisdiction of the United States District Court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Southern District of New York sitting in the Borough of Manhattan (or if such court lacks subject matter jurisdiction, the Supreme Court of the State of New York sitting in the Borough of Manhattan), and any appellate court from any thereof and agrees that all claims in respect of any such action or proceeding may (and any such claims, cross-claims or third party claims brought against the Administrative Agent or any of its Affiliates and the respective directors, officers, employees, agents and advisors of the Administrative Agent and its Affiliates may only) be heard and determined in such Federal (to the extent permitted by law) or New York State court;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agrees that nothing herein shall affect the right to effect service of process in any other manner permitted by law or shall limit the right to sue in any other jurisdiction;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waives, to the maximum extent not prohibited by law, any right it may have to claim or recover in any legal action or proceeding referred to in this Section any special, exemplary, punitive or consequential damages.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Agreement or in any other Loan Document shall (i) affect any right that the Administrative Agent, any Issuing Lender or any Lender may otherwise have to bring any action or proceeding relating to this Agreement against the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lender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240"/>
        <w:jc w:val="both"/>
        <w:rPr>
          <w:rFonts w:ascii="Times New Roman" w:hAnsi="Times New Roman"/>
          <w:sz w:val="20"/>
        </w:rPr>
      </w:pPr>
      <w:r>
        <w:rPr>
          <w:rFonts w:ascii="Times New Roman" w:hAnsi="Times New Roman"/>
          <w:color w:val="000000"/>
          <w:sz w:val="22"/>
        </w:rPr>
        <w:t>10.13</w:t>
      </w:r>
      <w:r>
        <w:rPr>
          <w:rFonts w:ascii="Times New Roman" w:hAnsi="Times New Roman"/>
          <w:color w:val="000000"/>
          <w:sz w:val="20"/>
          <w:u w:val="single"/>
        </w:rPr>
        <w:t xml:space="preserve"> </w:t>
      </w:r>
      <w:r>
        <w:rPr>
          <w:rFonts w:ascii="Times New Roman" w:hAnsi="Times New Roman"/>
          <w:color w:val="000000"/>
          <w:sz w:val="22"/>
          <w:u w:val="single"/>
        </w:rPr>
        <w:t>Acknowledgements</w:t>
      </w:r>
      <w:r>
        <w:rPr>
          <w:rFonts w:ascii="Times New Roman" w:hAnsi="Times New Roman"/>
          <w:color w:val="000000"/>
          <w:sz w:val="22"/>
        </w:rPr>
        <w:t>. The Borrower hereby acknowledges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it has been advised by counsel in the negotiation, execution and delivery of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neither the Administrative Agent nor any Lender has any fiduciary relationship with or duty to the Borrower arising out of or in connection with this Agreement or any of the other Loan Documents, and the relationship between Administrative Agent and Lenders, on one hand, and the Borrower, on the other hand, in connection herewith or therewith is solely that of debtor and creditor;</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 joint venture is created hereby or by the other Loan Documents or otherwise exists by virtue of the transactions contemplated hereby among the Lenders or among the Borrower and the Lenders;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Administrative Agent, each Lender and their Affiliates may have economic interests that conflict with those of the Borrower, its stockholders and/or its affiliates. The Borrower acknowledges and agrees that it has consulted its own legal and financial advisors to the extent it deemed appropriate and that it is responsible for making its own independent judgment with respect to such transactions and the process leading thereto.</w:t>
      </w:r>
    </w:p>
    <w:p>
      <w:pPr>
        <w:pStyle w:val="TextBody"/>
        <w:bidi w:val="0"/>
        <w:spacing w:before="0" w:after="240"/>
        <w:jc w:val="both"/>
        <w:rPr>
          <w:rFonts w:ascii="Times New Roman" w:hAnsi="Times New Roman"/>
          <w:sz w:val="20"/>
        </w:rPr>
      </w:pPr>
      <w:r>
        <w:rPr>
          <w:rFonts w:ascii="Times New Roman" w:hAnsi="Times New Roman"/>
          <w:color w:val="000000"/>
          <w:sz w:val="22"/>
        </w:rPr>
        <w:t>10.14</w:t>
      </w:r>
      <w:r>
        <w:rPr>
          <w:rFonts w:ascii="Times New Roman" w:hAnsi="Times New Roman"/>
          <w:color w:val="000000"/>
          <w:sz w:val="20"/>
          <w:u w:val="single"/>
        </w:rPr>
        <w:t xml:space="preserve"> </w:t>
      </w:r>
      <w:r>
        <w:rPr>
          <w:rFonts w:ascii="Times New Roman" w:hAnsi="Times New Roman"/>
          <w:color w:val="000000"/>
          <w:sz w:val="22"/>
          <w:u w:val="single"/>
        </w:rPr>
        <w:t>Releases of Guarantees and Liens</w:t>
      </w:r>
      <w:r>
        <w:rPr>
          <w:rFonts w:ascii="Times New Roman" w:hAnsi="Times New Roman"/>
          <w:color w:val="000000"/>
          <w:sz w:val="22"/>
        </w:rPr>
        <w:t>. (a)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 (b)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At such time as the Loans, the Reimbursement Obligations and the other obligations under the Loan Documents (other than obligations under or in respect of Specified Swap Agreements or Specified Cash Management Agreements) shall have been paid in full, the Commitments have been terminated and no Letters of Credit shall be outstanding,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pStyle w:val="TextBody"/>
        <w:bidi w:val="0"/>
        <w:spacing w:before="0" w:after="240"/>
        <w:jc w:val="both"/>
        <w:rPr>
          <w:rFonts w:ascii="Times New Roman" w:hAnsi="Times New Roman"/>
          <w:sz w:val="20"/>
        </w:rPr>
      </w:pPr>
      <w:r>
        <w:rPr>
          <w:rFonts w:ascii="Times New Roman" w:hAnsi="Times New Roman"/>
          <w:color w:val="000000"/>
          <w:sz w:val="22"/>
        </w:rPr>
        <w:t>(c) After the satisfaction of the Collateral Release Conditions, upon request by the Borrower (which may be made at any time following such satisfaction so long as the Collateral Release Conditions continue to be satisfied) all of (i) the security interests, mortgages, or other Liens in or on the Collateral shall be released, (ii) the Guarantee Obligations’ of each Guarantor under the Guarantee Agreement shall be released and (iii) the Borrower shall have no further obligations under Sections 6.10(a), (</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w:t>
      </w:r>
      <w:r>
        <w:rPr>
          <w:rFonts w:ascii="Times New Roman" w:hAnsi="Times New Roman"/>
          <w:strike/>
          <w:color w:val="FF0000"/>
          <w:sz w:val="22"/>
        </w:rPr>
        <w:t>d</w:t>
      </w:r>
      <w:r>
        <w:rPr>
          <w:rFonts w:ascii="Times New Roman" w:hAnsi="Times New Roman"/>
          <w:color w:val="0000FF"/>
          <w:sz w:val="22"/>
          <w:u w:val="single"/>
        </w:rPr>
        <w:t>c</w:t>
      </w:r>
      <w:r>
        <w:rPr>
          <w:rFonts w:ascii="Times New Roman" w:hAnsi="Times New Roman"/>
          <w:color w:val="000000"/>
          <w:sz w:val="22"/>
        </w:rPr>
        <w:t>) or (</w:t>
      </w:r>
      <w:r>
        <w:rPr>
          <w:rFonts w:ascii="Times New Roman" w:hAnsi="Times New Roman"/>
          <w:strike/>
          <w:color w:val="FF0000"/>
          <w:sz w:val="22"/>
        </w:rPr>
        <w:t>e</w:t>
      </w:r>
      <w:r>
        <w:rPr>
          <w:rFonts w:ascii="Times New Roman" w:hAnsi="Times New Roman"/>
          <w:color w:val="0000FF"/>
          <w:sz w:val="22"/>
          <w:u w:val="single"/>
        </w:rPr>
        <w:t>d</w:t>
      </w:r>
      <w:r>
        <w:rPr>
          <w:rFonts w:ascii="Times New Roman" w:hAnsi="Times New Roman"/>
          <w:color w:val="000000"/>
          <w:sz w:val="22"/>
        </w:rPr>
        <w:t>) (the date on which such releases occur, the “</w:t>
      </w:r>
      <w:r>
        <w:rPr>
          <w:rFonts w:ascii="Times New Roman" w:hAnsi="Times New Roman"/>
          <w:color w:val="000000"/>
          <w:sz w:val="22"/>
          <w:u w:val="single"/>
        </w:rPr>
        <w:t>Collateral Release Date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 (x) any Liens on the Collateral securing the Secured Senior Notes and any other Indebtedness for borrowed money in excess of $50,000,000 shall be released contemporaneously and (y) any guarantees with respect to the Secured Senior Notes and any other Indebtedness for borrowed money in excess of $50,000,000 shall be released contemporaneously. In the event that after the Collateral Release Date, either (i) S&amp;P or Moody’s shall change its senior unsecured debt rating with the result that the Collateral Release Conditions described in clause (1) of the definition thereof are not satisfied or (ii) unless otherwise agreed by the Administrative Agent and the Required Lenders, an Event of Default shall occur and be continuing, the Borrower shall within 30 calendar days (or such later date as the Administrative Agent may agree) (i) secure the Obligations by a validly created and perfected first-priority security interest in the Collateral that, but for the occurrence of the Collateral Release Date, would have been required to be granted at the date in question, (ii) guarantee the Obligations to the same extent that, but for the occurrence of the Collateral Release Date, would have been required to be guaranteed at the date in question and (iii) the Borrower’s obligations under Sections 6.10(a), (</w:t>
      </w:r>
      <w:r>
        <w:rPr>
          <w:rFonts w:ascii="Times New Roman" w:hAnsi="Times New Roman"/>
          <w:strike/>
          <w:color w:val="FF0000"/>
          <w:sz w:val="22"/>
        </w:rPr>
        <w:t>c</w:t>
      </w:r>
      <w:r>
        <w:rPr>
          <w:rFonts w:ascii="Times New Roman" w:hAnsi="Times New Roman"/>
          <w:color w:val="0000FF"/>
          <w:sz w:val="22"/>
          <w:u w:val="single"/>
        </w:rPr>
        <w:t>b</w:t>
      </w:r>
      <w:r>
        <w:rPr>
          <w:rFonts w:ascii="Times New Roman" w:hAnsi="Times New Roman"/>
          <w:color w:val="000000"/>
          <w:sz w:val="22"/>
        </w:rPr>
        <w:t>), (</w:t>
      </w:r>
      <w:r>
        <w:rPr>
          <w:rFonts w:ascii="Times New Roman" w:hAnsi="Times New Roman"/>
          <w:strike/>
          <w:color w:val="FF0000"/>
          <w:sz w:val="22"/>
        </w:rPr>
        <w:t>d</w:t>
      </w:r>
      <w:r>
        <w:rPr>
          <w:rFonts w:ascii="Times New Roman" w:hAnsi="Times New Roman"/>
          <w:color w:val="0000FF"/>
          <w:sz w:val="22"/>
          <w:u w:val="single"/>
        </w:rPr>
        <w:t>c</w:t>
      </w:r>
      <w:r>
        <w:rPr>
          <w:rFonts w:ascii="Times New Roman" w:hAnsi="Times New Roman"/>
          <w:color w:val="000000"/>
          <w:sz w:val="22"/>
        </w:rPr>
        <w:t>) and (</w:t>
      </w:r>
      <w:r>
        <w:rPr>
          <w:rFonts w:ascii="Times New Roman" w:hAnsi="Times New Roman"/>
          <w:strike/>
          <w:color w:val="FF0000"/>
          <w:sz w:val="22"/>
        </w:rPr>
        <w:t>e</w:t>
      </w:r>
      <w:r>
        <w:rPr>
          <w:rFonts w:ascii="Times New Roman" w:hAnsi="Times New Roman"/>
          <w:color w:val="0000FF"/>
          <w:sz w:val="22"/>
          <w:u w:val="single"/>
        </w:rPr>
        <w:t>d</w:t>
      </w:r>
      <w:r>
        <w:rPr>
          <w:rFonts w:ascii="Times New Roman" w:hAnsi="Times New Roman"/>
          <w:color w:val="000000"/>
          <w:sz w:val="22"/>
        </w:rPr>
        <w:t>) shall be reinstated.</w:t>
      </w:r>
    </w:p>
    <w:p>
      <w:pPr>
        <w:pStyle w:val="TextBody"/>
        <w:bidi w:val="0"/>
        <w:spacing w:before="0" w:after="240"/>
        <w:jc w:val="both"/>
        <w:rPr>
          <w:rFonts w:ascii="Times New Roman" w:hAnsi="Times New Roman"/>
          <w:sz w:val="20"/>
        </w:rPr>
      </w:pPr>
      <w:r>
        <w:rPr>
          <w:rFonts w:ascii="Times New Roman" w:hAnsi="Times New Roman"/>
          <w:color w:val="000000"/>
          <w:sz w:val="22"/>
        </w:rPr>
        <w:t>10.15</w:t>
      </w:r>
      <w:r>
        <w:rPr>
          <w:rFonts w:ascii="Times New Roman" w:hAnsi="Times New Roman"/>
          <w:color w:val="000000"/>
          <w:sz w:val="20"/>
          <w:u w:val="single"/>
        </w:rPr>
        <w:t xml:space="preserve"> </w:t>
      </w:r>
      <w:r>
        <w:rPr>
          <w:rFonts w:ascii="Times New Roman" w:hAnsi="Times New Roman"/>
          <w:color w:val="000000"/>
          <w:sz w:val="22"/>
          <w:u w:val="single"/>
        </w:rPr>
        <w:t>Confidentiality</w:t>
      </w:r>
      <w:r>
        <w:rPr>
          <w:rFonts w:ascii="Times New Roman" w:hAnsi="Times New Roman"/>
          <w:color w:val="000000"/>
          <w:sz w:val="22"/>
        </w:rPr>
        <w:t>. Each of the Administrative Agent and each Lender agrees to keep confidential all non-public information provided to it by any Loan Party, the Administrative Agent or any Lender pursuant to or in connection with this Agreement that is designated by the provider thereof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confidential; provided that nothing herein shall prevent the Administrative Agent or any Lender from disclosing any such information (a) to the Administrative Agent, any other Lender or any affiliate thereof, (b) subject to an agreement to comply with the provisions of this Section or other provisions at least as restrictive as this Section, to any actual or prospective Transferee or any actual or prospective party (or any professional advisor to such counterparty) to any Swap Agreement, other swap, derivative or other transaction under which payments are to be made by reference to the Borrower and its obligations, this Agreement or payments hereunder, (c) to its employees, directors, agents, attorneys, accountants, representatives, consultants, auditors, service providers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(j) to data service providers, including league table providers, that serve the lending industry, information pertaining to pertaining to this Agreement routinely provided by arrangers or (k) if agreed by the Borrower in its sole discretion, to any other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For the avoidance of doubt, nothing in this Section 10.15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color w:val="000000"/>
          <w:sz w:val="22"/>
          <w:u w:val="single"/>
        </w:rPr>
        <w:t>Regulatory Authority</w:t>
      </w:r>
      <w:r>
        <w:rPr>
          <w:rFonts w:ascii="Times New Roman" w:hAnsi="Times New Roman"/>
          <w:color w:val="000000"/>
          <w:sz w:val="20"/>
        </w:rPr>
        <w:t>”</w:t>
      </w:r>
      <w:r>
        <w:rPr>
          <w:rFonts w:ascii="Times New Roman" w:hAnsi="Times New Roman"/>
          <w:color w:val="000000"/>
          <w:sz w:val="22"/>
        </w:rPr>
        <w:t>) to the extent that any such prohibition on disclosure set forth in this Section 10.15 shall be prohibited by the laws or regulations applicable to such Regulatory Authority.</w:t>
      </w:r>
    </w:p>
    <w:p>
      <w:pPr>
        <w:pStyle w:val="TextBody"/>
        <w:bidi w:val="0"/>
        <w:spacing w:before="0" w:after="240"/>
        <w:jc w:val="both"/>
        <w:rPr>
          <w:rFonts w:ascii="Times New Roman" w:hAnsi="Times New Roman"/>
          <w:sz w:val="20"/>
        </w:rPr>
      </w:pPr>
      <w:r>
        <w:rPr>
          <w:rFonts w:ascii="Times New Roman" w:hAnsi="Times New Roman"/>
          <w:color w:val="000000"/>
          <w:sz w:val="22"/>
        </w:rPr>
        <w:t>10.16</w:t>
      </w:r>
      <w:r>
        <w:rPr>
          <w:rFonts w:ascii="Times New Roman" w:hAnsi="Times New Roman"/>
          <w:color w:val="000000"/>
          <w:sz w:val="20"/>
          <w:u w:val="single"/>
        </w:rPr>
        <w:t xml:space="preserve"> </w:t>
      </w:r>
      <w:r>
        <w:rPr>
          <w:rFonts w:ascii="Times New Roman" w:hAnsi="Times New Roman"/>
          <w:color w:val="000000"/>
          <w:sz w:val="22"/>
          <w:u w:val="single"/>
        </w:rPr>
        <w:t>WAIVERS OF JURY TRIAL</w:t>
      </w:r>
      <w:r>
        <w:rPr>
          <w:rFonts w:ascii="Times New Roman" w:hAnsi="Times New Roman"/>
          <w:color w:val="000000"/>
          <w:sz w:val="22"/>
        </w:rPr>
        <w:t>. THE BORROWER, THE ADMINISTRATIVE AGENT AND THE LENDERS HEREBY IRREVOCABLY AND UNCONDITIONALLY WAIVE TRIAL BY JURY IN ANY LEGAL ACTION OR PROCEEDING RELATING TO THIS AGREEMENT OR ANY OTHER LOAN DOCUMENT AND FOR ANY COUNTERCLAIM THEREIN.</w:t>
      </w:r>
    </w:p>
    <w:p>
      <w:pPr>
        <w:pStyle w:val="TextBody"/>
        <w:bidi w:val="0"/>
        <w:spacing w:before="0" w:after="240"/>
        <w:jc w:val="both"/>
        <w:rPr>
          <w:rFonts w:ascii="Times New Roman" w:hAnsi="Times New Roman"/>
          <w:sz w:val="20"/>
        </w:rPr>
      </w:pPr>
      <w:r>
        <w:rPr>
          <w:rFonts w:ascii="Times New Roman" w:hAnsi="Times New Roman"/>
          <w:color w:val="000000"/>
          <w:sz w:val="22"/>
        </w:rPr>
        <w:t>10.17</w:t>
      </w:r>
      <w:r>
        <w:rPr>
          <w:rFonts w:ascii="Times New Roman" w:hAnsi="Times New Roman"/>
          <w:color w:val="000000"/>
          <w:sz w:val="20"/>
          <w:u w:val="single"/>
        </w:rPr>
        <w:t xml:space="preserve"> </w:t>
      </w:r>
      <w:r>
        <w:rPr>
          <w:rFonts w:ascii="Times New Roman" w:hAnsi="Times New Roman"/>
          <w:color w:val="000000"/>
          <w:sz w:val="22"/>
          <w:u w:val="single"/>
        </w:rPr>
        <w:t>USA Patriot Act</w:t>
      </w:r>
      <w:r>
        <w:rPr>
          <w:rFonts w:ascii="Times New Roman" w:hAnsi="Times New Roman"/>
          <w:color w:val="000000"/>
          <w:sz w:val="22"/>
        </w:rPr>
        <w:t>. Each Lender hereby notifies the Borrower that pursuant to the requirements of the USA Patriot Act (Title III of Pub. L. 107-56 (signed into law October 26, 2001))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10.18</w:t>
      </w:r>
      <w:r>
        <w:rPr>
          <w:rFonts w:ascii="Times New Roman" w:hAnsi="Times New Roman"/>
          <w:color w:val="000000"/>
          <w:sz w:val="20"/>
          <w:u w:val="single"/>
        </w:rPr>
        <w:t xml:space="preserve"> </w:t>
      </w:r>
      <w:r>
        <w:rPr>
          <w:rFonts w:ascii="Times New Roman" w:hAnsi="Times New Roman"/>
          <w:color w:val="000000"/>
          <w:sz w:val="22"/>
          <w:u w:val="single"/>
        </w:rPr>
        <w:t>Acknowledgement and Consent to Bail-In of EEA Affected Institutions</w:t>
      </w:r>
      <w:r>
        <w:rPr>
          <w:rFonts w:ascii="Times New Roman" w:hAnsi="Times New Roman"/>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application of any Write-Down and Conversion Powers by an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0"/>
        </w:rPr>
      </w:pPr>
      <w:r>
        <w:rPr>
          <w:rFonts w:ascii="Times New Roman" w:hAnsi="Times New Roman"/>
          <w:color w:val="000000"/>
          <w:sz w:val="22"/>
        </w:rPr>
        <w:t>10.19</w:t>
      </w:r>
      <w:r>
        <w:rPr>
          <w:rFonts w:ascii="Times New Roman" w:hAnsi="Times New Roman"/>
          <w:color w:val="000000"/>
          <w:sz w:val="20"/>
          <w:u w:val="single"/>
        </w:rPr>
        <w:t xml:space="preserve"> </w:t>
      </w:r>
      <w:r>
        <w:rPr>
          <w:rFonts w:ascii="Times New Roman" w:hAnsi="Times New Roman"/>
          <w:color w:val="000000"/>
          <w:sz w:val="22"/>
          <w:u w:val="single"/>
        </w:rPr>
        <w:t>Acknowledgement Regarding Any Supported QFCs</w:t>
      </w:r>
      <w:r>
        <w:rPr>
          <w:rFonts w:ascii="Times New Roman" w:hAnsi="Times New Roman"/>
          <w:color w:val="000000"/>
          <w:sz w:val="22"/>
        </w:rPr>
        <w:t>.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2"/>
        </w:rPr>
        <w:t>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76784</Words>
  <Characters>405575</Characters>
  <CharactersWithSpaces>481026</CharactersWithSpaces>
  <Paragraphs>2676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