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1514d424b5.htm"/>
        <w:bookmarkStart w:id="1" w:name="ksd10151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333-282135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are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10,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September 16, 2024)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208405" cy="46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8405" cy="46037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$     % Senior Secured Notes due 20  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$     % Senior Secured Notes due 20  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Interest payable and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Issue price:  % for the 20  notes </w:t>
      </w:r>
    </w:p>
    <w:p>
      <w:pPr>
        <w:pStyle w:val="TextBody"/>
        <w:bidi w:val="0"/>
        <w:spacing w:before="120" w:after="0"/>
        <w:ind w:left="960" w:right="960" w:hanging="0"/>
        <w:jc w:val="center"/>
        <w:rPr/>
      </w:pPr>
      <w:r>
        <w:rPr/>
        <w:t>  </w:t>
      </w:r>
      <w:r>
        <w:rPr>
          <w:rFonts w:ascii="Times New Roman" w:hAnsi="Times New Roman"/>
          <w:b/>
          <w:sz w:val="28"/>
        </w:rPr>
        <w:t xml:space="preserve">% for the 20  notes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Universal Health Services, Inc. is offering $      aggregate principal amount of     % Senior Secured Notes due 20   (the “20    notes”) and $     aggregate principal amount of      % Senior Secured Notes due 20    (the “20    notes” and, together with the 20    notes, the “notes”). The 20    notes will bear interest at a rate of      % per annum, and the 20   notes will bear interest at a rate of     % per annum. Universal Health Services, Inc. will pay interest on the notes semi-annually, in cash in arrears, on and for the 20    notes, beginning on     , 2027, and on      and      for the 20    notes, beginning on     , 2027. Interest on each series of the notes will accrue from,      2026, the 20   notes will mature on,     20    and the      20   notes will mature on,     20  .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redeem either series of notes, in whole or in part, at any time at the applicable redemption prices described under the caption “Description of the notes — Optional redemption.” If we experience specific kinds of changes of control and the notes have ceased to have investment grade ratings (including as a result of entering into an agreement that would result in such a change of control), then we will be required to offer to repurchase the notes, as described in “Description of the notes.”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of our existing and future subsidiaries that guarantees our senior secured credit facility or certain of our other indebtedness or indebtedness of subsidiary guarantors will guarantee the notes (the “note guarantees”). The notes will rank equally in right of payment to all of our existing and future senior debt, but, to the extent of the value of the collateral (as defined below), will be effectively senior to our existing and future unsecured senior debt and any future junior lien obligations. The notes will rank senior in right of payment to all of our existing and future subordinated debt. The note guarantees will rank equally in right of payment with all of our subsidiary guarantors’ existing and future senior debt and senior in right of payment to all of our subsidiary guarantors’ existing and future subordinated debt. In addition, the notes will be structurally subordinated to the liabilities of our non-guarantor subsidiaries. Under certain circumstances, the subsidiary guarantors may be released from their note guarantees without the consent of the holders of the notes, including if the notes then have investment grade ratings, no default has occurred and is continuing, the guarantees of other first lien and any junior lien obligations have been released and liens on the collateral securing all first lien obligations and any junior lien obligations have been released. Any note guarantee will also be released if that subsidiary guarantor’s guarantees of the senior credit facility, other first lien obligations and any junior lien obligations are released.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notes and the note guarantees will be secured by first-priority liens, subject to permitted liens, on certain of our assets and certain assets of those guarantors that have pledged those assets to secure certain of our other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indebtedness or indebtedness of those subsidiary guarantors (the “secured guarantors”) now owned or acquired in the future by us and our secured guarantors (other than our real property and certain other excluded assets). Our obligations with respect to the notes, the obligations of the secured guarantors under the note guarantees and the performance of all our and our secured guarantors’ other obligations under the indenture will be secured equally and ratably with our and our subsidiary guarantors’ obligations under our senior secured credit facility, our 1.650% Senior Secured Notes due 2026 (the “Existing 2026 Notes”), our 4.625% Senior Secured Notes due 2029 (the “Existing 2029 Notes”), our 2.650% Senior Secured Notes due 2030 (the “Existing 2030 Notes”), our 2.650% Senior Secured Notes due 2032 (the “Existing 2032 Notes”) and our 5.050% Senior Secured Notes due 2034 (the “Existing 2034 Notes”) by a perfected first-priority security interest, subject to permitted liens, in the collateral owned by us and our secured guarantors, whether now owned or hereafter acquired (the “collateral”). However, the liens on the collateral securing the notes and the note guarantees of the secured guarantors will be released if (i)(x) the notes then have investment grade ratings, (y) no default has occurred and is continuing and (z) the liens on the collateral securing all first lien obligations (including the senior secured credit facility, the Existing 2026 Notes (to the extent remaining outstanding), the Existing 2029 Notes, the Existing 2030 Notes, the Existing 2032 Notes and the Existing 2034 Notes) and any junior lien obligations have been released or (ii) the collateral under the senior secured credit facility, any other first lien obligations and any junior lien obligations has been released or no longer required to be pledged. See “Description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this offering to repay at maturity in September 2026 our Existing 2026 Notes and amounts outstanding under our current revolving credit facility, and for general corporate purposes. Until we use the proceeds of this offering to repay the Existing 2026 Notes at maturity, we will invest any proceeds not used to repay amounts outstanding under the revolving credit facility in short-term interest-bearing investments. See “Use of proceeds.”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notes involves risks. See “</w:t>
      </w:r>
      <w:hyperlink w:anchor="supptx101514_7">
        <w:r>
          <w:rPr>
            <w:rStyle w:val="InternetLink"/>
            <w:rFonts w:ascii="Times New Roman" w:hAnsi="Times New Roman"/>
            <w:b/>
            <w:sz w:val="24"/>
          </w:rPr>
          <w:t>Risk factors</w:t>
        </w:r>
      </w:hyperlink>
      <w:r>
        <w:rPr>
          <w:rFonts w:ascii="Times New Roman" w:hAnsi="Times New Roman"/>
          <w:b/>
          <w:sz w:val="24"/>
        </w:rPr>
        <w:t xml:space="preserve">” beginning on page S-15 of this prospectus supplement and the matters discussed in the documents incorporated by reference in this prospectus supplement and the accompanying prospectus for a discussion of certain risks that you should consider in connection with an investment in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or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5"/>
        <w:gridCol w:w="265"/>
        <w:gridCol w:w="198"/>
        <w:gridCol w:w="734"/>
        <w:gridCol w:w="198"/>
        <w:gridCol w:w="527"/>
        <w:gridCol w:w="468"/>
        <w:gridCol w:w="201"/>
        <w:gridCol w:w="60"/>
        <w:gridCol w:w="265"/>
        <w:gridCol w:w="129"/>
        <w:gridCol w:w="470"/>
        <w:gridCol w:w="128"/>
        <w:gridCol w:w="397"/>
        <w:gridCol w:w="399"/>
        <w:gridCol w:w="171"/>
        <w:gridCol w:w="60"/>
        <w:gridCol w:w="265"/>
        <w:gridCol w:w="245"/>
        <w:gridCol w:w="893"/>
        <w:gridCol w:w="245"/>
        <w:gridCol w:w="616"/>
        <w:gridCol w:w="571"/>
        <w:gridCol w:w="246"/>
        <w:gridCol w:w="69"/>
      </w:tblGrid>
      <w:tr>
        <w:trPr/>
        <w:tc>
          <w:tcPr>
            <w:tcW w:w="238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8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3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Public offering price(1)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6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Proceeds to</w:t>
              <w:br/>
              <w:t>Universal Health Services,</w:t>
              <w:br/>
              <w:t>Inc.(1) (before expenses)</w:t>
            </w:r>
          </w:p>
        </w:tc>
        <w:tc>
          <w:tcPr>
            <w:tcW w:w="69" w:type="dxa"/>
            <w:tcBorders/>
            <w:vAlign w:val="bottom"/>
          </w:tcPr>
          <w:p>
            <w:pPr>
              <w:pStyle w:val="TableContents"/>
              <w:bidi w:val="0"/>
              <w:spacing w:before="0" w:after="283"/>
              <w:jc w:val="left"/>
              <w:rPr/>
            </w:pPr>
            <w:r>
              <w:rPr/>
              <w:t> </w:t>
            </w:r>
          </w:p>
        </w:tc>
      </w:tr>
      <w:tr>
        <w:trPr/>
        <w:tc>
          <w:tcPr>
            <w:tcW w:w="238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198"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128"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245"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2385" w:type="dxa"/>
            <w:tcBorders/>
            <w:shd w:fill="CCEEFF" w:val="clear"/>
          </w:tcPr>
          <w:p>
            <w:pPr>
              <w:pStyle w:val="TableContents"/>
              <w:bidi w:val="0"/>
              <w:spacing w:before="0" w:after="0"/>
              <w:jc w:val="left"/>
              <w:rPr/>
            </w:pPr>
            <w:r>
              <w:rPr/>
              <w:t>  </w:t>
            </w:r>
            <w:r>
              <w:rPr>
                <w:rFonts w:ascii="Times New Roman" w:hAnsi="Times New Roman"/>
                <w:sz w:val="20"/>
              </w:rPr>
              <w:t>% Senior Notes due 20</w:t>
            </w:r>
          </w:p>
        </w:tc>
        <w:tc>
          <w:tcPr>
            <w:tcW w:w="2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w:t>
            </w:r>
          </w:p>
        </w:tc>
        <w:tc>
          <w:tcPr>
            <w:tcW w:w="198"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w:t>
            </w:r>
          </w:p>
        </w:tc>
        <w:tc>
          <w:tcPr>
            <w:tcW w:w="2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128"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w:t>
            </w:r>
          </w:p>
        </w:tc>
        <w:tc>
          <w:tcPr>
            <w:tcW w:w="246"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385" w:type="dxa"/>
            <w:tcBorders/>
          </w:tcPr>
          <w:p>
            <w:pPr>
              <w:pStyle w:val="TableContents"/>
              <w:bidi w:val="0"/>
              <w:spacing w:before="0" w:after="0"/>
              <w:jc w:val="left"/>
              <w:rPr/>
            </w:pPr>
            <w:r>
              <w:rPr/>
              <w:t>  </w:t>
            </w:r>
            <w:r>
              <w:rPr>
                <w:rFonts w:ascii="Times New Roman" w:hAnsi="Times New Roman"/>
                <w:sz w:val="20"/>
              </w:rPr>
              <w:t>% Senior Notes due 20</w:t>
            </w:r>
          </w:p>
        </w:tc>
        <w:tc>
          <w:tcPr>
            <w:tcW w:w="2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w:t>
            </w:r>
          </w:p>
        </w:tc>
        <w:tc>
          <w:tcPr>
            <w:tcW w:w="198"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w:t>
            </w:r>
          </w:p>
        </w:tc>
        <w:tc>
          <w:tcPr>
            <w:tcW w:w="2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w:t>
            </w:r>
          </w:p>
        </w:tc>
        <w:tc>
          <w:tcPr>
            <w:tcW w:w="1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w:t>
            </w:r>
          </w:p>
        </w:tc>
        <w:tc>
          <w:tcPr>
            <w:tcW w:w="245"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w:t>
            </w:r>
          </w:p>
        </w:tc>
        <w:tc>
          <w:tcPr>
            <w:tcW w:w="24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if any, from, and including , 2026, if the settlement date occurs after that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in book-entry form through The Depository Trust Company on or about ,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1"/>
        <w:gridCol w:w="120"/>
        <w:gridCol w:w="1831"/>
        <w:gridCol w:w="247"/>
        <w:gridCol w:w="2001"/>
        <w:gridCol w:w="310"/>
        <w:gridCol w:w="1492"/>
        <w:gridCol w:w="247"/>
        <w:gridCol w:w="2416"/>
      </w:tblGrid>
      <w:tr>
        <w:trPr/>
        <w:tc>
          <w:tcPr>
            <w:tcW w:w="15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541" w:type="dxa"/>
            <w:tcBorders/>
          </w:tcPr>
          <w:p>
            <w:pPr>
              <w:pStyle w:val="TableContents"/>
              <w:bidi w:val="0"/>
              <w:spacing w:before="0" w:after="283"/>
              <w:jc w:val="left"/>
              <w:rPr>
                <w:b/>
              </w:rPr>
            </w:pPr>
            <w:r>
              <w:rPr>
                <w:b/>
              </w:rPr>
              <w:t>J.P. Morgan</w:t>
            </w:r>
          </w:p>
        </w:tc>
        <w:tc>
          <w:tcPr>
            <w:tcW w:w="120" w:type="dxa"/>
            <w:tcBorders/>
            <w:vAlign w:val="bottom"/>
          </w:tcPr>
          <w:p>
            <w:pPr>
              <w:pStyle w:val="TableContents"/>
              <w:bidi w:val="0"/>
              <w:spacing w:before="0" w:after="283"/>
              <w:jc w:val="left"/>
              <w:rPr/>
            </w:pPr>
            <w:r>
              <w:rPr/>
              <w:t>  </w:t>
            </w:r>
          </w:p>
        </w:tc>
        <w:tc>
          <w:tcPr>
            <w:tcW w:w="1831" w:type="dxa"/>
            <w:tcBorders/>
          </w:tcPr>
          <w:p>
            <w:pPr>
              <w:pStyle w:val="TableContents"/>
              <w:bidi w:val="0"/>
              <w:spacing w:before="0" w:after="283"/>
              <w:jc w:val="center"/>
              <w:rPr>
                <w:b/>
              </w:rPr>
            </w:pPr>
            <w:r>
              <w:rPr>
                <w:b/>
              </w:rPr>
              <w:t>BofA Securities</w:t>
            </w:r>
          </w:p>
        </w:tc>
        <w:tc>
          <w:tcPr>
            <w:tcW w:w="247"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right"/>
              <w:rPr>
                <w:b/>
              </w:rPr>
            </w:pPr>
            <w:r>
              <w:rPr>
                <w:b/>
              </w:rPr>
              <w:t>Truist Securities</w:t>
            </w:r>
          </w:p>
        </w:tc>
        <w:tc>
          <w:tcPr>
            <w:tcW w:w="310" w:type="dxa"/>
            <w:tcBorders/>
            <w:vAlign w:val="bottom"/>
          </w:tcPr>
          <w:p>
            <w:pPr>
              <w:pStyle w:val="TableContents"/>
              <w:bidi w:val="0"/>
              <w:spacing w:before="0" w:after="283"/>
              <w:jc w:val="left"/>
              <w:rPr/>
            </w:pPr>
            <w:r>
              <w:rPr/>
              <w:t>  </w:t>
            </w:r>
          </w:p>
        </w:tc>
        <w:tc>
          <w:tcPr>
            <w:tcW w:w="1492" w:type="dxa"/>
            <w:tcBorders/>
          </w:tcPr>
          <w:p>
            <w:pPr>
              <w:pStyle w:val="TableContents"/>
              <w:bidi w:val="0"/>
              <w:spacing w:before="0" w:after="283"/>
              <w:jc w:val="right"/>
              <w:rPr>
                <w:b/>
              </w:rPr>
            </w:pPr>
            <w:r>
              <w:rPr>
                <w:b/>
              </w:rPr>
              <w:t>US Bancorp</w:t>
            </w:r>
          </w:p>
        </w:tc>
        <w:tc>
          <w:tcPr>
            <w:tcW w:w="247" w:type="dxa"/>
            <w:tcBorders/>
            <w:vAlign w:val="bottom"/>
          </w:tcPr>
          <w:p>
            <w:pPr>
              <w:pStyle w:val="TableContents"/>
              <w:bidi w:val="0"/>
              <w:spacing w:before="0" w:after="283"/>
              <w:jc w:val="left"/>
              <w:rPr/>
            </w:pPr>
            <w:r>
              <w:rPr/>
              <w:t>  </w:t>
            </w:r>
          </w:p>
        </w:tc>
        <w:tc>
          <w:tcPr>
            <w:tcW w:w="2416" w:type="dxa"/>
            <w:tcBorders/>
          </w:tcPr>
          <w:p>
            <w:pPr>
              <w:pStyle w:val="TableContents"/>
              <w:bidi w:val="0"/>
              <w:spacing w:before="0" w:after="283"/>
              <w:jc w:val="right"/>
              <w:rPr>
                <w:b/>
              </w:rPr>
            </w:pPr>
            <w:r>
              <w:rPr>
                <w:b/>
              </w:rPr>
              <w:t>Wells Fargo Securities</w:t>
            </w:r>
          </w:p>
        </w:tc>
      </w:tr>
    </w:tbl>
    <w:p>
      <w:pPr>
        <w:pStyle w:val="TextBody"/>
        <w:bidi w:val="0"/>
        <w:spacing w:before="240" w:after="0"/>
        <w:jc w:val="center"/>
        <w:rPr/>
      </w:pPr>
      <w:r>
        <w:rPr/>
        <w:t>    </w:t>
      </w:r>
      <w:r>
        <w:rPr>
          <w:rFonts w:ascii="Times New Roman" w:hAnsi="Times New Roman"/>
          <w:b/>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0"/>
        <w:gridCol w:w="142"/>
        <w:gridCol w:w="60"/>
        <w:gridCol w:w="471"/>
        <w:gridCol w:w="62"/>
      </w:tblGrid>
      <w:tr>
        <w:trPr/>
        <w:tc>
          <w:tcPr>
            <w:tcW w:w="947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283"/>
              <w:jc w:val="left"/>
              <w:rPr>
                <w:b/>
                <w:u w:val="single"/>
              </w:rPr>
            </w:pPr>
            <w:r>
              <w:rPr>
                <w:b/>
                <w:u w:val="single"/>
              </w:rPr>
              <w:t>Prospectus Supplement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0"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bottom"/>
          </w:tcPr>
          <w:p>
            <w:pPr>
              <w:pStyle w:val="TableContents"/>
              <w:bidi w:val="0"/>
              <w:spacing w:before="0" w:after="0"/>
              <w:jc w:val="left"/>
              <w:rPr/>
            </w:pPr>
            <w:hyperlink w:anchor="supptx101514_1">
              <w:r>
                <w:rPr>
                  <w:rStyle w:val="InternetLink"/>
                  <w:rFonts w:ascii="Times New Roman" w:hAnsi="Times New Roman"/>
                  <w:sz w:val="20"/>
                </w:rPr>
                <w:t>About this prospectus supplement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2">
              <w:r>
                <w:rPr>
                  <w:rStyle w:val="InternetLink"/>
                  <w:rFonts w:ascii="Times New Roman" w:hAnsi="Times New Roman"/>
                  <w:sz w:val="20"/>
                </w:rPr>
                <w:t>Market, ranking, industry data and forecasts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3">
              <w:r>
                <w:rPr>
                  <w:rStyle w:val="InternetLink"/>
                  <w:rFonts w:ascii="Times New Roman" w:hAnsi="Times New Roman"/>
                  <w:sz w:val="20"/>
                </w:rPr>
                <w:t>Cautionary statement regarding forward-looking statements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4">
              <w:r>
                <w:rPr>
                  <w:rStyle w:val="InternetLink"/>
                  <w:rFonts w:ascii="Times New Roman" w:hAnsi="Times New Roman"/>
                  <w:sz w:val="20"/>
                </w:rPr>
                <w:t>Summary</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5">
              <w:r>
                <w:rPr>
                  <w:rStyle w:val="InternetLink"/>
                  <w:rFonts w:ascii="Times New Roman" w:hAnsi="Times New Roman"/>
                  <w:sz w:val="20"/>
                </w:rPr>
                <w:t>The offering</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6">
              <w:r>
                <w:rPr>
                  <w:rStyle w:val="InternetLink"/>
                  <w:rFonts w:ascii="Times New Roman" w:hAnsi="Times New Roman"/>
                  <w:sz w:val="20"/>
                </w:rPr>
                <w:t>Summary historical and financial data</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7">
              <w:r>
                <w:rPr>
                  <w:rStyle w:val="InternetLink"/>
                  <w:rFonts w:ascii="Times New Roman" w:hAnsi="Times New Roman"/>
                  <w:sz w:val="20"/>
                </w:rPr>
                <w:t>Risk factors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8">
              <w:r>
                <w:rPr>
                  <w:rStyle w:val="InternetLink"/>
                  <w:rFonts w:ascii="Times New Roman" w:hAnsi="Times New Roman"/>
                  <w:sz w:val="20"/>
                </w:rPr>
                <w:t>Use of proceeds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9">
              <w:r>
                <w:rPr>
                  <w:rStyle w:val="InternetLink"/>
                  <w:rFonts w:ascii="Times New Roman" w:hAnsi="Times New Roman"/>
                  <w:sz w:val="20"/>
                </w:rPr>
                <w:t>Capitalization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0">
              <w:r>
                <w:rPr>
                  <w:rStyle w:val="InternetLink"/>
                  <w:rFonts w:ascii="Times New Roman" w:hAnsi="Times New Roman"/>
                  <w:sz w:val="20"/>
                </w:rPr>
                <w:t>Description of other indebtedness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1">
              <w:r>
                <w:rPr>
                  <w:rStyle w:val="InternetLink"/>
                  <w:rFonts w:ascii="Times New Roman" w:hAnsi="Times New Roman"/>
                  <w:sz w:val="20"/>
                </w:rPr>
                <w:t>Description of the notes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2">
              <w:r>
                <w:rPr>
                  <w:rStyle w:val="InternetLink"/>
                  <w:rFonts w:ascii="Times New Roman" w:hAnsi="Times New Roman"/>
                  <w:sz w:val="20"/>
                </w:rPr>
                <w:t>Book-entry settlement and clearance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S-75</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3">
              <w:r>
                <w:rPr>
                  <w:rStyle w:val="InternetLink"/>
                  <w:rFonts w:ascii="Times New Roman" w:hAnsi="Times New Roman"/>
                  <w:sz w:val="20"/>
                </w:rPr>
                <w:t>Material United States federal income tax consequences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S-78</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4">
              <w:r>
                <w:rPr>
                  <w:rStyle w:val="InternetLink"/>
                  <w:rFonts w:ascii="Times New Roman" w:hAnsi="Times New Roman"/>
                  <w:sz w:val="20"/>
                </w:rPr>
                <w:t>Certain ERISA considerations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S-83</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5">
              <w:r>
                <w:rPr>
                  <w:rStyle w:val="InternetLink"/>
                  <w:rFonts w:ascii="Times New Roman" w:hAnsi="Times New Roman"/>
                  <w:sz w:val="20"/>
                </w:rPr>
                <w:t>Underwriting</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6">
              <w:r>
                <w:rPr>
                  <w:rStyle w:val="InternetLink"/>
                  <w:rFonts w:ascii="Times New Roman" w:hAnsi="Times New Roman"/>
                  <w:sz w:val="20"/>
                </w:rPr>
                <w:t>Legal matters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S-90</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7">
              <w:r>
                <w:rPr>
                  <w:rStyle w:val="InternetLink"/>
                  <w:rFonts w:ascii="Times New Roman" w:hAnsi="Times New Roman"/>
                  <w:sz w:val="20"/>
                </w:rPr>
                <w:t>Experts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S-91</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8">
              <w:r>
                <w:rPr>
                  <w:rStyle w:val="InternetLink"/>
                  <w:rFonts w:ascii="Times New Roman" w:hAnsi="Times New Roman"/>
                  <w:sz w:val="20"/>
                </w:rPr>
                <w:t>Available information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S-92</w:t>
            </w:r>
          </w:p>
        </w:tc>
        <w:tc>
          <w:tcPr>
            <w:tcW w:w="62" w:type="dxa"/>
            <w:tcBorders/>
            <w:vAlign w:val="bottom"/>
          </w:tcPr>
          <w:p>
            <w:pPr>
              <w:pStyle w:val="TableContents"/>
              <w:bidi w:val="0"/>
              <w:spacing w:before="0" w:after="283"/>
              <w:jc w:val="left"/>
              <w:rPr/>
            </w:pPr>
            <w:r>
              <w:rPr/>
              <w:t> </w:t>
            </w:r>
          </w:p>
        </w:tc>
      </w:tr>
      <w:tr>
        <w:trPr/>
        <w:tc>
          <w:tcPr>
            <w:tcW w:w="9470" w:type="dxa"/>
            <w:tcBorders/>
            <w:vAlign w:val="bottom"/>
          </w:tcPr>
          <w:p>
            <w:pPr>
              <w:pStyle w:val="TableContents"/>
              <w:bidi w:val="0"/>
              <w:spacing w:before="0" w:after="0"/>
              <w:jc w:val="left"/>
              <w:rPr/>
            </w:pPr>
            <w:hyperlink w:anchor="supptx101514_19">
              <w:r>
                <w:rPr>
                  <w:rStyle w:val="InternetLink"/>
                  <w:rFonts w:ascii="Times New Roman" w:hAnsi="Times New Roman"/>
                  <w:sz w:val="20"/>
                </w:rPr>
                <w:t>Incorporation of certain documents by reference</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S-93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0151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4">
              <w:r>
                <w:rPr>
                  <w:rStyle w:val="InternetLink"/>
                  <w:rFonts w:ascii="Times New Roman" w:hAnsi="Times New Roman"/>
                  <w:sz w:val="20"/>
                </w:rPr>
                <w:t>FORWARD-LOOKING AND CAUTIONARY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5">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9">
              <w:r>
                <w:rPr>
                  <w:rStyle w:val="InternetLink"/>
                  <w:rFonts w:ascii="Times New Roman" w:hAnsi="Times New Roman"/>
                  <w:sz w:val="20"/>
                </w:rPr>
                <w:t>DESCRIPTION OF DEBT SECURITIES AND GUARANTEES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01514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is a Delaware corporation. Our principal executive offices are located at Universal Corporate Center, 367 South Gulph Road, P.O. Box 61558, King of Prussia, PA 19406, and our telephone number at that address is (610) 768-3300. Our website is located at www.uhs.com. Our website and the information contained on our website are not part of this prospectus supplement, and you should rely only on the information contained or incorporated by reference in this prospectus supplement when making a decision as to whether to invest in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otherwise indicated or the content otherwise requires, the terms “UHS,” “our company,” “us,” “we” and “our” refer to Universal Health Services, Inc. and its consolidated subsidiaries. Universal Health Services, Inc.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any reference to “UHS” or “UHS facilities” in this prospectus supplement, including letters, narratives or other forms contained herein relates to our healthcare or management operations, it is referring to Universal Health Services, Inc.’s subsidiaries including UHS of Delaware, Inc. Further, the terms “UHS,” “our company,” “us,” “we” and “our”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 </w:t>
      </w:r>
    </w:p>
    <w:p>
      <w:pPr>
        <w:pStyle w:val="TextBody"/>
        <w:bidi w:val="0"/>
        <w:spacing w:before="240" w:after="0"/>
        <w:jc w:val="left"/>
        <w:rPr>
          <w:rFonts w:ascii="Times New Roman" w:hAnsi="Times New Roman"/>
          <w:sz w:val="20"/>
        </w:rPr>
      </w:pPr>
      <w:r>
        <w:rPr>
          <w:rFonts w:ascii="Times New Roman" w:hAnsi="Times New Roman"/>
          <w:sz w:val="20"/>
        </w:rPr>
        <w:t xml:space="preserve">References to “underwriters” refer to the firms listed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0151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the offering of the notes and adds to and supplements information contained in the accompanying prospectus and the documents incorporated by reference therein. The second part is the accompanying prospectus, which we refer to as the “accompanying prospectus.” The accompanying prospectus contains a description of our debt securities and gives more general information, some of which may not apply to the notes. The accompanying prospectus also incorporates by reference documents that are described under “Incorporation by reference” in that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in the accompanying prospectus or in any free writing prospectus filed by us with the SEC. If information in this prospectus supplement is inconsistent with the accompanying prospectus, you should rely on this prospectus supplement. We have not, and the underwriters have not, authorized any other person to provide you with additional or different information. If anyone provides you with additional, different or inconsistent information, you should not rely on it. You should not assume that the information contained or incorporated by reference in this prospectus supplement and the accompanying prospectus or in any such free writing prospectus is accurate as of any date other than the respective dates thereof.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not, and the underwriters are not, making an offer of the notes, or seeking any offers to buy the notes,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01514_2"/>
      <w:bookmarkEnd w:id="4"/>
      <w:r>
        <w:rPr>
          <w:rFonts w:ascii="Times New Roman" w:hAnsi="Times New Roman"/>
          <w:b/>
          <w:sz w:val="20"/>
        </w:rPr>
        <w:t xml:space="preserve">Market, ranking, industry data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includes and incorporates by reference market share, ranking, industry data and forecasts that we obtained from industry publications and surveys, public filings and internal company sources. Industry publications,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third-party sources, nor have we ascertained the underlying economic assumptions relied upon therein. Statements as to our market position and ranking are based on market data currently available to us, management’s estimates and assumptions we have made regarding the size of our markets within the healthcare industry. While we are not aware of any misstatements regarding our industry data presented herein, our estimates involve risks and uncertainties and are subject to change based on various factors, including those discussed under the heading “Risk factors” in this prospectus supplement and in the documents incorporated by reference herein. Neither we nor the underwriters can guarantee the accuracy or completeness of such information contained or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01514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herein and those detailed in our filings with the SEC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Such factors include,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receive revenues from various state and county-based programs, including Medicaid in all the states in which we operate. We receive annual Medicaid revenues of approximately $100 million, or greater, from each of California, Texas, Nevada, Florida, Washington, D.C., Illinois, Pennsylvania, Kentucky, Mississippi, Virginia, Michigan, Massachusetts, Tennessee, Arizona, Ohio, and Washington.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 Big Beautiful Bill Act, which became law on July 4, 2025, attaches work and community service requirements to eligibility for Medicaid benefits that will have the effect of limiting Medicaid enrollment and expenditure. The law also places limits on provider fees used to increase federal Medicaid funding to states. The law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law,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$500 million by 2032. The law also eliminated certain insurance exchange premium tax credits beyond 2025 and exchange enrollment has already been adversely impacted. On January 8, 2026, the U.S. House of Representatives passed H.R.1834 to extend for three years the enhanced premium tax credits (“EPTCs”) that expired on December 31, 2025. However, no law extending the EPTCs has been enacted, and there can be no assurance regarding the timing or outcome of future legislative action. All of these factors could have a material unfavorable impact on our results of operations and may be expected to reduce our revenue and likely increase the level of uncompensated care provided by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additional changes in law that are likely to result in major changes in the health care delivery system on a national or state level, including changes in the structure and administration of,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Act of 2022 (“IRA”) enables the Centers for Medicare and Medicaid Services (“CMS”) to negotiate prices for certain single-source drugs reimbursed under Medicare Part B and Part D. The American Rescue Plan Act’s expansion of subsidies to purchase coverage through an ACA exchange, which the IRA continued through 2025, has increased exchange enrollment. These enhanced subsidies expired on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numerous political and legal efforts to expand, repeal, replace or modify the ACA since its enactment, some of which have been successful, in part, in modifying the ACA, as well as court challenges to the constitutionality of the law. The U.S. Supreme Court held in </w:t>
            </w:r>
            <w:r>
              <w:rPr>
                <w:rFonts w:ascii="Times New Roman" w:hAnsi="Times New Roman"/>
                <w:i/>
                <w:sz w:val="20"/>
              </w:rPr>
              <w:t>California v. Texas</w:t>
            </w:r>
            <w:r>
              <w:rPr>
                <w:rFonts w:ascii="Times New Roman" w:hAnsi="Times New Roman"/>
                <w:sz w:val="20"/>
              </w:rPr>
              <w:t xml:space="preserve"> that the plaintiffs lacked standing to challenge the law’s requirement to obtain minimum essential health insurance coverage, or the individual mandate. The Court dismissed the case without specifically ruling on the constitutionality of the ACA. ACA provisions continue to be subject to court challenges, such as the June 2025 </w:t>
            </w:r>
            <w:r>
              <w:rPr>
                <w:rFonts w:ascii="Times New Roman" w:hAnsi="Times New Roman"/>
                <w:i/>
                <w:sz w:val="20"/>
              </w:rPr>
              <w:t xml:space="preserve">Kennedy v. Braidwood Management </w:t>
            </w:r>
            <w:r>
              <w:rPr>
                <w:rFonts w:ascii="Times New Roman" w:hAnsi="Times New Roman"/>
                <w:sz w:val="20"/>
              </w:rPr>
              <w:t xml:space="preserve">Supreme Court decision, which opined in favor of ACA HIV preventive care coverage. The impacts of this decision cannot be predicted. Any future efforts to challenge, repeal or replace the ACA or expand or substantially amend its provisions is unknown;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possible unfavorable changes in the levels and terms of reimbursement for our charges by third party payers or government based payers, including Medicare or Medicaid in the United States, and government based payers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Additionally, effective June 1, 2026, California implemented staffing standards specific to acute psychiatric hospitals and requirements to determine appropriate staffing based on patient acuity and care needs. This has further increased our costs and may limit our revenue if we are required to limit the number of patients at our California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acute care segment, we have experienced a significant increase in hospital based physician related expenses, especially in the areas of emergency room care, anesthesiology and radiology.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Our Existing 2026 Notes mature on September 1, 2026. Market interest rates have increased significantly since the Existing 2026 Notes were issued in 2021. We expect that we will refinance the Existing 2026 Notes at significantly higher interest rates which will significantly increase our interest expense thereby decreasing our net income attributable to UHS;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tariffs or other restrictions, if imposed on our imported pharmaceutical ingredients, medical devices, medical equipment and their ingredients and components, or otherwise on our suppliers,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early August 2026, Congress has enacted appropriations funding federal agencies for fiscal year 2026. In the past several years political disputes concerning authorization of a federal budget have led to shutdown of substantial portions of the federal government and other federal budget authorization delays have occurred. Federal budget delays and federal government shutdowns are unpredictable and may occur in the future. We cannot predict whether or not there will be future appropriations legislation avoiding a federal government shutdown, however, our operating cash flows and results of operations could be materially unfavorably impacted by a federal government shutdown;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Appropriations Act of 2021 (the “CAA”) included provisions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CAA.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2024, the U.S. Supreme Court issued its decision in </w:t>
            </w:r>
            <w:r>
              <w:rPr>
                <w:rFonts w:ascii="Times New Roman" w:hAnsi="Times New Roman"/>
                <w:i/>
                <w:sz w:val="20"/>
              </w:rPr>
              <w:t xml:space="preserve">Loper Bright Enters. v. Raimondo </w:t>
            </w:r>
            <w:r>
              <w:rPr>
                <w:rFonts w:ascii="Times New Roman" w:hAnsi="Times New Roman"/>
                <w:sz w:val="20"/>
              </w:rPr>
              <w:t xml:space="preserve">and </w:t>
            </w:r>
            <w:r>
              <w:rPr>
                <w:rFonts w:ascii="Times New Roman" w:hAnsi="Times New Roman"/>
                <w:i/>
                <w:sz w:val="20"/>
              </w:rPr>
              <w:t>Relentless, Inc. v. Department of Commerce</w:t>
            </w:r>
            <w:r>
              <w:rPr>
                <w:rFonts w:ascii="Times New Roman" w:hAnsi="Times New Roman"/>
                <w:sz w:val="20"/>
              </w:rPr>
              <w:t xml:space="preserve">, which modified the regulatory interpretation standard established 40 years ago by </w:t>
            </w:r>
            <w:r>
              <w:rPr>
                <w:rFonts w:ascii="Times New Roman" w:hAnsi="Times New Roman"/>
                <w:i/>
                <w:sz w:val="20"/>
              </w:rPr>
              <w:t>Chevron v. National Resources Defense Council</w:t>
            </w:r>
            <w:r>
              <w:rPr>
                <w:rFonts w:ascii="Times New Roman" w:hAnsi="Times New Roman"/>
                <w:sz w:val="20"/>
              </w:rPr>
              <w:t xml:space="preserve">. </w:t>
            </w:r>
            <w:r>
              <w:rPr>
                <w:rFonts w:ascii="Times New Roman" w:hAnsi="Times New Roman"/>
                <w:i/>
                <w:sz w:val="20"/>
              </w:rPr>
              <w:t>Chevron</w:t>
            </w:r>
            <w:r>
              <w:rPr>
                <w:rFonts w:ascii="Times New Roman" w:hAnsi="Times New Roman"/>
                <w:sz w:val="20"/>
              </w:rPr>
              <w:t xml:space="preserve"> doctrine generally required courts to defer to federal agencies in their interpretation of federal statutes when a statute was silent or ambiguous with respect to a specific issue. In </w:t>
            </w:r>
            <w:r>
              <w:rPr>
                <w:rFonts w:ascii="Times New Roman" w:hAnsi="Times New Roman"/>
                <w:i/>
                <w:sz w:val="20"/>
              </w:rPr>
              <w:t>Loper Bright</w:t>
            </w:r>
            <w:r>
              <w:rPr>
                <w:rFonts w:ascii="Times New Roman" w:hAnsi="Times New Roman"/>
                <w:sz w:val="20"/>
              </w:rPr>
              <w:t xml:space="preserve">, the Supreme Court held that courts are no longer required to grant such deference, though they may consider an agency’s statutory interpretation. As it is highly regulated, the health care industry could be significantly impacted by the Loper Bright decision, particularly in the areas of Medicare reimbursement, decision making by the Food &amp; Drug Administration and health care fraud and abuse compliance, where parties may no longer be able to rely on federal agencies’ policies, rules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managed care provider agreements on acceptable terms and the ability of our competitors to do the same;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shift of care from inpatient to lower cost outpatient settings and controls designed to reduce inpatient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operating and financial targets, develop and execute plans to offset to the extent possible impacts from the One Big Beautiful Bill Act, the expiration of EPTCs, other legal and regulatory changes and tariffs, attain expected levels of patient volumes and revenues, and control the costs of providing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known and unknown litigation, government investigations, civil investigative demands, inquiries, false claims act allegations, and liabilities and other claims asserted against us and other matters, and the effects of adverse publicity relating to such matters, as disclosed in </w:t>
            </w:r>
            <w:r>
              <w:rPr>
                <w:rFonts w:ascii="Times New Roman" w:hAnsi="Times New Roman"/>
                <w:i/>
                <w:sz w:val="20"/>
              </w:rPr>
              <w:t>Note 6 to the Condensed Consolidated Financial Statements – Commitments and Contingencies</w:t>
            </w:r>
            <w:r>
              <w:rPr>
                <w:rFonts w:ascii="Times New Roman" w:hAnsi="Times New Roman"/>
                <w:sz w:val="20"/>
              </w:rPr>
              <w:t xml:space="preserve"> in our Quarterly Report on Form 10-Q for the period ended June 30, 2026, including, but not limited to, the jury verdict returned against Cumberland Hospital for Children and Adolescents located in New Kent, Virginia, an indirect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March, 2025, our excess commercial insurance coverage for professional and general liability claims contains less favorable terms than previous years including coverage exclusions for incidents involving sexual molestation or abuse, higher premiums and lower aggregate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healthcare providers (including physician owned facilities) in certain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and pharmaceutical improvements that increase the cost of providing, or reduce the demand for healthcare;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nurses, physicians and other healthcare professionals and the impact on our labor and related expenses resulting from a shortage of nurses, physicians and other healthcare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demographic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be subject to litigation related to our uses and disclosures of health information.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technology and other programs to drive efficiencies and improve patient outcomes and experiences, and the risks associated with the use of technologies by us or our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9, 2026, we announced that we entered into a definitive agreement to acquire Talkspace, Inc. (“Talkspace”) for $5.25 per share, or approximately $835 million in the aggregate. The transaction was approved by Talkspace’s stockholders during the second quarter of 2026. The transaction is expected to close during the third quarter of 2026 and is subject to satisfaction of regulatory approvals and other customary closing conditions. The acquisition is subject to numerous risks and uncertainties including uncertainty as to whether the parties will be able to complete the merger on the terms set forth in the merger agreement; uncertainty regarding the timing of the receipt of required regulatory approvals for the merger and the possibility that the parties may be required to accept conditions that could reduce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eliminate the anticipated benefits of the merger as a condition to obtaining the outcome of any legal proceedings that may be instituted against the parties or others following announcement of the transactions contemplated by the merger agreement; 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severe weather conditions, including the effects of hurricanes, flash floods, wildfires and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obtain capital on acceptable terms, including borrowed funds, to fund the future growth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inpatient acute care and behavioral health care facilities may experience decreasing admission and length of stay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statements reflect large amounts due from various commercial and private payers and there can be no assurance that failure of the payers to remit amounts due to us will not have a material adverse effect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uninsured and self-pay patients treated at our facilities unfavorably impact our ability to satisfactorily and timely collect our self-pay patient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strategies or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herein or in our other filings with the Securities and Exchange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terms EBITDA net of NCI, Adjusted EBITDA net of NCI and Adjusted net income attributable to UHS (as further described in “Summary—Summary historical and financial data”) in various places in this prospectus supplement. These are supplemental financial measures that are not prepared in accordance with generally accepted accounting principles in the United States (“GAAP”). Any analysis of non-GAAP financial measures should be used only in conjunction with results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Our measurements of EBITDA net of NCI, Adjusted EBITDA net of NCI and Adjusted net income attributable to UHS may not be comparable to those of other companies. Please see “Summary—Summary historical and financial data” for a reconciliation of these non-GAAP financial measures to the most closely comparable financial measures calculated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EBITDA net of NCI, Adjusted EBITDA net of NCI and Adjusted net income attributable to UHS are helpful to our investors as measures of our operating performance. In addition, we believe that, when applicable, comparing and discussing our financial results based on these measures, as calculated, is helpful to our investors since it neutralizes the effect of certain items impacting our net income attributable to UHS, such as changes in the market value of shares of certain equity securities, the impact of ASU 2016-09 (as defined herein) and other items that we believe are non-operational in nature, including, but not limited to, impairments of goodwill, long-lived and intangible assets, costs related to extinguishment of debt, gains/losses on sales of assets and businesses, potential impacts of non-ordinary acquisitions, divestitures, joint ventures or other strategic transactions, and certain other amounts that may be reflected in the current or prior year financial statements that relate to prior periods. To obtain a more complete understanding of our financial performance, these measures should be examined in connection with net income attributable to UHS, as determined in accordance with GAAP, and as presented in the consolidated financial statements and notes thereto in our filings with the SEC including our Annual Report on Form 10-K for the year ended December 31, 2025 and our Quarterly Reports on Form 10-Q for the quarters ended March 31, 2026 and June 30, 2026, which are incorporated by reference herein.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101514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the information contained elsewhere in this prospectus supplement and the accompanying prospectus. Because this is only a summary, it does not contain all the information that may be important to you. For a more complete understanding of this offering, we encourage you to read this entire prospectus supplement and the accompanying prospectus, and the documents incorporated by reference herein and therein, including the sections entitled “Risk factors” beginning on page S-15 of this prospectus supplement and beginning on page 14 of our Annual Report on Form 10-K for the fiscal year ended December 31, 2025, and risks we disclose in future filings with the SEC. You should read the following summary together with the more detailed information and consolidated financial statements and the notes to those statements included or incorporated by reference elsewhere in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business is owning and operating, through our subsidiaries, acute care hospitals and outpatient facilities and behavioral health care facilities. As of June 30, 2026, we owned and/or operated 376 inpatient facilities and 168 outpatient and other facilities, including the following, located in 40 states, Washington, D.C., the United Kingdom and Puerto Rico: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inpatient acute care hospitals, 35 free-standing emergency departments, 13 outpatient centers, one surgical hospital, 182 inpatient behavioral health care facilities and 110 outpatient behavioral health care facilities located in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161 inpatient behavioral health care facilities and 2 outpatient behavioral health care facilities located in the United Kingdom;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inpatient behavioral health care facilities and 7 outpatient behavioral health care facilities located in Puerto Rico.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revenues from our acute care hospitals, outpatient facilities and commercial health insurer accounted for 57% of our consolidated net revenues during each of 2025 and 2024. Net revenues from our behavioral health care facilities and commercial health insurer accounted for 43% of our consolidated net revenues during each of 2025 and 2024. Our behavioral health care facilities located in the U.K. generated net revenues of approximately $1.001 billion in 2025 and $880 million in 2024. Total assets at our U.K. behavioral health care facilities were approximately $1.531 billion as of December 31, 2025 and $1.358 billion as of December 31,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revenues from our acute care hospitals, outpatient facilities and commercial health insurer accounted for 57% of our consolidated net revenues during each of the six-month periods ended June 30, 2026 and 2025. Net revenues from our behavioral health care facilities and commercial health insurer accounted for 43% of our consolidated net revenues during each of the six-month periods ended June 30, 2026 and 2025. Our behavioral health care facilities located in the U.K. generated net revenues of approximately $530 million and $474 million during the six months ended June 30, 2026 and 2025, respectively. Total assets at our U.K. behavioral health care facilities were approximately $1.530 billion as of June 30, 2026 and $1.531 billion as of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2025, we served approximately 5.8 million patients at our hospitals and outpatient facilities including approximately 8.1 million patient days at our inpatient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Significant scale and geographic coverage</w:t>
      </w:r>
      <w:r>
        <w:rPr>
          <w:rFonts w:ascii="Times New Roman" w:hAnsi="Times New Roman"/>
          <w:sz w:val="20"/>
          <w:bdr w:val="single" w:sz="8" w:space="1" w:color="000000"/>
        </w:rPr>
        <w:t xml:space="preserve">. We operate in 40 states, Washington, D.C., the United Kingdom, Ireland and Puerto Rico. We believe our scale and geographic reach allow us to operate more efficiently and provide higher quality care than our competitors and enhance our presence within our markets. We believe that scale also provides us a greater array of alternatives to manage our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Diversified payor mix</w:t>
      </w:r>
      <w:r>
        <w:rPr>
          <w:rFonts w:ascii="Times New Roman" w:hAnsi="Times New Roman"/>
          <w:sz w:val="20"/>
          <w:bdr w:val="single" w:sz="8" w:space="1" w:color="000000"/>
        </w:rPr>
        <w:t xml:space="preserve">. For the six months ended June 30, 2026, we earned 21% of our behavioral health revenue from managed care, 25% from managed Medicaid, 21% from Medicaid, 4% from Medicare, 6% from managed Medicare and 23% from other payors, including 14% earned in the United Kingdom. In our acute care business, we earned 31% of our revenue from managed care, 15% from Medicare, 17% from managed Medicare, 14% from Medicaid, 7% from managed Medicaid and 16% from other payors.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earn Medicaid revenues in each of the states in which we operate in the U.S., as well as Washington, D.C., helps to mitigate the effect of any changes in reimbursement policies in any one state.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Leading provider of behavioral healthcare services</w:t>
      </w:r>
      <w:r>
        <w:rPr>
          <w:rFonts w:ascii="Times New Roman" w:hAnsi="Times New Roman"/>
          <w:sz w:val="20"/>
          <w:bdr w:val="single" w:sz="8" w:space="1" w:color="000000"/>
        </w:rPr>
        <w:t xml:space="preserve">. We are a national healthcare provider in the United States in a highly fragmented industry, primarily competing against regional and local competitors. We believe being a national provider enables the development of important relationships and extensive referral networks within our markets and allows us to attract and retain qualified behavioral healthcare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and sustainable acute care market position</w:t>
      </w:r>
      <w:r>
        <w:rPr>
          <w:rFonts w:ascii="Times New Roman" w:hAnsi="Times New Roman"/>
          <w:sz w:val="20"/>
          <w:bdr w:val="single" w:sz="8" w:space="1" w:color="000000"/>
        </w:rPr>
        <w:t xml:space="preserve">. Our acute care segment is well positioned to benefit from positive trends in the acute care industry, as the vast majority of our acute care hospitals are ranked first or second in terms of their market share in their respective markets. We believe the relationships and reputation we have established will further enhance our presence in these markets.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Our senior management team has extensive experience in the healthcare industry. Our senior management team has been with us for an average of more than 20 years. Our senior management team operates as a cohesive, complementary group and has extensive operating knowledge of the industry and understanding of the regulatory environment in which it operates. Our senior managers have a successful track record in both operating our core business and integrating acquired assets.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cash flow generation</w:t>
      </w:r>
      <w:r>
        <w:rPr>
          <w:rFonts w:ascii="Times New Roman" w:hAnsi="Times New Roman"/>
          <w:sz w:val="20"/>
          <w:bdr w:val="single" w:sz="8" w:space="1" w:color="000000"/>
        </w:rPr>
        <w:t xml:space="preserve">. We have historically generated consistent free cash flow by profitably operating our business, actively managing working capital and judiciously investing in capital expenditures.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community-based hospitals will remain the focal point of the healthcare delivery network, and we are committed to a philosophy of self-determination for both our company and our hospitals. We plan to continue to grow our business and improve our financial performance by implementing our business strategy, the key elements of which are the following.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Leverage our diversified portfolio of market-leading facilities</w:t>
      </w:r>
      <w:r>
        <w:rPr>
          <w:rFonts w:ascii="Times New Roman" w:hAnsi="Times New Roman"/>
          <w:sz w:val="20"/>
          <w:bdr w:val="single" w:sz="8" w:space="1" w:color="000000"/>
        </w:rPr>
        <w:t xml:space="preserve">. We own and operate a diversified portfolio of acute care hospitals and behavioral health centers. Our acute care and behavioral health divisions each account for approximately half of our net revenues and enjoy market-leading positions. Our acute care units are concentrated in markets that are growing more rapidly than the overall average growth rate in the United States. Our behavioral health division is among the largest in the nation in total hospitals, total beds and net patient revenue. Our leadership positions in our acute care and behavioral health businesses help us with managed care contracting and help us to recruit key physicians, create opportunities for integrated support services, increase operating predictability and stability, increase cost effectiveness and enhance growth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Focus on the quality and efficiency of our services</w:t>
      </w:r>
      <w:r>
        <w:rPr>
          <w:rFonts w:ascii="Times New Roman" w:hAnsi="Times New Roman"/>
          <w:sz w:val="20"/>
          <w:bdr w:val="single" w:sz="8" w:space="1" w:color="000000"/>
        </w:rPr>
        <w:t xml:space="preserve">. Pressures to contain healthcare costs and technological developments allowing more procedures to be 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other stakeholders. In addition, our aggressive recruiting of highly qualified physicians and developing provider networks help to establish our facilities as an important source of quality healthcare in their respective communities.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Improvement of operations of existing hospitals and services</w:t>
      </w:r>
      <w:r>
        <w:rPr>
          <w:rFonts w:ascii="Times New Roman" w:hAnsi="Times New Roman"/>
          <w:sz w:val="20"/>
          <w:bdr w:val="single" w:sz="8" w:space="1" w:color="000000"/>
        </w:rPr>
        <w:t xml:space="preserve">. We also seek to increase the operating revenues and profitability of owned hospitals by the introduction of new services, improvement of existing services, physician recruitment and the application of financial and operational controls. We are involved in continual development activities for the benefit of our existing facilities. From time to time applications are filed with state health planning agencies to add new services in existing hospitals in states which require certificates of need (“CONs”). Although we expect that some of these applications will result in the addition of new facilities or services to our operations, no assurances can be made for ultimate success by us in these efforts.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Growth through selective acquisition of additional hospital facilities</w:t>
      </w:r>
      <w:r>
        <w:rPr>
          <w:rFonts w:ascii="Times New Roman" w:hAnsi="Times New Roman"/>
          <w:sz w:val="20"/>
          <w:bdr w:val="single" w:sz="8" w:space="1" w:color="000000"/>
        </w:rPr>
        <w:t xml:space="preserve">. We selectively seek opportunities to expand our base of operations by acquiring, constructing or leasing additional hospital and outpatient facilities. We are committed to a program of rational growth around our core businesses, while retaining the missions of the hospitals we manage and the communities we serve. Such expansion may provide us with access to new markets and new healthcare delivery capabilities. We also routinely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industry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well-capitalized, comprehensive and integrated health care delivery providers are well-positioned to benefit from the current industry trends, some of which include: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Aging population and continued growth in the need for health care services</w:t>
      </w:r>
      <w:r>
        <w:rPr>
          <w:rFonts w:ascii="Times New Roman" w:hAnsi="Times New Roman"/>
          <w:sz w:val="20"/>
          <w:bdr w:val="single" w:sz="8" w:space="1" w:color="000000"/>
        </w:rPr>
        <w:t xml:space="preserve">. According to the U.S. Census Bureau, the demographic age group of persons aged 65 and over is expected to significantly increase in size in the coming decades, from 58 million in 2022 to 82 million in 2050. As a result, the share of people aged 65 and over is expected to grow from approximately 17% to 23% of the population in 2050. CMS projects continued increases in hospital services based on the aging of the U.S. population, advances in medical procedures, expansion of health coverage, increasing consumer demand for expanded medical services and increased prevalence of chronic conditions such as diabetes, heart disease and obesity. We believe these factors will continue to drive increased utilization of health care services and the need for comprehensive, integrated hospital networks that can provide a wide array of essential and sophisticated health care.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Continued evolution of value-based reimbursement favors large-scale, comprehensive and integrated providers</w:t>
      </w:r>
      <w:r>
        <w:rPr>
          <w:rFonts w:ascii="Times New Roman" w:hAnsi="Times New Roman"/>
          <w:sz w:val="20"/>
          <w:bdr w:val="single" w:sz="8" w:space="1" w:color="000000"/>
        </w:rPr>
        <w:t xml:space="preserve">. We believe the U.S. health care system is continuing to evolve in ways that favor large-scale, comprehensive and integrated providers that provide high levels of quality care. Specifically, we believe there are a number of initiatives that will continue to gain importance in the foreseeable future, including value-based payment methodologies tied to performance, quality and coordination of care, implementation of integrated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health records and information, and an increasing ability for patients and consumers to make choices about all aspects of health care. We believe that we are well positioned to respond to these emerging trends and have the resources, expertise and flexibility necessary to adapt in a timely manner to the changing health care regulatory and reimbursement environment.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Acute care industry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CMS, health care spending is expected to grow at an average rate of approximately 5.4% per year between 2025 and 2034 and to reach approximately $9.0 trillion by 2034. Over this time period, average annual health spending growth is projected to exceed average annual gross domestic product (“GDP”) growth by 1.3% per year. By 2034, national health expenditures are expected to represent approximately 20.6% of the U.S. GDP. Hospital spending is expected to grow from approximately $1.6 trillion in 2024 to approximately $2.7 trillion in 2034.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U.S. hospital industry includes acute care, rehabilitation and psychiatric facilities that are either public (government owned and operated), not-for-profit private (religious or secular) or for-profit institutions (investor owned). The American Hospital Association (“AHA”) estimates that there are approximately 6,100 hospitals in the United States. The AHA estimates, based upon its 2024 survey, that there are approximately 1,200 investor-owned community hospitals (approximately 25% of all community hospitals). Not-for-profit (approximately 3,000) or governmental entities (approximately 1,000) own the majority of the remaining hospitals. These facilities offer a broad range of services, including internal medicine, general surgery, cardiology, oncology, orthopedics, OB/GYN, and emergency services. In addition, hospitals also offer other ancillary services including psychiatric, diagnostic, rehabilitation, home care and outpatient surgery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many factors that can influence a hospital’s financial and operating performance include its size and location, ownership structure (i.e., tax-exempt or investor-owned), ability to participate in group purchasing organizations, service mix, number and location of competitors, and payor mix. According to CMS, as of 2024, private insurance is the industry’s largest payor at 31% of national health expenditures, followed by the Medicare program at 21% and Medicaid at 18%.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acute care industry is characterized by a number of favorable industry dynamics that we believe will continue to sustain and increase demand. Historically, the hospital sector has shown resilience during periods of economic recession. According to the U.S. Census Bureau, the number of Americans aged 65 and older is expected to significantly increase from 61 million in 2024 to 82 million by 2050. As the U.S. population continues to age, there is a growing prevalence of chronic diseases that lead to increased hospital utilization. The U.S. acute care hospital market is estimated to represent approximately $1.7 trillion in 2025, pursuant to CMS.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Behavioral health industry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the Substance Abuse and Mental Health Services Administration, nearly one in five U.S. adults (approximately 61.5 million in 2024), live with a mental illness, representing 23.4% of all U.S. adults. In 2024, among the 61.5 million adults with any mental illness, 32 million (52.1%) received mental health services. There is expected to be approximately $95 billion spent in the United States on the treatment of mental health and substance use disorders in 2025, according to Precedence Research.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behavioral healthcare industry is characterized by favorable supply and demand dynamics resulting from capacity contraction during the 1990s, which caused increased occupancy rates. The reduction was largely driven by third-party payors who decreased reimbursement, implemented more stringent admission criteria and decreased the authorized length of stay. This reduced capacity is believed to have resulted in an increase in the underserved patient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Types of behavioral facilities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Acute inpatient psychiatric hospitals provide a high level of care in order to stabilize patients that are either a threat to themselves or to others. The acute setting provides 24-hour observation, daily intervention and monitoring by psychiatrists. Generally, due to the high patient turnover and the special security and health precautions required, acute psychiatric hospitals have lower average occupancy.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Residential treatment centers treat psychiatric patients in a non-hospital setting and focus primarily on children and adolescents. The facilities balance therapy activities with social, academic and other activities. Since the setting is less intensive, demands on staffing, security, and oversight are generally lower than acute psychiatric hospitals. In contrast to acute care psychiatric facilities, however, occupancy can be managed more easily given a longer length of stay. Still, over time residential treatment centers have continued to serve increasingly acute patients who would have been institutionalized in earlier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addiction treatment centers treat patients struggling with substance use and mental health issues such as trauma, depression and anxiety. The specific treatment is an evidence-based approach that has been nationally recognized. The treatment approach will depend on the individual needs of the patient and many treatment programs include both individual and group therapies as well as partial hospital and outpatient services.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Mental health parity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Mental Health Parity and Addiction Equity Act of 2008 (“MHPAEA”) requires that if a group health plan offers coverage for mental health or substance use disorder benefits, the financial requirements and treatment limitations for those benefits can be no more restrictive than the predominant requirements and limitations applied to substantially all medical/surgical benefits. This applies to private and public sector employers with more than 50 employees, including self-insured and fully insured plans.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MHPAEA aims to ensure that when coverage for mental health and substance use conditions is provided, it is generally comparable to coverage for medical and surgical care. The ACA extended parity protections by requiring coverage of mental health and substance use disorder benefits for millions of Americans in the individual and small group health insurance markets who lacked these benefits and by expanding parity requirements to apply to millions of Americans whose coverage did not previously comply with those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Children’s Health Insurance Program Reauthorization Act of 2009 requires that Children’s Health Insurance Program (“CHIP”) plans that provide both medical and surgical benefits and mental health/ substance abuse disorder benefits comply with the parity provisions of MHPAEA, in the same manner as a group health plan.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30, 2016, CMS published a final rule applying certain provisions of the MHPAEA to requirements for Medicaid managed care organizations, Medicaid alternative benefit plans and CHIP. The final rule requires that all beneficiaries who receive services through managed care organizations, alternative benefit plans or CHIP be provided access to mental health and substance use disorder benefits that comply with parity standards, regardless of whether these services are provided through the managed care organization or another service delivery 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Mental health parity has remained a focus of Congress. Section 13001 of the 21st Century Cures Act required the Departments of Labor, Health and Human Services, and Treasury to develop compliance program guidance regarding mental health parity requirements that is updated every two years. It also included a requirement for audits of a group health plan or issuer of group or individual health insurance coverage that has violated MHPAEA five times to be subject to an audit of their plan documents in the following year to ensure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Biden administration finalized requirements for health plans to strengthen mental health parity laws by amending existing standards to prohibit group health plans and health insurance issuers offering group or individual health insurance coverage from using nonquantitative treatment limitation (NQTL) comparative analyses that place greater restrictions on access to mental health and substance use disorder benefits as compared to medical/surgical benefits. Payers and employer-sponsored plans have been required to cover mental health and substance use benefits the same as they would for medical benefits under the Mental Health Parity and Addiction Equity Act of 2008. Though the law was further strengthened in 2020, mental healthcare access is still fragmented and difficult to access nationwide.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9, 2024, the U.S. Departments of Health and Human Services, Labor, and the Treasury published a final rule that will, among other measures, require plans to analyze the outcomes of their mental health coverage policies, including network size, out-of-network payment policies and prior authorization requirements. The rule clarifies that plans cannot have more restrictive prior authorization standards or narrower networks for mental health and substance use benefits. The final rule prohibits plans from using discriminatory information, evidence, sources, or standards that systematically disfavor or are specifically designed to disfavor access to mental health and substance use benefits as compared to medical/surgical benefits when designing NQTLs.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final rule also sunsets an election option that excluded self-funded non-federal government health plans from compliance with mental health and substance use parity standards. Parts of the final rule went into effect in 2025, and others in 2026, though the status of future implementation remains unclear due to the current administration’s announcement of an enforcement pause.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We refer to (i) the offering of the notes and (ii) the use of proceeds from the offering of the notes, collectively, as the “Transactions.” See “Description of other indebtedness—Credit agreement” for more information about our senior secured credit facility.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Universal Health Services, Inc. is a Delaware corporation. Our principal executive offices are located at Universal Corporate Center, 367 South Gulph Road, P.O. Box 61558, King of Prussia, PA 19406. Our telephone number is (610) 768-3300. Our website is located at www.uhs.com. Our website and the information contained on our website are not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101514_5"/>
      <w:bookmarkEnd w:id="7"/>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contains basic information about the notes and is not intended to be complete. For a more complete understanding of the notes, the guarantees and the collateral, please refer to the section entitled “Description of the notes”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6" w:type="dxa"/>
            <w:tcBorders/>
          </w:tcPr>
          <w:p>
            <w:pPr>
              <w:pStyle w:val="TableContents"/>
              <w:bidi w:val="0"/>
              <w:spacing w:before="0" w:after="283"/>
              <w:jc w:val="left"/>
              <w:rPr/>
            </w:pPr>
            <w:r>
              <w:rPr/>
              <w:t xml:space="preserve">Universal Health Services,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9" w:type="dxa"/>
            <w:tcBorders/>
          </w:tcPr>
          <w:p>
            <w:pPr>
              <w:pStyle w:val="TableContents"/>
              <w:bidi w:val="0"/>
              <w:spacing w:before="0" w:after="283"/>
              <w:jc w:val="left"/>
              <w:rPr/>
            </w:pPr>
            <w:r>
              <w:rPr/>
              <w:t xml:space="preserve">$   million aggregate principal amount of    % Senior Secured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$   million aggregate principal amount of    % Senior Secured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9"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8" w:type="dxa"/>
            <w:tcBorders/>
          </w:tcPr>
          <w:p>
            <w:pPr>
              <w:pStyle w:val="TableContents"/>
              <w:bidi w:val="0"/>
              <w:spacing w:before="0" w:after="283"/>
              <w:jc w:val="left"/>
              <w:rPr/>
            </w:pPr>
            <w:r>
              <w:rPr/>
              <w:t xml:space="preserve">Interest on the 20  notes will be payable in cash and will accrue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Interest on the 20  notes will be payable in cash and will accrue at a rate of   %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9" w:type="dxa"/>
            <w:tcBorders/>
          </w:tcPr>
          <w:p>
            <w:pPr>
              <w:pStyle w:val="TableContents"/>
              <w:bidi w:val="0"/>
              <w:spacing w:before="0" w:after="283"/>
              <w:jc w:val="left"/>
              <w:rPr/>
            </w:pPr>
            <w:r>
              <w:rPr/>
              <w:t xml:space="preserve">The interest payment dates for the 20  notes will be and   , commencing    , 2027, and for the 20  notes will be and    , commencing    , 2027. Interest will accrue from,    , 2026 for each series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8" w:type="dxa"/>
            <w:tcBorders/>
          </w:tcPr>
          <w:p>
            <w:pPr>
              <w:pStyle w:val="TableContents"/>
              <w:bidi w:val="0"/>
              <w:spacing w:before="0" w:after="283"/>
              <w:jc w:val="left"/>
              <w:rPr/>
            </w:pPr>
            <w:r>
              <w:rPr/>
              <w:t xml:space="preserve">Prior to the applicable Par Call Date (as defined below), we may redeem the notes of either series, in whole or in part, at any time and from time to time, at the applicable redemption prices described herein.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or after the applicable Par Call Date, we may redeem the notes of either series, in whole or in part, at any time and from time to time, at a redemption price equal to 100% of the principal amount of the notes being redeemed, plus accrued and unpaid interest, if any, thereon to, but excluding, the redemption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the foregoing, “Par Call Date” means, with respect to the 20   notes,    , 20   (the date that is month(s) prior to the maturity date of the 20   notes) and, with respect to the 20   notes,    , 20   (the date that is month(s) prior to the maturity date of the 20   Notes). See “Description of the notes — Optional redemption.”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following a downgrade from investment grade ratings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certain kinds of changes of control, if the notes have ceased to have investment grade ratings (including as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result of entering into an agreement that would result in such a change of control), holders of the notes of each series will have the right to cause us to repurchase the notes of such series at 101% of the principal amount thereof, plus accrued and unpaid interest and additional interest, if any, to, but excluding, the repurchase date. See “—Repurchase at the option of holders—Change of control following a downgrade from investment grade ratings” in the “Description of the notes.” Because the notes are expected to have investment grade ratings from both Moody’s Investors Service (“Moody’s”) and Standard &amp; Poor’s Ratings Services (“S&amp;P”) as of the issue date of the notes, this covenant will initially be suspended.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 guarantees </w:t>
            </w:r>
          </w:p>
        </w:tc>
        <w:tc>
          <w:tcPr>
            <w:tcW w:w="6328" w:type="dxa"/>
            <w:tcBorders/>
          </w:tcPr>
          <w:p>
            <w:pPr>
              <w:pStyle w:val="TableContents"/>
              <w:bidi w:val="0"/>
              <w:spacing w:before="0" w:after="283"/>
              <w:jc w:val="left"/>
              <w:rPr/>
            </w:pPr>
            <w:r>
              <w:rPr/>
              <w:t xml:space="preserve">The notes will be guaranteed on a senior secured basis by all of our existing and future direct and indirect subsidiaries that guarantee our senior secured credit facility or our other first lien obligations or any junior lien obligations. Under certain circumstances, the subsidiary guarantors may be released from their note guarantees without the consent of the holders of the notes, including if the notes then have investment grade ratings, no default has occurred and is continuing, the guarantees of other first lien and any junior lien obligations have been released and liens on the collateral securing all first lien obligations and any junior lien obligations have been released. Any note guarantee will also be released if that subsidiary guarantor’s guarantees of the senior credit facility, other first lien obligations and any junior lien obligations are released. See “—Guarantees” and “—Release of collateral and guarantees upon investment grade rating event”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For the year ended December 31, 2025, our subsidiaries in the United Kingdom, which are non-guarantor subsidiaries, represented approximately 5.8% of our net revenues, and together with our remaining non-guarantor subsidiaries represented less than 20.5% of our net revenues.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Collateral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and the note guarantees will be secured by first-priority liens, subject to permitted liens, on certain of our assets and certain assets of those guarantors that have pledged those assets to secure certain of our other indebtedness or indebtedness of those subsidiary guarantors (the “secured guarantors”) now owned or acquired in the future by us and our secured guarantors (other than our real property and certain other excluded assets). Our obligations with respect to the notes, the obligations of the subsidiary guarantors under the note guarantees and the performance of all our and our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guarantors’ other obligations under the indenture will be secured equally and ratably with our and our secured guarantors’ obligations under our senior secured credit facility, the Existing 2026 Notes (to the extent remaining outstanding), the Existing 2029 Notes, the Existing 2030 Notes, the Existing 2032 Notes and the Existing 2034 by a perfected first-priority security interest, subject to permitted liens, in the collateral owned by us and our secured guarantors, whether now owned or hereafter acquired. However, the liens on the collateral securing the notes and the note guarantees of the secured guarantors will be released if (i)(x) the notes then have investment grade ratings, (y) no default has occurred and is continuing and (z) the liens on the collateral securing all first lien obligations (including the senior secured credit facility, the Existing 2026 Notes (to the extent remaining outstanding), the Existing 2029 Notes, the Existing 2030 Notes, the Existing 2032 Notes and the Existing 2034 Notes) and any junior lien obligations have been released or (ii) the collateral under the senior secured credit facility, any other first lien obligations and any junior lien obligations has been released or no longer required to be pledged. As of the issue date of the notes, we expect the notes to have investment grade ratings from both Moody’s and S&amp;P. However, as of the issue date of the notes, the condition in clause (i)(z) of the preceding sentence has not been met because the conditions to the release of the collateral under the senior secured credit facility have not been met. See “—Release of collateral and guarantees upon investment grade rating event”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notes and the note guarantees will not be secured by the assets of non-guarantor subsidiaries. For a more detailed discussion, see “—Security generally”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the issue date of the notes, all of the guarantors will be secured guarantors. In the future, we may elect, in our discretion, to provide unsecured guarantees of the notes from certain other restricted subsidiaries, and any such unsecured guarantors would also guarantee our senior secured credit facility and the Existing 2026 Notes (to the extent remaining outstanding), the Existing 2029 Notes, the Existing 2030 Notes, the Existing 2032 Notes and the Existing 2034 Notes. For a more detailed discussion, see “—Certain covenants —Additional subsidiary guarantees” in the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No appraisal of the value of the collateral has been made in connection with this offering, and the value of the collateral in the event of liquidation may be materially different from the book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Some of our assets are excluded from the collateral, as described in “—Certain limitations on the collateral” in the “Description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and the note guarantees will be our and the secured guarantors’ senior secured obligations and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of our and the subsidiary guarantors’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all of our and the subsidiary guarantors’ existing and future senior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all existing and future indebtedness that shares in the first-priority liens that secure the notes, including our obligations under our senior secured credit facility, the Existing 2026 Notes (to the extent remaining outstanding), the Existing 2029 Notes, the Existing 2030 Notes, Existing 2032 Notes and the Existing 2034 Notes to the extent of the value of the collateral;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effectively senior to our and the subsidiary guarantors’ existing and future unsecured indebtedness to the extent of the value of the collateral;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any of our and the subsidiary guarantors’ existing and future indebtedness that is secured by assets that do not constitute collateral to the extent of the value of such assets;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obligations of our non-guarantor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we elect to add unsecured guarantors in the future, the note guarantees of such guarantors will be senior unsecured obligations of the unsecured guarantors, rank senior in right of payment to any of the unsecured guarantors’ future subordinated indebtedness, rank equally in right of payment with the unsecured guarantors’ existing and future senior indebtedness and rank effectively junior to all existing and future senior secured debt of the unsecured guarantors to the extent of the value of any assets securing such senior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our non-guarantor subsidiaries had less than $29.8 million of total long-term debt, which would have been structurally senior to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7" w:type="dxa"/>
            <w:tcBorders/>
          </w:tcPr>
          <w:p>
            <w:pPr>
              <w:pStyle w:val="TableContents"/>
              <w:bidi w:val="0"/>
              <w:spacing w:before="0" w:after="283"/>
              <w:jc w:val="left"/>
              <w:rPr/>
            </w:pPr>
            <w:r>
              <w:rPr/>
              <w:t xml:space="preserve">We will issue the notes under an indenture with U.S. Bank Trust Company, National Association, as trustee, and JPMorgan Chase Bank, N.A., as collateral agent, as supplemented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Indenture, among other things, limits our ability and the ability of our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its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mortgages on certain of our principal properties to secure debt;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sale and lease-back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intend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 evaluating an investment in the notes, prospective investors should carefully consider, along with the other information in this prospectus supplement, the specific factors set forth under “Risk factors” in this prospectus supplement and found in the documents incorporated herein by reference, as well as the other cautionary statements throughout this prospectus supplement, for risks involved with an investment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tx101514_6"/>
      <w:bookmarkEnd w:id="8"/>
      <w:r>
        <w:rPr>
          <w:rFonts w:ascii="Times New Roman" w:hAnsi="Times New Roman"/>
          <w:b/>
          <w:sz w:val="20"/>
          <w:bdr w:val="single" w:sz="8" w:space="1" w:color="000000"/>
        </w:rPr>
        <w:t xml:space="preserve">Summary historical and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historical financial data of UHS as of June 30, 2026 and for the six months ended June 30, 2026 and 2025 and as of and for the years ended December 31, 2025, 2024 and 2023 has been derived from our consolidated financial statements filed with the SEC, including our unaudited consolidated financial statements as of June 30, 2026 and for the six months ended June 30, 2026 and 2025 and our audited consolidated financial statements as of December 31, 2025 and 2024 and for the three years ended December 31, 2025, 2024 and 2023 incorporated by reference in this prospectus supplement. The balance sheet data for the six months ended June 30, 2026 is derived from our balance sheet as of June 30, 2026, which is not incorporated by reference in this prospectus supplement. Our unaudited historical consolidated financial statements have been prepared in accordance with GAAP for interim financial information and, in our opinion, consist only of normal and recurring adjustments necessary for a fair statement of the information set forth therein. Our historical results are not necessarily indicative of our future results, and our results for any interim period are not necessarily indicative of our results that may be expected for a full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financial information should be read in conjunction with the historical financial statements and the accompanying notes of UHS, which are incorporated by reference in this prospectus supplement.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u w:val="single"/>
          <w:bdr w:val="single" w:sz="8" w:space="1" w:color="000000"/>
        </w:rPr>
        <w:t>Universal Health Services, Inc.</w:t>
      </w:r>
      <w:r>
        <w:rPr>
          <w:rFonts w:ascii="Times New Roman" w:hAnsi="Times New Roman"/>
          <w:b/>
          <w:sz w:val="20"/>
          <w:bdr w:val="single" w:sz="8" w:space="1" w:color="000000"/>
        </w:rPr>
        <w:t xml:space="preserve">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u w:val="single"/>
          <w:bdr w:val="single" w:sz="8" w:space="1" w:color="000000"/>
        </w:rPr>
        <w:t>Consolidated Statements of Income</w:t>
      </w:r>
      <w:r>
        <w:rPr>
          <w:rFonts w:ascii="Times New Roman" w:hAnsi="Times New Roman"/>
          <w:sz w:val="20"/>
          <w:bdr w:val="single" w:sz="8" w:space="1" w:color="000000"/>
        </w:rPr>
        <w:t xml:space="preserve">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(in thousands, except per share amounts)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(unaudited)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646"/>
        <w:gridCol w:w="170"/>
        <w:gridCol w:w="140"/>
        <w:gridCol w:w="1100"/>
        <w:gridCol w:w="155"/>
        <w:gridCol w:w="126"/>
        <w:gridCol w:w="140"/>
        <w:gridCol w:w="1100"/>
        <w:gridCol w:w="155"/>
        <w:gridCol w:w="126"/>
        <w:gridCol w:w="140"/>
        <w:gridCol w:w="1100"/>
        <w:gridCol w:w="155"/>
        <w:gridCol w:w="126"/>
        <w:gridCol w:w="140"/>
        <w:gridCol w:w="1100"/>
        <w:gridCol w:w="155"/>
        <w:gridCol w:w="126"/>
        <w:gridCol w:w="140"/>
        <w:gridCol w:w="1100"/>
        <w:gridCol w:w="65"/>
      </w:tblGrid>
      <w:tr>
        <w:trPr/>
        <w:tc>
          <w:tcPr>
            <w:tcW w:w="264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4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761"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2"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(Dollars in thousands, except ratios)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9,133,194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8,383,536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17,364,829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15,827,935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14,281,976</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Operating charges: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Salaries, wages and benefits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4,228,538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3,966,055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8,084,582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7,518,687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7,107,484</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2,635,886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2,268,318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4,860,246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4,308,384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3,757,216</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Supplies expense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849,800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821,666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1,659,009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1,587,786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1,532,828</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322,764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300,349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618,743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584,831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568,041</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Lease and rental expense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76,671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72,053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148,234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146,433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141,026</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8,113,659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7,428,441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15,370,814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14,146,121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13,106,595</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1,019,535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955,095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1,994,015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1,681,814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1,175,381</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77,045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75,420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156,068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186,109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206,674</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(5,752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(14,138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(134,194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28,281</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948,242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893,813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1,972,141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1,497,936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940,426</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224,974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209,573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460,959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334,827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221,119</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723,268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684,240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1,511,182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1,163,109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719,307</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 (“NCI”)</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16,139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14,342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21,012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1,512</w:t>
            </w:r>
          </w:p>
        </w:tc>
        <w:tc>
          <w:tcPr>
            <w:tcW w:w="65" w:type="dxa"/>
            <w:tcBorders/>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707,129</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669,898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1,488,796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1,142,097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717,795</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sheet data (as of period end):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138,800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137,595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125,983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119,439</w:t>
            </w:r>
          </w:p>
        </w:tc>
        <w:tc>
          <w:tcPr>
            <w:tcW w:w="65"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15,935,486</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14,985,577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15,527,593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14,469,749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13,967,602</w:t>
            </w:r>
          </w:p>
        </w:tc>
        <w:tc>
          <w:tcPr>
            <w:tcW w:w="65"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4,851,847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4,582,897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4,752,551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4,504,541</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4,912,469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33"/>
        <w:gridCol w:w="132"/>
        <w:gridCol w:w="60"/>
        <w:gridCol w:w="1016"/>
        <w:gridCol w:w="155"/>
        <w:gridCol w:w="93"/>
        <w:gridCol w:w="60"/>
        <w:gridCol w:w="1016"/>
        <w:gridCol w:w="155"/>
        <w:gridCol w:w="93"/>
        <w:gridCol w:w="60"/>
        <w:gridCol w:w="1119"/>
        <w:gridCol w:w="155"/>
        <w:gridCol w:w="93"/>
        <w:gridCol w:w="60"/>
        <w:gridCol w:w="1119"/>
        <w:gridCol w:w="155"/>
        <w:gridCol w:w="93"/>
        <w:gridCol w:w="59"/>
        <w:gridCol w:w="1016"/>
        <w:gridCol w:w="163"/>
      </w:tblGrid>
      <w:tr>
        <w:trPr/>
        <w:tc>
          <w:tcPr>
            <w:tcW w:w="333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3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9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163" w:type="dxa"/>
            <w:tcBorders/>
            <w:vAlign w:val="bottom"/>
          </w:tcPr>
          <w:p>
            <w:pPr>
              <w:pStyle w:val="TableContents"/>
              <w:bidi w:val="0"/>
              <w:spacing w:before="0" w:after="283"/>
              <w:jc w:val="left"/>
              <w:rPr/>
            </w:pPr>
            <w:r>
              <w:rPr/>
              <w:t> </w:t>
            </w:r>
          </w:p>
        </w:tc>
      </w:tr>
      <w:tr>
        <w:trPr/>
        <w:tc>
          <w:tcPr>
            <w:tcW w:w="333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debt(1)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4,713,047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4,445,302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4,614,754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4,378,558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4,793,030</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UHS common stockholders’ equity.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7,513,812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7,030,048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7,275,792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6,666,207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6,149,001</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844,931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909,026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1,864,397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2,067,101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1,267,797</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(431,812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(577,238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(1,070,617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(911,109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(763,275</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(411,382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(319,071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(749,727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(1,144,877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(493,945</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444,790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505,040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1,015,152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943,810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743,055</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net of NCI(2)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1,331,912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1,255,240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2,724,566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2,247,864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1,713,629</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net of NCI(2)</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1,326,160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1,241,102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2,590,372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2,245,633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1,741,910</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UHS(2)</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704,965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667,392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1,401,082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1,128,135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739,365</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Leverage ratio(3)</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2.87</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Leverage ratio(3) Adjusted EBITDA net of NCI</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2.82</w:t>
            </w:r>
          </w:p>
        </w:tc>
        <w:tc>
          <w:tcPr>
            <w:tcW w:w="163" w:type="dxa"/>
            <w:tcBorders/>
            <w:shd w:fill="CCEEFF" w:val="clear"/>
            <w:vAlign w:val="bottom"/>
          </w:tcPr>
          <w:p>
            <w:pPr>
              <w:pStyle w:val="TableContents"/>
              <w:bidi w:val="0"/>
              <w:spacing w:before="0" w:after="283"/>
              <w:jc w:val="left"/>
              <w:rPr/>
            </w:pPr>
            <w:r>
              <w:rPr/>
              <w:t> </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Interest coverage ratio(4)</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17.76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15.04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17.46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12.08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8.29</w:t>
            </w:r>
          </w:p>
        </w:tc>
        <w:tc>
          <w:tcPr>
            <w:tcW w:w="163" w:type="dxa"/>
            <w:tcBorders/>
            <w:vAlign w:val="bottom"/>
          </w:tcPr>
          <w:p>
            <w:pPr>
              <w:pStyle w:val="TableContents"/>
              <w:bidi w:val="0"/>
              <w:spacing w:before="0" w:after="283"/>
              <w:jc w:val="left"/>
              <w:rPr/>
            </w:pPr>
            <w:r>
              <w:rPr/>
              <w:t> </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coverage ratio(4) Adjusted EBITDA net of NCI</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16.97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14.91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16.60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12.07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8.43</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debt is defined as total debt less cash and cash equivalents.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(NCI is net income attributable to noncontrolling interests) represents net income attributable to UHS before depreciation and amortization, interest expense and provision for income taxes. Adjusted EBITDA net of NCI excludes the impact of other (income) expense, net and the effect of certain other items that we believe are non-operational in nature impacting our net income attributable to UHS.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attributable to UHS represents net income attributable to UHS, as adjusted to exclude the impact of the items set forth in the reconciliation table below.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net of NCI, Adjusted EBITDA net of NCI and Adjusted net income attributable to UHS are not measurements of operating performance computed in accordance with GAAP and should not be considered as substitutes for operating income, net income or cash flows from operating activities computed in accordance with GAAP, EBITDA net of NCI, Adjusted EBITDA net of NCI and Adjusted net income attributable to UHS have limitations as analytical tools. Some of the limitations are: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Adjusted EBITDA net of NCI and Adjusted net income attributable to UHS do not reflect our cash expenditures, or future requirements for capital expenditures or contractual commitments;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Adjusted EBITDA net of NCI and Adjusted net income attributable to UHS do not reflect changes in, or cash requirements for, our working capital needs;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net of NCI and Adjusted EBITDA net of NCI do not reflect the significant interest expense or the cash requirements necessary to service interest or principal payments on our debt, while Adjusted net income does not reflect the cash requirements necessary to service principal payments on our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net of NCI, Adjusted EBITDA net of NCI and Adjusted net income attributable to UHS do not reflect any cash requirements for such replacements;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net of NCI, Adjusted EBITDA net of NCI and Adjusted net income differently than we do, limiting their usefulness as comparative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Reconciliations of net income attributable to UHS to EBITDA net of NCI and Adjusted EBITDA net of NCI, and of net income attributable to UHS to Adjusted net income attributable to UHS, are provided below.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284"/>
        <w:gridCol w:w="148"/>
        <w:gridCol w:w="142"/>
        <w:gridCol w:w="997"/>
        <w:gridCol w:w="155"/>
        <w:gridCol w:w="97"/>
        <w:gridCol w:w="142"/>
        <w:gridCol w:w="997"/>
        <w:gridCol w:w="155"/>
        <w:gridCol w:w="96"/>
        <w:gridCol w:w="142"/>
        <w:gridCol w:w="997"/>
        <w:gridCol w:w="155"/>
        <w:gridCol w:w="97"/>
        <w:gridCol w:w="142"/>
        <w:gridCol w:w="997"/>
        <w:gridCol w:w="155"/>
        <w:gridCol w:w="97"/>
        <w:gridCol w:w="141"/>
        <w:gridCol w:w="997"/>
        <w:gridCol w:w="72"/>
      </w:tblGrid>
      <w:tr>
        <w:trPr/>
        <w:tc>
          <w:tcPr>
            <w:tcW w:w="328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9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(Dollars in thousands, except ratios)</w:t>
            </w:r>
          </w:p>
        </w:tc>
        <w:tc>
          <w:tcPr>
            <w:tcW w:w="148"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net income attributable to UHS to EBITDA, net of NCI</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707,129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669,898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1,488,796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1,142,097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717,795</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322,764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300,349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618,743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584,831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568,041</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77,045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75,420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156,068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186,109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206,674</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224,974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209,573</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460,959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334,827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221,119</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EBITDA net of NCI</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1,331,912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1,255,240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2,724,566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2,247,864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1,713,629</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(5,752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(14,138</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(134,194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(2,231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28,281</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net of NCI</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1,326,160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1,241,102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2,590,372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2,245,633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1,741,910</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net income attributable to UHS to Adjusted net income attributable to UHS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707,129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669,898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1,488,796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1,142,097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717,795</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Plus/minus after-tax adjustments: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 (a)</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(1,249</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(12,061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1,985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21,570</w:t>
            </w:r>
          </w:p>
        </w:tc>
        <w:tc>
          <w:tcPr>
            <w:tcW w:w="72" w:type="dxa"/>
            <w:tcBorders/>
            <w:vAlign w:val="bottom"/>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non-marketable securities (b)</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(71,489</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Impact of ASU 2016-09 (c)</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(2,164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(1,257</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(4,164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(15,947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 adjustments</w:t>
            </w:r>
          </w:p>
        </w:tc>
        <w:tc>
          <w:tcPr>
            <w:tcW w:w="1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(2,164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(2,506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(87,714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(13,962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21,570</w:t>
            </w:r>
          </w:p>
        </w:tc>
        <w:tc>
          <w:tcPr>
            <w:tcW w:w="72"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UHS</w:t>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704,965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667,392</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1,401,082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1,128,135</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739,365</w:t>
            </w:r>
          </w:p>
        </w:tc>
        <w:tc>
          <w:tcPr>
            <w:tcW w:w="72"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(increase) in the market value of shares of certain marketable securities held for investment and classified as available for sale.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increase in the market value of shares of certain non-marketable securities held for investment and classified as available for sale.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impact of ASU 2019-09, “Compensation—Stock Compensation (Topic 718): Improvements to Employee Share-Based Payment Accounting” (“ASU 2016-09”).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leverage ratio and leverage ratio Adjusted EBITDA net of NCI are calculated as the ratio of our total debt as of the end of the period to our EBITDA net of NCI and Adjusted EBITDA net of NCI, respectively, for the period of four quarters ended as of the end of the period presented.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interest coverage ratio and interest coverage ratio Adjusted EBITDA net of NCI are calculated as the ratio of our EBITDA net of NCI and Adjusted EBITDA net of NCI to interest expense, net, respectively, for the period of four quarters ended as of the end of the period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01514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the notes involves a high degree of risk. You should carefully consider the risks described below and all of the information contained or incorporated by reference in this prospectus supplement and the accompanying prospectus before deciding whether to purchase the notes, including the “Risk Factors” section of our Annual Report on Form 10-K for the year ended December 31, 2025, our Quarterly Reports on Form 10-Q for the quarters ended March 31, 2026 and June 30, 2026 and our other subsequent filings under the Securities Exchange Act of 1934, as amended, which are incorporated by reference herein. The risks and uncertainties described below and in the incorporated documents are not the only risks and uncertainties that we face. Additional risks and uncertainties not presently known to us or that we currently deem immaterial may also impair our business operations. If any of those risks actually occurs, our business, financial condition and results of operations would suffer. The risks discussed below also include forward-looking statements, and our actual results may differ substantially from those discussed in these forward-looking statements. See “Cautionary statement regarding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including the notes,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on or refinance our debt obligations, including the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including the notes. We may not be able to effect any such alternative measures, if necessary, on commercially reasonable terms or at all and, even if successful, those alternative actions may not allow us to meet our scheduled debt service obligations. The credit agreement that governs our senior secured credit facility, as described in “Description of other indebtedness” (the “credit agreement”), restricts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“Description of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conduct our operations through our subsidiaries, certain of which are not, or in the future may not be, guarantors of the notes or our other indebtedness. Accordingly, repayment of our indebtedness, including the notes, is dependent on the generation of cash flow by our subsidiaries and their ability to make such cash available to us, by dividend, debt repayment or otherwise. Unless they are guarantors of the notes or our other indebtedness, our subsidiaries do not have any obligation to pay amounts due on the notes or our other indebtedness or to make funds available for that purpose. Our subsidiaries may not be able to, or may not be permitted to, make distributions to enable us to make payments in respect of our indebtedness, including the notes. Each subsidiary is a distinct legal entity, and, under certain circumstances, legal and contractual restrictions may limit our ability to obtain cash from our subsidiaries. While the agreements governing certain of our other existing indebtedness limit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 including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make scheduled payments on our debt, we will be in default and holders of the notes could declare all outstanding principal and interest to be due and payable, the lenders under our credit agreement could terminate their commitments to loan money, our secured lenders could foreclose against the assets securing their borrowings and we could be forced into bankruptcy or liquidation. All of these events could result in your losing your investment in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our current level of indebtedness, we and our subsidiaries may still be able to incur substantially more debt. This could further exacerbate the risks to our financial condition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significant additional indebtedness in the future. Although our credit agreement contains restrictions on the incurrence of additional indebtedness and our credit agreement and the indentures governing the Existing 2026 Notes (to the extent remaining outstanding), the Existing 2029 Notes, the Existing 2030 Notes, the Existing 2032 Notes, the Existing 2034 Notes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you. These restrictions also will not prevent us from incurring obligations that do not constitute indebtedness. In addition, as of June 30, 2026, we had $1.272 billion of aggregate available borrowing capacity under our $1.5 billion revolving credit facility, after giving effect to $3 million of letters of credit and $225 million of outstanding borrowings. We also had a $400 million delayed draw term loan A which is expected to be drawn upon the closing of our acquisition of Talkspace (expected to be consummated during the third quarter of 2026). We entered into the Twelfth Amendment and Increased Facility Activation Notice (the “Twelfth Amendment”) to our credit agreement on July 20, 2026, among us, as borrower, the several banks and other financial institutions or entities from time to time parties thereto, as lenders, and JPMorgan Chase Bank, N.A., as administrative agent. The Twelfth Amendment added a new $700 million delayed draw term loan commitment which will terminate on September 30, 2026 if not drawn by such date, and we do not intend to draw on such commitment if this offering is consummated. In addition, the credit agreement allows us to request additional revolving or term loan commitments up to the sum of $750 million and additional amounts such that the pro forma consolidated secured leverage ratio is not more than 3.75 to 1.00, and amounts borrowed under any such commitments would be secured on a first-priority lien basis by the same collateral securing our credit agreement, the notes, the Existing 2026 Notes (to the extent remaining outstanding), the Existing 2029 Notes, the Existing 2030 Notes, the Existing 2032 Notes and the Existing 2034 Notes. See “Description of other indebtedness” and “Description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our credit agreement and the indentures restrict our current and future operations, particularly our ability to respond to changes or to take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credit agreement contains a number of restrictive covenants that impose significant operating and financial restrictions on us and may limit our ability to engage in acts that may be in our long-term best interest, including restrictions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and guarantee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or repurchase or 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or repurchase certain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the businesses we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agreements restricting our subsidiaries’ ability to pay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restrictive covenants in the credit agreement require us to maintain specified financial ratios and satisfy other financial condition tests. Our ability to meet those financial ratios and tests may be affected by events beyond our control, and we may be unable to meet them. In addition, the indentures governing the Existing 2026 Notes (to the extent remaining outstanding), the Existing 2029 Notes, the Existing 2030 Notes, the Existing 2032 Notes, the Existing 2034 Notes and the notes contain restrictive covenants that limit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liens or mortgages,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 discussions under the headings “Description of other indebtedness” and “—Certain covenants” in the “Description of the notes” for further information about these covenants. </w:t>
      </w:r>
    </w:p>
    <w:p>
      <w:pPr>
        <w:pStyle w:val="TextBody"/>
        <w:bidi w:val="0"/>
        <w:spacing w:before="240" w:after="0"/>
        <w:jc w:val="left"/>
        <w:rPr>
          <w:rFonts w:ascii="Times New Roman" w:hAnsi="Times New Roman"/>
          <w:sz w:val="20"/>
        </w:rPr>
      </w:pPr>
      <w:r>
        <w:rPr>
          <w:rFonts w:ascii="Times New Roman" w:hAnsi="Times New Roman"/>
          <w:sz w:val="20"/>
        </w:rPr>
        <w:t xml:space="preserve">A breach of the covenants under our credit agreement or under the indentures could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our credit agreement would permit the lenders to terminate all commitments to extend further credit under the credit agreement. In the event our lenders or noteholders accelerate the repayment of our borrowings, we and our subsidiaries may not have sufficient assets to repay that indebtedness. As a result of these restrictions, we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in how we conduct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raise additional debt or equity financing to operate during general economic or business downturns;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compete effectively or to take advantage of new business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restrictions may affect our ability to grow in accordance with our strategy. In addition, our financial results, our substantial indebtedness and our credit ratings could adversely affect the availability and terms of our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our credit agreement are at variable rates of interest and expose us to interest rate risk. If interest rates increase, our debt service obligations on the variable rate indebtedness will increase even though the amount borrowed remained the same, and our net income and cash flows, including cash available for servicing our indebtedness, will correspondingly decrease. Assuming all revolving loans are fully drawn, each quarter point change in interest rates would result in a $3.8 million change in annual interest expense on our indebtedness under our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Even though the holders of the notes will benefit from a first-priority lien on the collateral that secures our credit agreement, the Existing 2026 Notes (to the extent remaining outstanding), the Existing 2029 Notes, the Existing 2030 Notes, the Existing 2032 Notes and the Existing 2034 Notes, the representative of the lenders under the credit agreement will initially control actions with respect to that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security agreement that relates to the collateral in which the lenders under the credit agreement and the holders of the notes, the Existing 2026 Notes (to the extent remaining outstanding), the Existing 2029 Notes, the Existing 2030 Notes, the Existing 2032 Notes and the Existing 2034 Notes have a first priority lien security interest, subject to permitted liens, any actions that may be taken with respect to such collateral (including the ability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such collateral) will be in accordance with the terms of the security agreement at the direction of the authorized representative of the lenders under the credit agreement until the earlier of (1) our obligations under the credit agreement are discharged (which discharge does not include certain refinancings or replacements of the credit agreement) and (2) 90 days after the occurrence of an event of default under the indenture governing the notes or other applicable agreements for a series of first priority lien obligations. Under the circumstances described in clause (2) of the preceding sentence, the authorized representative of the holders of the indebtedness that represents the largest outstanding principal amount of indebtedness secured by a first-priority lien on the collateral (other than the credit agreement) and has complied with the applicable notice provisions gains the right to take actions with respect to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Even if the authorized representative of the notes gains the right to direct the collateral agent in the circumstances described in clause (2) above, the authorized representative must stop doing so (and those powers with respect to the collateral would revert to the authorized representative of the lenders under the credit agreement) if the lenders’ authorized representative has commenced and is diligently pursuing any enforcement action with respect to the collateral or the grantor of the security interest in that collateral (whether our company or the applicable guarantor) is then a debtor under or with respect to (or otherwise subject to) an insolvency or liquidation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credit agreement and the indentures permit us to issue additional series of notes that also have a first-priority lien on the same collateral. As explained above, any time that the representative of the lenders under the credit agreement does not have the right to take actions with respect to the collateral, that right passes to the authorized representative of the holders of the next largest outstanding principal amount of indebtedness secured by a first-priority lien on the collateral. If we issue additional first lien debt in the future in a greater principal amount than the aggregate principal amount of the notes, then the authorized representative for those additional notes would be earlier in line to exercise rights than the applicable authorized representative for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all obligations of our existing and future subsidiaries that are not and do not become guarantors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guaranteed by each of our existing and subsequently acquired or organized restricted subsidiaries that guarantee the credit agreement, any other first lien obligations or any junior lien obligations or, if no such indebtedness is outstanding, by any such restricted subsidiaries that guarantee certain of our indebtedness or indebtedness of another guarantor in excess of $50.0 million. Our subsidiaries that do not guarantee the notes, including all of our non-domestic subsidiaries, will have no obligation, contingent or otherwise, to pay amounts due under the notes or to make any funds available to pay those amounts, whether by dividend, distribution, loan or other payment. The notes and guarantees will be structurally subordinated to all indebtedness and other obligations of any non-guarantor subsidiary such that in the event of insolvency, liquidation, reorganization, dissolution or other winding up of any subsidiary that is not a guarantor, all of that subsidiary’s creditors (including trade creditors and preferred stockholders, if any) would be entitled to payment in full out of that subsidiary’s assets before we would be entitled to any payment.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credit agreement, subject to some limitations, and the indentures permit these subsidiaries to incur additional indebtedness and will not contain any limitation on the amount of other liabilities, such as trade payables, that may be incurred by these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2025, our subsidiaries in the United Kingdom, which are non-guarantor subsidiaries, represented approximately 5.8% of our net revenues, and together with our remaining non-guarantor subsidiaries represented less than 20.5% of our net revenues.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guarantees of the notes may be automatically released upon the occurrence of certain events.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subsidiaries that provide, or will provide, guarantees of the notes will be automatically released from those guarantees upon the occurrence of certain events,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have an investment grade rating from both Moody’s and S&amp;P, no default has occurred and is continuing, and the liens on the collateral securing all first lien obligations (including the credit agreement, the Existing 2026 Notes (to the extent remaining outstanding), the Existing 2029 Notes, the Existing 2030 Notes, the Existing 2032 Notes and the Existing 2034 Notes) and any junior lien obligations have been or substantially concurrently are released; provided that the guarantees are also released under all other first lien obligations and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that subsidiary guarantor as an unrestricted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or discharge of the guarantee by such subsidiary guarantor under the senior secured credit facility, any other first lien obligations and any junior lien obligations (and if the subsidiary guarantor has become a guarantor under any “additional indebtedness” (as defined in “Description of the notes”), the release or discharge of the guarantee by such subsidiary guarantor of such additional indebtedness), including any other guarantee that resulted in the creation of such guarantee, except (i) a discharge or release by or as a result of payment under such guarantee or (ii) by reason of the termination of our senior credit facility;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other disposition, including the sale of substantially all the assets, of that subsidiary guarantor.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subsidiary guarantee is released, no holder of the notes will have a claim as a creditor against that subsidiary, and the indebtedness and other liabilities, including trade payables and preferred stock, if any, whether secured or unsecured, of that subsidiary will be effectively senior to the claim of any holders of the notes. See “—Guarantees” in the “Description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not be sufficient collateral to pay all or any of the notes. </w:t>
      </w:r>
    </w:p>
    <w:p>
      <w:pPr>
        <w:pStyle w:val="TextBody"/>
        <w:bidi w:val="0"/>
        <w:spacing w:before="120" w:after="0"/>
        <w:jc w:val="left"/>
        <w:rPr>
          <w:rFonts w:ascii="Times New Roman" w:hAnsi="Times New Roman"/>
          <w:sz w:val="20"/>
        </w:rPr>
      </w:pPr>
      <w:r>
        <w:rPr>
          <w:rFonts w:ascii="Times New Roman" w:hAnsi="Times New Roman"/>
          <w:sz w:val="20"/>
        </w:rPr>
        <w:t xml:space="preserve">No appraisal of the value of the collateral has been made in connection with this offering,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fair market value of the collateral securing the notes is subject to fluctuations based on factors that include, among others, the markets for the collateral, the ability to sell the collateral in an orderly sale, general economic conditions, the availability of buyers and similar factors. The amount to be received upon a sale of the collateral would be dependent on numerous factors, including but not limited to the actual fair market value of the collateral at such time and the timing and the manner of the sale. By its nature, portions of the collateral may be illiquid and may have no readily ascertainable market value. In the event of a foreclosure, liquidation, bankruptcy or similar proceeding, the proceeds from any sale or liquidation of this collateral may not be sufficient to pay our obligations under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collateral securing the notes also secures obligations under the credit agreement, the Existing 2026 Notes (to the extent remaining outstanding), the Existing 2029 Notes, the Existing 2030 Notes, the Existing 2032 Notes and the Existing 2034 Notes may, subject to the terms of the credit agreement and the indentures, be pledged to secure other first lien and junior lien obligations. The amount of any such additional indebtedness secured by the collateral may be substantial. In the event of a bankruptcy of us or any of the secured guarantors, holders of the notes may be deemed to have an unsecured claim to the extent that our obligations in respect of the notes and other indebtedness secured by a first priority lien exceed the fair market value of the collateral securing the notes. In any bankruptcy proceeding with respect to us or any of the secured guarantors, the bankruptcy trustee, the debtor-in-possession or competing creditors may assert that the fair market value of the collateral with respect to the notes and other indebtedness secured by a first priority lien on the date of the bankruptcy filing was less than the then- current principal amount of the notes and other indebtedness secured by a first priority lien. Upon a finding by the bankruptcy court that the notes are under-collateralized, the claims in the bankruptcy proceeding with respect to the notes would be bifurcated between a secured claim and an unsecured claim, and the unsecured claim would not be entitled to the benefits of security in the collateral. In such event, the secured claims of the holders of the notes and other indebtedness secured by a first priority lien would be limited to the value of the collateral.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assets will be excluded from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are excluded from the collateral securing the notes, as described under “—Certain limitations on the collateral” in the “Description of the notes,”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fee-owned real property of the Issuer and the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stock of any foreign subsidiaries in excess of 65% of the voting stock of those foreign subsidiaries, unless any such foreign subsidiary is required to become a guarantor under the indenture governing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 accounts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sold pursuant to a receivables financing facility up to a maximum purchase price or loan of the greater of $600.0 million and 50% of the sum of (x) our accounts receivable, as set forth on our most recent balance sheet from time to time plus (y) the allowance for doubtful accounts with respect to such accounts receivable as set forth in the footnotes to our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items as to which a security interest cannot be granted without violating contract rights or applicable law and certain licenses in which a security interest cannot be created without breach of such license or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we may elect, in our discretion, to provide unsecured guarantees of the notes from certain other restricted subsidiaries that are not secured guarantors. If we were to elect to add unsecured guarantees, any assets held by those unsecured guarantors would not be included in the collateral securing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the notes are accelerated, the notes will rank equally with the holders of other unsubordinated and unsecured indebtedness with respect to those excluded assets. To the extent the claims of note holders exceed the value of the assets securing the notes and other liabilities, claims related to the excluded assets will rank equally with the claims of the holders of any other unsecured indebtedness and other indebtedness secured by a first priority lien.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rights in the collateral may be adversely affected by the failure to perfect security interests in certain collateral acquired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the collateral agent have no obligation to monitor, and we may fail to inform the trustee or the collateral agent of, the future acquisition of property and rights that constitute collateral, and necessary action may not be taken to properly perfect the security interest in that after-acquired collateral. The collateral agent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also has no obligation to monitor the perfection of any security interest in favor of the notes against third parties. This failure may result in the loss of the security interest in any additional property or rights that constitute collateral or the priority of the security interest in favor of the notes against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of holders of the notes in the collateral may be adversely affected by the failure to create or perfect security interests in certain collateral on a timely basis.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secure the notes and the guarantees by granting first-priority liens, subject to permitted liens, on certain of our and the secured guarantors’ assets, other than our real property, accounts receivable sold pursuant to any future accounts receivable securitization program (subject to the limitations set forth in the security agreement) and certain other excluded assets, and to take other steps to assist in perfecting the security interests granted in the collateral. We have a period of 30 days from the issue date of the notes before any applicable filings with the United States Patent and Trademark Office and the United States Copyright Office to perfect the security interests granted in certain intellectual property must be filed. </w:t>
      </w:r>
    </w:p>
    <w:p>
      <w:pPr>
        <w:pStyle w:val="TextBody"/>
        <w:bidi w:val="0"/>
        <w:spacing w:before="240" w:after="0"/>
        <w:jc w:val="left"/>
        <w:rPr>
          <w:rFonts w:ascii="Times New Roman" w:hAnsi="Times New Roman"/>
          <w:sz w:val="20"/>
        </w:rPr>
      </w:pPr>
      <w:r>
        <w:rPr>
          <w:rFonts w:ascii="Times New Roman" w:hAnsi="Times New Roman"/>
          <w:sz w:val="20"/>
        </w:rPr>
        <w:t xml:space="preserve">If we or any secured guarantor were to become subject to a bankruptcy proceeding, any liens recorded or perfected after the issue date would face a greater risk of being invalidated than if they had been recorded or perfected on the issue date. Liens recorded or perfected after the issue date may be treated under bankruptcy law as if they were delivered to secure previously existing indebtedness. In bankruptcy proceedings commenced within 90 days of lien perfection, a lien given to secure previously existing debt is materially more likely to be avoided as a preference by the bankruptcy court than if delivered and promptly recorded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we or a secured guarantor were to file for bankruptcy protection after the issue date of the outstanding notes and the liens had been perfected less than 90 days before commencement of such bankruptcy proceeding, the liens securing the notes may be especially subject to challenge as a result of having been perfected after the issue date. To the extent that this challenge succeeded, you would lose the benefit of the security that the collateral was intended to provide.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for any reason that is not permitted or contemplated under the security agreement and related documents, to perfect the security interest in the properties included in the collateral package may result in a default under the indenture and other agreements governing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circumstances other than repayment or discharge of the notes under which the collateral securing the notes and guarantees will be released automatically, without your consent or the consent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Under various circumstances, collateral securing the notes will be released automatically,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transfer or other disposal of the collateral in a transaction not prohibited under the indenture governing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collateral held by one or more secured guarantors, upon the release of those secured guarantors from their note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such collateral is released or no longer required to be pledged pursuant to the terms of the credit agreement, any other first lien obligations and any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consent of the holders of at least 75% of the aggregate principal amount of the notes then outstanding and affected thereby;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any date that the notes have an investment grade rating from both Moody’s and S&amp;P, no default has occurred and is continuing, and the liens on the collateral securing all first lien obligations (including the credit agreement, the Existing 2026 Notes (to the extent remaining outstanding), the Existing 2029 Notes, the Existing 2030 Notes, the Existing 2032 Notes and the Existing 2034 Notes) and any junior lien obligations have been or substantially concurrently are released.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issue date of the notes, we expect the notes to have investment grade ratings from both Moody’s and S&amp;P. However, as of the issue date of the notes, the condition in the last bullet point above that the liens on the collateral securing all first lien obligations have been released will not have been met because the credit agreement requires that we receive an investment grade corporate rating from both Moody’s and S&amp;P and that certain other conditions be met. Accordingly, if we were to receive investment grade corporate ratings from both rating agencies and the other conditions to release of the collateral under the credit agreement are met, or if we were to amend the credit agreement in the future to otherwise permit the release of the collateral, the collateral securing the notes and the guarantees will be released. In that case, you would have an unsecured claim under the notes. We cannot assure you whether this will occur, nor can we predict whether any subsequent downgrade by one or both of the rating agencies may occur. </w:t>
      </w:r>
    </w:p>
    <w:p>
      <w:pPr>
        <w:pStyle w:val="TextBody"/>
        <w:bidi w:val="0"/>
        <w:spacing w:before="240" w:after="0"/>
        <w:jc w:val="left"/>
        <w:rPr>
          <w:rFonts w:ascii="Times New Roman" w:hAnsi="Times New Roman"/>
          <w:sz w:val="20"/>
        </w:rPr>
      </w:pPr>
      <w:r>
        <w:rPr>
          <w:rFonts w:ascii="Times New Roman" w:hAnsi="Times New Roman"/>
          <w:sz w:val="20"/>
        </w:rPr>
        <w:t xml:space="preserve">If the other conditions described in the last bullet point above are met, the collateral will be automatically released, and we and the secured guarantors will not be required to pledge the collateral for the benefit of the noteholders if the rating of the notes by either rating agency is later downgraded below investment grade, even though we would be required to pledge the collateral for the benefit of the lenders under the credit agreement. If such a circumstance were to occur, the notes would be subordinated to the borrowings under the credit agreement, and any other first lien obligations and junior lien obligations under which the lien on the collateral is not released, to the extent of the value of that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governing the notes also permit us to designate one or more of our restricted subsidiaries that is a subsidiary guarantor of the notes as an unrestricted subsidiary. If we designate a subsidiary guarantor as an unrestricted subsidiary for purposes of the indenture, all of the liens on any collateral owned by such subsidiary or any of its subsidiaries and any guarantees of the notes by such subsidiary or any of its subsidiaries will be released under the indenture governing the notes but not necessarily under our credit agreement. Designation of an unrestricted subsidiary will reduce the aggregate value of the collateral securing the notes to the extent that liens on the assets of the unrestricted subsidiary and its subsidiaries are released. In addition, the creditors of the unrestricted subsidiary and its subsidiaries will have a senior claim on the assets of such unrestricted subsidiary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 most cases have control over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security documents generally allow us and the secured guarantors to remain in possession of, to retain exclusive control over, to freely operate, and to collect, invest and dispose of any income from, the collateral. These rights may adversely affect the value of the collateral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our bankruptcy, the ability of the holders of the notes to realize upon the collateral will be subject to certain bankruptcy law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holders of the notes to realize upon the collateral will be subject to certain bankruptcy law limitations in the event of our bankruptcy. Under applicable federal bankruptcy laws, upon the commencement of a bankruptcy case, an automatic stay goes into effect that, among other things, stays: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or continuation of any action or proceeding against the debtor that was or could have been commenced before the commencement of the bankruptcy case to recover a claim against the debtor that arose before the commencement of the bankruptcy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obtain possession of, or control over, property of the bankruptcy estate or the debtor;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create, perfect or enforce any lien against property of the bankruptcy estate;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to collect or recover a claim against the debtor that arose before the commencement of the bankruptcy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Thus, upon the commencement of a bankruptcy case, secured creditors are prohibited from repossessing their collateral from a debtor, or from disposing of that collateral repossessed from such a debtor, without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approval. Moreover, applicable federal bankruptcy laws generally permit the debtor to continue to use, sell or lease collateral in the ordinary course of its business even though the debtor is in default under the applicable debt instalments. Upon request from a secured creditor, the bankruptcy court will prohibit or condition the use, sale or lease of collateral as is necessary to provide “adequate protection” of the secured creditor’s interest in the collateral. The meaning of the term “adequate protection” may vary according to the circumstances but is intended generally to protect the value of the secured creditor’s interest in the collateral at the commencement of the bankruptcy case and may include cash payments or the granting of additional security, if and at such times as the court in its discretion determines any diminution in the value of the collateral occurs as a result of the debtor’s use, sale or lease of the collateral during the pendency of the bankruptcy case. In view of the lack of a precise definition of the term “adequate protection” and the broad discretionary powers of a U.S. bankruptcy court, we cannot predict whether payments under the notes would be made following commencement of and during a bankruptcy case, whether or when the trustee or collateral agent under the indenture could foreclose upon or sell the collateral or whether or to what extent holders of notes would be compensated for any delay in payment or loss of value as a result of the use, sale or lease of their collateral through the requirement of “adequate protection.” A creditor may seek relief from the stay from the bankruptcy court to take any of the acts described above that would otherwise be prohibited by the automatic stay. The U.S. bankruptcy court has broad discretionary powers in determining whether to grant a creditor relief from the stay.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future pledge of collateral in favor of the holders of notes might be voidable in bankruptcy. </w:t>
      </w:r>
    </w:p>
    <w:p>
      <w:pPr>
        <w:pStyle w:val="TextBody"/>
        <w:bidi w:val="0"/>
        <w:spacing w:before="120" w:after="0"/>
        <w:jc w:val="left"/>
        <w:rPr>
          <w:rFonts w:ascii="Times New Roman" w:hAnsi="Times New Roman"/>
          <w:sz w:val="20"/>
        </w:rPr>
      </w:pPr>
      <w:r>
        <w:rPr>
          <w:rFonts w:ascii="Times New Roman" w:hAnsi="Times New Roman"/>
          <w:sz w:val="20"/>
        </w:rPr>
        <w:t xml:space="preserve">Any future pledge of collateral in favor of the holders of notes, including pursuant to the security documents delivered after the date of the indenture governing the notes, might be voidable by the pledgor (as debtor in possession) or by its trustee in bankruptcy if certain events or circumstances exist or occur, including, under the bankruptcy code, if the pledgor is insolvent at the time of the pledge, the pledge permits the holders of notes to receive a greater recovery than if the pledge had not been given and a bankruptcy proceeding in respect of the pledgor is commenced within 90 days following the pledge, or, in certain circumstances, a longer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value of the collateral securing the notes may not be sufficient to secure post-petition interest.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bankruptcy, liquidation, dissolution, reorganization or similar proceeding against us, holders of the notes will only be entitled to post-petition interest under the bankruptcy code to the extent that the value of their security interest in the collateral is greater than their pre-bankruptcy claim. Holders of the notes that have a security interest in the collateral with a value equal to or less than their pre-bankruptcy claim will not be entitled to post-petition interest under the bankruptcy code. No appraisal of the fair market value of the collateral has been prepared in connection with this offering, and the value of the holders’ interest in the collateral may not equal or exceed the principal amount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Lien searches may not reveal all liens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We cannot guarantee that the lien searches on the collateral that will secure the notes will reveal any or all existing liens on such collateral. Any such existing liens, including undiscovered liens, could be significant, could be prior in ranking to the liens securing the notes and could have an adverse effect on the ability of the collateral agent to realize or foreclose upon the collateral securing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but not be able to, repurchase the notes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governing the notes, if the notes have ceased to have investment grade ratings from one or both of Moody’s and S&amp;P (including as a result of entering into an agreement that would result in specific kinds of changes of control), then we will be required to offer to repurchase the notes, as described in “Description of the notes.” Because the notes are expected to have investment grade ratings from both rating agencies as of the issue date of the notes, this covenant will initially be suspended and will not apply unless the notes are later downgraded below investment grade by one or both of the rating agencies or we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an agreement to undertake a transaction that would result in a specified kind of change of control and one or both of the rating agencies indicates that the transaction, if consummated, would cause such agency to downgrade the rating of the notes below an investment grade rating. If the covenant then applies, we will be required to offer to repurchase all outstanding notes at 101% of their principal amount, plus accrued and unpaid interest to the purchase date. Additionally, under the credit agreement, a change of control (as defined therein) constitutes an event of default that permits the lenders to accelerate the maturity of borrowings under the respective agreements and terminate their commitments to lend. The source of funds for any purchase of the notes and repayment of borrowings under our credit agreement would be our available cash or cash generated from our subsidiaries’ operations or other sources, including borrowings, sales of assets or sales of equity. We may not be able to repurchase the notes upon a change of control because we may not have sufficient financial resources to purchase all of the debt securities that are tendered upon a change of control and repay our other indebtedness that will become due. If we fail to repurchase the notes in that circumstance, we will be in default under the indenture. We may require additional financing from third parties to fund any such purchases, and we may be unable to obtain financing on satisfactory terms or at all. Further, our ability to repurchase the notes may be limited by law. In order to avoid the obligations to repurchase the notes and events of default and potential breaches of the credit agreement, we may have to avoid certain change of control transactions that would otherwise be beneficial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some important corporate events, such as leveraged recapitalizations, may not, under the indenture, constitute a “change of control” that would require us to repurchase the notes, even though those corporate events could increase the level of our indebtedness or otherwise adversely affect our capital structure, credit ratings or the value of the notes. See “—Repurchase at the option of holders—Change of control” in the “Description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by the holders of notes of their right to require us to repurchase the notes pursuant to a change of control offer could cause a default under the agreements governing our other indebtedness, including future agreements, even if the change of control itself does not, due to the financial effect of such repurchases on us. In the event a change of control offer is required to be made at a time when we are prohibited from purchasing notes, we could attempt to refinance the borrowings that contain such prohibitions. If we do not obtain a consent or repay those borrowings, we will remain prohibited from purchasing notes. In that case, our failure to purchase tendered notes would constitute an event of default under the indenture which could, in turn, constitute a default under our other indebtedness. Further, our ability to pay cash to the holders of notes upon a repurchase may be limited by our then existing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not be able to determine when a change of control giving rise to their right to have the notes repurchased has occurred following a sale of “substantially all” of our assets, if that covenant is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The definition of change of control in the indenture governing the notes includes a phrase relating to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if the covenant is then applicable, to repurchase its notes as a result of a sale of less than all our assets to another person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and state fraudulent transfer laws may permit a court to void the notes, guarantees and/or the grant of collateral, and if that occurs, you may not receive any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Federal and state fraudulent transfer and conveyance statutes may apply to the issuance of the notes and the incurrence of the guarantees of the notes. Under federal bankruptcy law and comparable provisions of state fraudulent transfer or conveyance laws, which may vary from state to state, the notes or the guarantees thereof (or the grant of collateral securing any such obligations) could be voided as a fraudulent transfer or conveyance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or any of the subsidiary guarantors, as applicable, (a) issued the notes or incurred the guarantees with the intent of hindering, delaying or defrauding creditors or (b) received less than reasonably equivalent value or fair consideration in return for either issuing the notes or incurring the guarantees and, in the case of (b) only, one of the following is also true at the time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as applicable, were insolvent or rendered insolvent by reason of the issuance of the notes or the incurrence of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the notes or the incurrence of the guarantees left us or any of the subsidiary guarantors, as applicable, with an unreasonably small amount of capital or assets to carry on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intended to, or believed that we or such guarantor would, incur debts beyond our or the subsidiary guarantor’s ability to pay as they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the subsidiary guarantors were a defendant in an action for money damages, or had a judgment for money damages docketed against us or the subsidiary guarantor if, in either case, the judgment is unsatisfied after final judgment.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general matter, value is given for a transfer or an obligation if, in exchange for the transfer or obligation, property is transferred or a valid antecedent debt is secured or satisfied. A court would likely find that a subsidiary guarantor did not receive reasonably equivalent value or fair consideration for its guarantee to the extent the subsidiary guarantor did not obtain a reasonably equivalent benefit directly or indirectly from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as to the standards a court would use to determine whether or not we or the subsidiary guarantors were insolvent at the relevant time or, regardless of the standard that a court uses, whether the notes or the guarantees would be subordinated to our or any of our guarantors’ other debt. In general, however, a court would deem an entity insolvent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its debts, including contingent and unliquidated liabilities, was greater than the fair saleable value of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fair saleable value of its assets was less than the amount that would be required to pay its probable liability on its existing debts, including contingent liabilities, as they become absolute and mature;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could not pay its debts as they became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court were to find that the issuance of the notes or the incurrence of a guarantee or the grant of security was a fraudulent transfer or conveyance, the court could void the payment obligations under the notes or that guarantee, void the grant of collateral, subordinate the notes or that guarantee to presently existing and future indebtedness of ours or of the related guarantor or could require the holders of the notes to repay any amounts received with respect to that guarantee. In the event of a finding that a fraudulent transfer or conveyance occurred, you may not receive any repayment on the notes. Further, the avoidance of the notes could result in an event of default with respect to our and our subsidiaries’ other debt that could result in acceleration of that debt. </w:t>
      </w:r>
    </w:p>
    <w:p>
      <w:pPr>
        <w:pStyle w:val="TextBody"/>
        <w:bidi w:val="0"/>
        <w:spacing w:before="240" w:after="0"/>
        <w:jc w:val="left"/>
        <w:rPr>
          <w:rFonts w:ascii="Times New Roman" w:hAnsi="Times New Roman"/>
          <w:sz w:val="20"/>
        </w:rPr>
      </w:pPr>
      <w:r>
        <w:rPr>
          <w:rFonts w:ascii="Times New Roman" w:hAnsi="Times New Roman"/>
          <w:sz w:val="20"/>
        </w:rPr>
        <w:t xml:space="preserve">Finally, as a court of equity, the bankruptcy court may subordinate the claims in respect of the notes to other claims against us under the principle of equitable subordination if the court determines that (1) the holder of notes engaged in some type of inequitable conduct, (2) the inequitable conduct resulted in injury to our other creditors or conferred an unfair advantage upon the holders of notes and (3) equitable subordination is not inconsistent with the provisions of the bankruptcy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Ratings of the notes may not reflect all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rated at time of original issue by at least two nationally recognized statistical rating organizations. The ratings of our notes will primarily reflect our perceived financial strength and will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the rating of our financial strength. Any rating is not a recommendation to purchase, sell or hold any particular security, including the notes. These ratings do not comment as to market price or suitability for a particular investor. In addition, ratings at any time may be lowered or withdrawn in their entirety. The ratings of the notes may not reflect the potential impact of all risks related to structure and other factors on any trading market for, or trading values of, your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lowering or withdrawal of the ratings assigned to our debt securities by rating agencies may increase our future borrowing costs and reduce our access to capital. </w:t>
      </w:r>
    </w:p>
    <w:p>
      <w:pPr>
        <w:pStyle w:val="TextBody"/>
        <w:bidi w:val="0"/>
        <w:spacing w:before="120" w:after="0"/>
        <w:jc w:val="left"/>
        <w:rPr>
          <w:rFonts w:ascii="Times New Roman" w:hAnsi="Times New Roman"/>
          <w:sz w:val="20"/>
        </w:rPr>
      </w:pPr>
      <w:r>
        <w:rPr>
          <w:rFonts w:ascii="Times New Roman" w:hAnsi="Times New Roman"/>
          <w:sz w:val="20"/>
        </w:rPr>
        <w:t xml:space="preserve">Any rating assigned to our debt could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notes. Credit ratings are not recommendations to purchase, hold or sell the notes. Additionally, credit ratings may not reflect the potential effect of risks relating to the structure or marketing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Any future lowering of our ratings likely would make it more difficult or more expensive for us to obtain additional debt financing. If any credit rating initially assigned to the notes is subsequently lowered or withdrawn for any reason, you may not be able to resell your notes without a substantial discount.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no public trading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and the time remaining to maturity of your notes. We have not applied and do not intend to apply for listing the notes on any securities exchange or any automated quotation system. If an active market for the notes fails to develop or be sustained, the trading price and liquidity of the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rates could result in a decrease in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notes bearing interest at a fixed rate generally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01514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offering of the notes, after deducting the underwriters’ discount and the estimated offering expenses, will be approximately $    billion.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this offering to repay (i) the $700 million aggregate principal amount of our Existing 2026 Notes maturing on September 1, 2026, and (ii) amounts outstanding under our current revolving credit facility, which aggregated $225 million as of June 30, 2026, and which will subsequently be used to pay a portion of the purchase price for Talkspace, and for general corporate purposes. Until we use the proceeds of this offering to repay the Existing 2026 Notes at maturity, we will invest any proceeds not used to repay amounts outstanding under the revolving credit facility in short-term interest-bearing investments.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Bank, N.A. acts as administrative agent and collateral agent under the senior secured credit facility, and affiliates of certain of the underwriters are lenders under the revolving credit facility and will receive a portion of the proceeds from the Transactions. Additionally, certain of the underwriters and/or their respective affiliates may hold some of the Existing 2026 Notes and may receive a portion of the proceeds from Transactions as a result.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01514_9"/>
      <w:bookmarkEnd w:id="11"/>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our capitalization as of June 30, 2026 on an actual basis, and on an as adjusted basis to give effect to the Transactions and the application of the net proceeds as described under “Use of proceeds,” including the offering of the notes and the use of the net proceeds of this offering to repay at maturity our Existing 2026 Notes and amounts outstanding under our current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Transactions as if each had occurred on June 30, 2026.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81"/>
        <w:gridCol w:w="359"/>
        <w:gridCol w:w="152"/>
        <w:gridCol w:w="1206"/>
        <w:gridCol w:w="162"/>
        <w:gridCol w:w="359"/>
        <w:gridCol w:w="181"/>
        <w:gridCol w:w="1108"/>
        <w:gridCol w:w="64"/>
      </w:tblGrid>
      <w:tr>
        <w:trPr/>
        <w:tc>
          <w:tcPr>
            <w:tcW w:w="4981"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4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(Dollars in thousands)</w:t>
            </w:r>
          </w:p>
        </w:tc>
        <w:tc>
          <w:tcPr>
            <w:tcW w:w="35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138,800</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8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Total debt (including current maturities):</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secured credit facility (1):</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225,000</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Tranche A term loan facility, net</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1,447,500</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1.65% Senior Secured Notes due 2026, net of unamortized discount</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699,975</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4.625% Senior Secured Notes due 2029, net of unamortized discount</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499,861</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2.65% Senior Secured Notes due 2030, net of unamortized discount</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799,047</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2.65% Senior Secured Notes due 2032, net of unamortized discount</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499,331</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5.050% Senior Secured Notes due 2034, net of unamortized discount</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498,703</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pPr>
            <w:r>
              <w:rPr/>
              <w:t>  </w:t>
            </w:r>
            <w:r>
              <w:rPr>
                <w:rFonts w:ascii="Times New Roman" w:hAnsi="Times New Roman"/>
                <w:sz w:val="20"/>
              </w:rPr>
              <w:t>% Senior Secured Notes due 20   offered hereby</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pPr>
            <w:r>
              <w:rPr/>
              <w:t>  </w:t>
            </w:r>
            <w:r>
              <w:rPr>
                <w:rFonts w:ascii="Times New Roman" w:hAnsi="Times New Roman"/>
                <w:sz w:val="20"/>
              </w:rPr>
              <w:t>% Senior Secured Notes due 20   offered hereby</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Other existing debt</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197,052</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financing costs, net</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(14,622</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4,851,847</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common stockholders’ equity</w:t>
            </w:r>
          </w:p>
        </w:tc>
        <w:tc>
          <w:tcPr>
            <w:tcW w:w="3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7,513,812</w:t>
            </w:r>
          </w:p>
        </w:tc>
        <w:tc>
          <w:tcPr>
            <w:tcW w:w="162"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8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81"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12,365,659</w:t>
            </w:r>
          </w:p>
        </w:tc>
        <w:tc>
          <w:tcPr>
            <w:tcW w:w="162"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8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our senior secured credit facility consisted of (i) a $1.5 billion aggregate amount revolving credit facility that is scheduled to mature in August 2026 (which, as of June 30, 2026, had $1.272 billion of aggregate available borrowing capacity, net of $225 million of outstanding borrowings and $3 million of letters of credit), (ii) a tranche term loan A with $1.448 billion of outstanding borrowings as of June 30, 2026, and (iii) a $400 million delayed draw term loan A, which had no borrowings outstanding as of June 30, 2026, that is expected to be drawn upon the closing of our acquisition of Talkspace (expected to be consummated during the third quarter of 2026). In addition, on July 20, 2026, we entered into the Twelfth Amendment to our senior secured credit facility to add a new incremental delayed draw short term loan of up to $700 million. As of the date of this prospectus supplement, we had no outstanding borrowings under this delayed draw short term loan. The $700 million delayed draw short term loan commitment added by the Twelfth Amendment will terminate on September 30, 2026 if not drawn by such date, and we do not intend to draw on such commitment if this offering is consummated. See “Description of other indebtedness—Credit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01514_10"/>
      <w:bookmarkEnd w:id="12"/>
      <w:r>
        <w:rPr>
          <w:rFonts w:ascii="Times New Roman" w:hAnsi="Times New Roman"/>
          <w:b/>
          <w:sz w:val="20"/>
        </w:rPr>
        <w:t xml:space="preserve">Description of other indebtedness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some important terms of some of our indebtedness is not complete and does not contain all the information that is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In April 2026, we entered into the Eleventh Amendment and Increased Facility Activation Notice (the “Eleventh Amendment”) to our credit agreement (the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 The Eleventh Amendment, among other things, increased our borrowing capacity by an aggregate of $900 million as follows: (i) increased the borrowing capacity of the revolving credit facility by $200 million to $1.5 billion (from $1.3 billion previously); (ii) increased the existing term loan A by $300 million to $1.455 billion ($1.448 billion outstanding as of June 30, 2026) from $1.155 billion previously; and (iii) initiated a new $400 million delayed draw term loan A which is expected to be drawn upon the closing of our acquisition of Talkspace (expected to be consummated during the third quarter of 2026). The maturity date for our credit agreement is September 26, 2029.</w:t>
      </w:r>
    </w:p>
    <w:p>
      <w:pPr>
        <w:pStyle w:val="TextBody"/>
        <w:bidi w:val="0"/>
        <w:spacing w:before="240" w:after="0"/>
        <w:jc w:val="left"/>
        <w:rPr>
          <w:rFonts w:ascii="Times New Roman" w:hAnsi="Times New Roman"/>
          <w:sz w:val="20"/>
        </w:rPr>
      </w:pPr>
      <w:r>
        <w:rPr>
          <w:rFonts w:ascii="Times New Roman" w:hAnsi="Times New Roman"/>
          <w:sz w:val="20"/>
        </w:rPr>
        <w:t xml:space="preserve">In July 2026, we entered into the Twelfth Amendment to our credit agreement, which added a new $700 million delayed draw short term loan which, if we elect to utilize, would be funded on or prior to September 30, 2026, with a maturity date 364 days after the initial funding. Potential future borrowings pursuant to this facility would be used for general corporate purposes, including, should we elect, repayment at maturity of our $700 million principal amount of the Existing 2026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$1.272 billion of available borrowing capacity pursuant to the terms of our $1.5 billion revolving credit facility (net of $225 million of outstanding borrowings and $3 million of letters of credit) and $400 million of borrowing capacity pursuant to the terms of the delayed draw term loan A facility (expected to be drawn upon closing of our acquisition of Talkspace).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terms of the Eleventh Amendment, the term loan A, which had an outstanding balance of $1.448 billion as of June 30, 2026, provides for aggregate installment payments of $9.4 million on September 30, 2026, $16.9 million per quarter commencing on December 31, 2026 through June 30, 2028, and $18.8 million per quarter commencing on September 30, 2028 through June 30, 2029. The unpaid principal balance at June 30, 2029 (scheduled to be $1.245 billion) is payable on September 26, 2029 (maturity date of the credit agreement). Once drawn, the principal balance on the $400 million delayed draw term loan A facility (as provided for by the Eleventh Amendment) will be payable on the September 26, 2029 maturity date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Revolving credit and existing term loan A borrowings under the credit agreement, after giving effect to the Eleventh Amendment,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1.0%, in each case, plus an applicable margin based upon our consolidated leverage ratio at the end of each quarter ranging from 0.25% to 0.625%, or (2) the one, three or six month term SOFR rate (at our election), plus an applicable margin based upon our consolidated leverage ratio at the end of each quarter ranging from 1.25% to 1.625%. As of June 30, 2026,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wholly-owned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 The Twelfth Amendment did not modify any of the foregoing terms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June 30, 2026 and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Existing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combined aggregate principal of $3.0 billion from the following senior secured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$700 million of aggregate principal amount of 1.65% senior secured notes due in September, 2026 (the “Existing 2026 Notes”) which were issued on August 24, 2021. Interest on the Existing 2026 Notes is payable on March 1st and September 1st until the maturity date of September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4.625% senior secured notes due in October, 2029 (the “Existing 2029 Notes”) which were issued on September 26, 2024. Interest on the Existing 2029 Notes is payable on April 15th and October 15th, commencing April 15, 2025 until the maturity date of October 15,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 million of aggregate principal amount of 2.65% senior secured notes due in October, 2030 (the “Existing 2030 Notes”) which were issued on September 21, 2020. Interest on the Existing 2030 Notes is payable on April 15th and October 15th, until the maturity date of October 15, 2030.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2.65% senior secured notes due in January, 2032 (the “Existing 2032 Notes”) which were issued on August 24, 2021. Interest on the Existing 2032 Notes is payable on January 15th and July 15th until the maturity date of January 15,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 million of aggregate principal amount of 5.050% senior secured notes due in October, 2034 (the “Existing 2034 Notes”) which were issued on September 26, 2024. Interest on the Existing 2034 Notes is payable on April 15th and October 15th, commencing on April 15, 2025 until the maturity date of October 15, 2034.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Existing 2026 Notes, the Existing 2029 Notes, the Existing 2030 Notes, the Existing 2032 Notes and the Existing 2034 Notes (collectively, the “Existing Notes”) are guaranteed (the “Existing Guarantees”) on a senior secured basis by all of our existing and future direct and indirect subsidiaries that guarantee our credit agreement, other first lien obligations, or any junior lien obligations (the “Existing Subsidiary Guarantors”). The Existing Notes and the Existing Guarantees are secured by first-priority liens, subject to permitted liens, on certain of the Company’s and the Existing Subsidiary Guarantors’ assets now owned or acquired in the future by the Company or the Existing Subsidiary Guarantors (other than real property, accounts receivable sold pursuant to a Company-related receivables facility (as defined in the indentures pursuant to which the Existing Notes were issued (the “Existing Indentures”)), and certain other excluded assets). The Company’s obligations with respect to the Existing Notes, the obligations of the Existing Subsidiary Guarantors under the Existing Guarantees, and the performance of all of the Company’s and the Existing Subsidiary Guarantors’ other obligations under the Existing Indentures, are secured equally and ratably with the Company’s and the Existing Subsidiary Guarantors’ obligations under the credit agreement. However, the liens on the collateral securing the Existing Notes and the Existing Guarantees will be released if: (i) the Existing Notes have investment grade ratings; (ii) no default has occurred and is continuing; and (iii) the liens on the collateral securing all first lien obligations (including the credit agreement and the Existing Notes) and any junior lien obligations are released or the collateral under the credit agreement, any other first lien obligations and any junior lien obligations is released or no longer required to be pledged. The liens on any collateral securing the Existing Notes and the Existing Guarantees will also be released if the liens on that collateral securing the credit agreement, other first lien obligations and any junior lien obligations are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Other UHS debt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indebtedness described above, we had approximately $197 million of other indebtedness as of June 30, 2026 that we expect to remain outstanding following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01514_11"/>
      <w:bookmarkEnd w:id="13"/>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This is a description of the particular terms of the   % Senior Secured Notes due 20 (the “</w:t>
      </w:r>
      <w:r>
        <w:rPr>
          <w:rFonts w:ascii="Times New Roman" w:hAnsi="Times New Roman"/>
          <w:i/>
          <w:sz w:val="20"/>
        </w:rPr>
        <w:t>20</w:t>
      </w:r>
      <w:r>
        <w:rPr>
          <w:rFonts w:ascii="Times New Roman" w:hAnsi="Times New Roman"/>
          <w:sz w:val="20"/>
        </w:rPr>
        <w:t>  </w:t>
      </w:r>
      <w:r>
        <w:rPr>
          <w:rFonts w:ascii="Times New Roman" w:hAnsi="Times New Roman"/>
          <w:i/>
          <w:sz w:val="20"/>
        </w:rPr>
        <w:t>N</w:t>
      </w:r>
      <w:r>
        <w:rPr>
          <w:rFonts w:ascii="Times New Roman" w:hAnsi="Times New Roman"/>
          <w:sz w:val="20"/>
        </w:rPr>
        <w:t>otes”) and the   % Senior Secured Notes due 20   (the “</w:t>
      </w:r>
      <w:r>
        <w:rPr>
          <w:rFonts w:ascii="Times New Roman" w:hAnsi="Times New Roman"/>
          <w:i/>
          <w:sz w:val="20"/>
        </w:rPr>
        <w:t>20</w:t>
      </w:r>
      <w:r>
        <w:rPr>
          <w:rFonts w:ascii="Times New Roman" w:hAnsi="Times New Roman"/>
          <w:sz w:val="20"/>
        </w:rPr>
        <w:t xml:space="preserve">   </w:t>
      </w:r>
      <w:r>
        <w:rPr>
          <w:rFonts w:ascii="Times New Roman" w:hAnsi="Times New Roman"/>
          <w:i/>
          <w:sz w:val="20"/>
        </w:rPr>
        <w:t>Notes</w:t>
      </w:r>
      <w:r>
        <w:rPr>
          <w:rFonts w:ascii="Times New Roman" w:hAnsi="Times New Roman"/>
          <w:sz w:val="20"/>
        </w:rPr>
        <w:t>” and, together with the 20   Notes, the “</w:t>
      </w:r>
      <w:r>
        <w:rPr>
          <w:rFonts w:ascii="Times New Roman" w:hAnsi="Times New Roman"/>
          <w:i/>
          <w:sz w:val="20"/>
        </w:rPr>
        <w:t>Notes</w:t>
      </w:r>
      <w:r>
        <w:rPr>
          <w:rFonts w:ascii="Times New Roman" w:hAnsi="Times New Roman"/>
          <w:sz w:val="20"/>
        </w:rPr>
        <w:t>”). In this description of the notes, all references to “</w:t>
      </w:r>
      <w:r>
        <w:rPr>
          <w:rFonts w:ascii="Times New Roman" w:hAnsi="Times New Roman"/>
          <w:i/>
          <w:sz w:val="20"/>
        </w:rPr>
        <w:t>we</w:t>
      </w:r>
      <w:r>
        <w:rPr>
          <w:rFonts w:ascii="Times New Roman" w:hAnsi="Times New Roman"/>
          <w:sz w:val="20"/>
        </w:rPr>
        <w:t>,” “</w:t>
      </w:r>
      <w:r>
        <w:rPr>
          <w:rFonts w:ascii="Times New Roman" w:hAnsi="Times New Roman"/>
          <w:i/>
          <w:sz w:val="20"/>
        </w:rPr>
        <w:t>us</w:t>
      </w:r>
      <w:r>
        <w:rPr>
          <w:rFonts w:ascii="Times New Roman" w:hAnsi="Times New Roman"/>
          <w:sz w:val="20"/>
        </w:rPr>
        <w:t>” or “</w:t>
      </w:r>
      <w:r>
        <w:rPr>
          <w:rFonts w:ascii="Times New Roman" w:hAnsi="Times New Roman"/>
          <w:i/>
          <w:sz w:val="20"/>
        </w:rPr>
        <w:t>our</w:t>
      </w:r>
      <w:r>
        <w:rPr>
          <w:rFonts w:ascii="Times New Roman" w:hAnsi="Times New Roman"/>
          <w:sz w:val="20"/>
        </w:rPr>
        <w:t>” and the “</w:t>
      </w:r>
      <w:r>
        <w:rPr>
          <w:rFonts w:ascii="Times New Roman" w:hAnsi="Times New Roman"/>
          <w:i/>
          <w:sz w:val="20"/>
        </w:rPr>
        <w:t>Company</w:t>
      </w:r>
      <w:r>
        <w:rPr>
          <w:rFonts w:ascii="Times New Roman" w:hAnsi="Times New Roman"/>
          <w:sz w:val="20"/>
        </w:rPr>
        <w:t>” are to Universal Health Services, Inc. only (the “</w:t>
      </w:r>
      <w:r>
        <w:rPr>
          <w:rFonts w:ascii="Times New Roman" w:hAnsi="Times New Roman"/>
          <w:i/>
          <w:sz w:val="20"/>
        </w:rPr>
        <w:t>Issuer</w:t>
      </w:r>
      <w:r>
        <w:rPr>
          <w:rFonts w:ascii="Times New Roman" w:hAnsi="Times New Roman"/>
          <w:sz w:val="20"/>
        </w:rPr>
        <w:t>”) and not to any of its Subsidiaries. Although for convenience the 20   Notes and the 20   Notes are referred to as the “</w:t>
      </w:r>
      <w:r>
        <w:rPr>
          <w:rFonts w:ascii="Times New Roman" w:hAnsi="Times New Roman"/>
          <w:i/>
          <w:sz w:val="20"/>
        </w:rPr>
        <w:t>Notes</w:t>
      </w:r>
      <w:r>
        <w:rPr>
          <w:rFonts w:ascii="Times New Roman" w:hAnsi="Times New Roman"/>
          <w:sz w:val="20"/>
        </w:rPr>
        <w:t xml:space="preserve">,” each will be issued as a separate series and will not together have any class voting rights. Accordingly, for purposes of this description of the notes, unless the context otherwise requires, references to the “Notes” shall be deemed to refer to each series of Notes separately, and not to the 20   Notes and the 20   Notes on a combined basis. </w:t>
      </w:r>
    </w:p>
    <w:p>
      <w:pPr>
        <w:pStyle w:val="TextBody"/>
        <w:bidi w:val="0"/>
        <w:spacing w:before="240" w:after="0"/>
        <w:jc w:val="left"/>
        <w:rPr>
          <w:rFonts w:ascii="Times New Roman" w:hAnsi="Times New Roman"/>
          <w:sz w:val="20"/>
        </w:rPr>
      </w:pPr>
      <w:r>
        <w:rPr>
          <w:rFonts w:ascii="Times New Roman" w:hAnsi="Times New Roman"/>
          <w:sz w:val="20"/>
        </w:rPr>
        <w:t>The Issuer will issue the Notes under an indenture, dated as of September 26, 2024, among the Issuer, the Guarantors, U.S. Bank Trust Company, National Association, as trustee (the “</w:t>
      </w:r>
      <w:r>
        <w:rPr>
          <w:rFonts w:ascii="Times New Roman" w:hAnsi="Times New Roman"/>
          <w:i/>
          <w:sz w:val="20"/>
        </w:rPr>
        <w:t>Trustee</w:t>
      </w:r>
      <w:r>
        <w:rPr>
          <w:rFonts w:ascii="Times New Roman" w:hAnsi="Times New Roman"/>
          <w:sz w:val="20"/>
        </w:rPr>
        <w:t>”), and JPMorgan Chase Bank, N.A., as collateral agent, as supplemented by the second supplemental indenture, dated as of April 22, 2026, and the third supplemental indenture, to be dated as of   , 2026 (collectively, the “</w:t>
      </w:r>
      <w:r>
        <w:rPr>
          <w:rFonts w:ascii="Times New Roman" w:hAnsi="Times New Roman"/>
          <w:i/>
          <w:sz w:val="20"/>
        </w:rPr>
        <w:t>Indenture</w:t>
      </w:r>
      <w:r>
        <w:rPr>
          <w:rFonts w:ascii="Times New Roman" w:hAnsi="Times New Roman"/>
          <w:sz w:val="20"/>
        </w:rPr>
        <w:t>”). The Indenture will set forth the specific terms applicable to the Notes. This description is intended to be an overview of the material provisions of the Notes and the Indenture. This summary is not complete and is qualified in its entirety by reference to the Indenture. You should carefully read the summary below. The terms of the Notes include those stated in the Indenture and those made part of the Indenture by reference to the Trust Indenture Act of 1939, as amended (the “</w:t>
      </w:r>
      <w:r>
        <w:rPr>
          <w:rFonts w:ascii="Times New Roman" w:hAnsi="Times New Roman"/>
          <w:i/>
          <w:sz w:val="20"/>
        </w:rPr>
        <w:t>Trust Indenture Act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general senior secured obligations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secured on a first-priority basis, subject to Permitted Liens, by the Collateral subject to a shared Lien of equal priority with the existing and future First Lien Obligations, including the Senior Credit Facility Obligations, the Existing 2026 Notes, the Existing 2029 Notes, the Existing 2030 Notes, the Existing 2032 Notes and the Existing 2034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structurally subordinated to any existing and future Indebtedness and liabilities of non-guarantor Subsidiaries, including the Issuer’s Foreign Subsidiaries and any Unrestricted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effectively subordinated to any existing and future Indebtedness of the Issuer and the Guarantors that is secured by assets that do not constitute Collateral to the extent of the value of such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in right of payment with all existing and future senior Indebtedness of the Issuer and the Guarantors but, to the extent of the value of the Collateral, will be effectively senior to all of the Issuer’s and the Guarantors’ unsecured senior Indebtedness and any future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senior in right of payment to any future subordinated Indebtedness of the Issuer;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unconditionally guaranteed on a joint and several basis by each Restricted Subsidiary that guarantees the Senior Credit Facility, all of which Guarantors on the Issue Date will be Secured Guarantors.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Guarantors, as primary obligors and not merely as sureties, will jointly and severally fully and unconditionally guarantee, on a senior basis, the performance and full and punctual payment when due, whether at maturity, by acceleration or otherwise, of all obligations of the Issuer under the Indenture and the Notes, whether for payment of principal of, premium, if any, or interest in respect of the Notes, expenses, indemnification or otherwise, on the terms set forth in the Indenture by executing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Restricted Subsidiaries that guarantee the Senior Credit Facility will initially guarantee the Notes. As of the Issue Date, each of the Guarantors will be Secured Guarantors, and each of the Guarantees of such Secured Guarantors will be general senior secured obligations of such Secured Guarantors and will be secured by a first-priority lien, subject to Permitted Liens, on the Collateral. The Guarantees of the Secured Guarantors will rank equally in right of payment with all existing and future senior Indebtedness of the Secured Guarantors but, to the extent of the value of the Collateral, will be effectively senior to all of the Secured Guarantors’ unsecured senior Indebtedness and Junior Lien Obligations. The Guarantees of the Secured Guarantors will also be effectively subordinated to any existing and future Indebtedness of the Secured Guarantors that is secured by assets that do not constitute Collateral to the extent of the value of such assets. In the future, if any Unsecured Guarantor guarantees the Notes as provided in “—Certain covenants—Additional subsidiary guarantees,” the Guarantee of such Unsecured Guarantor will rank equally in right of payment with all existing and future senior Indebtedness of the Unsecured Guarantor, will rank pari passu with all of the Unsecured Guarantor’s unsecured senior Indebtedness and will be effectively subordinated to any secured Indebtedness of such Unsecured Guarantor to the extent of the value of the assets securing such secured Indebtedness. The Guarantees of all the Guarantors will be senior in right of payment to all existing and future subordinated Indebtedness of each Guarantor. The Notes will be structurally subordinated to Indebtedness and other liabilities of Subsidiaries of the Issuer that do not guarantee the Notes. </w:t>
      </w:r>
    </w:p>
    <w:p>
      <w:pPr>
        <w:pStyle w:val="TextBody"/>
        <w:bidi w:val="0"/>
        <w:spacing w:before="240" w:after="0"/>
        <w:jc w:val="left"/>
        <w:rPr>
          <w:rFonts w:ascii="Times New Roman" w:hAnsi="Times New Roman"/>
          <w:sz w:val="20"/>
        </w:rPr>
      </w:pPr>
      <w:r>
        <w:rPr>
          <w:rFonts w:ascii="Times New Roman" w:hAnsi="Times New Roman"/>
          <w:sz w:val="20"/>
        </w:rPr>
        <w:t xml:space="preserve">Not all of the Issuer’s Subsidiaries will Guarantee the Notes. In the event of a bankruptcy, liquidation or reorganization of any of these non-guarantor Subsidiaries, the non-guarantor Subsidiaries will pay the holders of their debt and their trade creditors before they will be able to distribute any of their assets to the Issuer. None of our Subsidiaries that are Foreign Subsidiaries, non-Wholly Owned Subsidiaries or Receivables Subsidiaries will guarantee the Notes. For the year ended December 31, 2025, our Subsidiaries in the United Kingdom, which are non-guarantor Subsidiaries, represented approximately 5.8% of our net revenues, and together with our remaining non-guarantor Subsidiaries represented less than 20.5% of our net revenues. As of June 30, 2026, our Subsidiaries in the United Kingdom, which are non-guarantor Subsidiaries, represented approximately 9.6% of our total assets excluding intercompany assets, and together with our remaining non-guarantor Subsidiaries represented approximately 20.8% of our total assets excluding intercompany assets. As of June 30, 2026, our non-guarantor Subsidiaries had less than $29.8 million of long-term debt.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Guarantor under its Guarantee will be limited as necessary to prevent the Guarantee from constituting a fraudulent conveyance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Any entity that makes a payment under its Guarantee will be entitled upon payment in full of all guaranteed obligations under the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If a Guarantee were rendered voidable, it could be subordinated by a court to all other Indebtedness (including guarantees and other contingent liabilities) of such Guarantor, and, depending on the amount of such Indebtedness, such Guarantor’s liability with respect to its Guarantee could be reduced to zero. See “Risk factors—Risks related to the notes—Federal and state fraudulent transfer laws may permit a court to void the notes, guarantees and/or the grant of collateral, and if that occurs, you may not receive any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Each Guarantee by a Guarantor will provide by its terms that it will be automatically and unconditionally released and discharged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any sale, exchange or transfer (by merger or otherwise) of the Capital Stock of such Guarantor, after which such Guarantor is no longer a Restricted Subsidiary, or all or substantially all the assets of such Guarantor, which sale, exchange or transfer is made in compliance with any applicable provisions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or discharge of the guarantee by such Guarantor of the Senior Credit Facility, any other First Lien Obligations and any Junior Lien Obligations (and if the Guarantor has become a guarantor under any Additional Indebtedness, the release or discharge of the guarantee by such Guarantor of such Additional Indebtedness), including any other guarantee that resulted in the creation of such Guarantee, except (i) a discharge or release by or as a result of payment under such guarantee or (ii) by reason of the termination of the Senior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any Restricted Subsidiary that is a Guarantor as an Unrestricted Subsidiary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by the Issuer of its legal defeasance option or covenant defeasance option as described under “—Defeasance” or the discharge of the Issuer’s and the Guarantors’ obligations under the Indenture in accordance with the terms of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Grade Rating Event, but only (i) to the extent described under “—Release of collateral and guarantees upon investment grade rating event” (which includes the release by the Guarantor of its guarantees of all other First Lien Obligations and Junior Lien Obligations) and (ii) in the case of a Secured Guarantor, if the Liens on the Collateral of such Secured Guarantor securing its Guarantee of the Notes and the Notes Obligations are also released at such time as described under “—Release of collateral and guarantees upon investment grade rating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Guarantor delivering to the Trustee an Officers’ Certificate and an Opinion of Counsel, each stating that all conditions precedent provided for in the Indenture and the Security Documents relating to such transaction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The Issuer is a holding company for its Subsidiaries, with no material operations of its own and only limited assets other than the Capital Stock of its Subsidiaries. Accordingly, the Issuer is dependent upon the distribution of the earnings of its Subsidiaries, whether in the form of dividends, advances or payments on account of intercompany obligations, to service its debt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generally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Issuer with respect to the Notes, the obligations of the Secured Guarantors under their Guarantees, and the performance of all other obligations of the Issuer and the Secured Guarantors under the Indenture will be secured by a perfected first-priority security interest, subject to Permitted Liens, in the Collateral owned by the Issuer and the Secured Guarantors, in each case whether now owned or hereafter acquired subject to a shared Lien of equal priority with the obligations of the Issuer and the Secured Guarantors under the Senior Credit Facility and any other First Lien Obligations. First Lien Secured Parties other than the Holders of the Notes have rights and remedies with respect to the Collateral that, if exercised, could also adversely affect the value of the Collateral on behalf of the Holders of the Notes, particularly the rights described below under “— Intercreditor provisions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consists of certain of the assets of our company and of the Secured Guarantors,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stock of the material domestic Wholly Owned Subsidiaries of the Issuer and the Secured Guarantors and up to 65% of the Voting Stock of the first-tier Foreign Subsidiaries of the Issuer and the Secured Guarantors, except as provided in “—Certain limitations on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except as provided in “—Certain limitations on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intangibles;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investment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Collateral does not include the assets described in “—Certain limitations on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Secured Guarantors are and will be able to incur additional Indebtedness in the future that could share in the Collateral, including Additional First Lien Obligations, Junior Lien Obligations, Obligations secured by Permitted Liens or Mortgages (as applicable). The amount of such additional Obligations will be limited by the covenant described under “—Certain covenants—Limitations on mortgages,” but the covenant is limited in scope and contains a number of exceptions. Under certain circumstances, the amount of any such additional Obligations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responsibility whatsoever to comply with any provision of, nor shall be charged with knowledge of, any document governing Additional First Lien Obligations to which it is not a party. </w:t>
      </w:r>
    </w:p>
    <w:p>
      <w:pPr>
        <w:pStyle w:val="TextBody"/>
        <w:bidi w:val="0"/>
        <w:spacing w:before="360" w:after="0"/>
        <w:jc w:val="left"/>
        <w:rPr>
          <w:rFonts w:ascii="Times New Roman" w:hAnsi="Times New Roman"/>
          <w:b/>
          <w:sz w:val="20"/>
        </w:rPr>
      </w:pPr>
      <w:r>
        <w:rPr>
          <w:rFonts w:ascii="Times New Roman" w:hAnsi="Times New Roman"/>
          <w:b/>
          <w:sz w:val="20"/>
        </w:rPr>
        <w:t xml:space="preserve">After-acquired collateral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Issue Date and prior to the Collateral Release Date, subject to certain limitations and exceptions, if the Issuer or any Secured Guarantor (i) acquires any property or asset that would constitute Collateral or (ii) creates any additional security interest upon any property or asset to secure any First Lien Obligations, it must grant a first-priority perfected security interest (subject to Permitted Liens) upon such property as security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Liens with respect to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Issuer, the Secured Guarantors, the Trustee, the designated agents of each Series of other First Lien Obligations and the First Lien Collateral Agent will enter into Security Documents with respect to the Collateral defining the terms of the security interests that secure the Notes and the Guarantees with respect to such Collateral. On the Issue Date, the Trustee will be authorized by the Holders of Notes to enter into and will enter into the Security Documents with respect to the Collateral. These security interests will secure the payment and performance when due of all of the Obligations of the Issuer and the Secured Guarantors under the Notes, the Indenture, the applicable Guarantees and the Security Documents, as provided in the Security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Intercreditor provisions in the security agreement </w:t>
      </w:r>
    </w:p>
    <w:p>
      <w:pPr>
        <w:pStyle w:val="TextBody"/>
        <w:bidi w:val="0"/>
        <w:spacing w:before="120" w:after="0"/>
        <w:jc w:val="left"/>
        <w:rPr>
          <w:rFonts w:ascii="Times New Roman" w:hAnsi="Times New Roman"/>
          <w:sz w:val="20"/>
        </w:rPr>
      </w:pPr>
      <w:r>
        <w:rPr>
          <w:rFonts w:ascii="Times New Roman" w:hAnsi="Times New Roman"/>
          <w:sz w:val="20"/>
        </w:rPr>
        <w:t>Under the Security Agreement, the Holders of the Notes will be represented by the Trustee, and the holders of each Series of First Lien Obligations will be represented by their designated agent (each, an “</w:t>
      </w:r>
      <w:r>
        <w:rPr>
          <w:rFonts w:ascii="Times New Roman" w:hAnsi="Times New Roman"/>
          <w:i/>
          <w:sz w:val="20"/>
        </w:rPr>
        <w:t>Authorized Representative</w:t>
      </w:r>
      <w:r>
        <w:rPr>
          <w:rFonts w:ascii="Times New Roman" w:hAnsi="Times New Roman"/>
          <w:sz w:val="20"/>
        </w:rPr>
        <w:t xml:space="preserve">”). The First Lien Collateral Agent is initially JPMorgan Chase Bank, N.A., in its capacity of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Security Agreement, the “Applicable Authorized Representative” has the right to direct foreclosures and take other actions with respect to the Common Collateral. No Authorized Representative of any First Lien Obligations secured by the Common Collateral (other than the Applicable Authorized Representative) will instruct the First Lien Collateral Agent to take any action with respect to the Common Collateral. The Applicable Authorized Representative will initially be the administrative agent under the Senior Credit Facility, and the Trustee will have no rights to take any action under the Security Agreement other than as the Applicable Authorized Representative. </w:t>
      </w:r>
    </w:p>
    <w:p>
      <w:pPr>
        <w:pStyle w:val="TextBody"/>
        <w:bidi w:val="0"/>
        <w:spacing w:before="240" w:after="0"/>
        <w:jc w:val="left"/>
        <w:rPr>
          <w:rFonts w:ascii="Times New Roman" w:hAnsi="Times New Roman"/>
          <w:sz w:val="20"/>
        </w:rPr>
      </w:pPr>
      <w:r>
        <w:rPr>
          <w:rFonts w:ascii="Times New Roman" w:hAnsi="Times New Roman"/>
          <w:sz w:val="20"/>
        </w:rPr>
        <w:t>The administrative agent under the Senior Credit Facility will remain the Applicable Authorized Representative until the earlier of (1) the Discharge of Senior Credit Facility Obligations and (2) the Non-Controlling Authorized Representative Enforcement Date (such date, the “</w:t>
      </w:r>
      <w:r>
        <w:rPr>
          <w:rFonts w:ascii="Times New Roman" w:hAnsi="Times New Roman"/>
          <w:i/>
          <w:sz w:val="20"/>
        </w:rPr>
        <w:t>Applicable Authorized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Date</w:t>
      </w:r>
      <w:r>
        <w:rPr>
          <w:rFonts w:ascii="Times New Roman" w:hAnsi="Times New Roman"/>
          <w:sz w:val="20"/>
        </w:rPr>
        <w:t>”). After the Applicable Authorized Agent Date, the Applicable Authorized Representative will be the Authorized Representative of the Series of First Lien Obligations that constitutes the largest outstanding principal amount of any then outstanding Series of First Lien Obligations, other than the Senior Credit Facility Obligations, with respect to the Common Collateral (the “</w:t>
      </w:r>
      <w:r>
        <w:rPr>
          <w:rFonts w:ascii="Times New Roman" w:hAnsi="Times New Roman"/>
          <w:i/>
          <w:sz w:val="20"/>
        </w:rPr>
        <w:t>Major Non-Controlling Authorized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i/>
          <w:sz w:val="20"/>
        </w:rPr>
        <w:t>Non-Controlling Authorized Representative Enforcement Date</w:t>
      </w:r>
      <w:r>
        <w:rPr>
          <w:rFonts w:ascii="Times New Roman" w:hAnsi="Times New Roman"/>
          <w:sz w:val="20"/>
        </w:rPr>
        <w:t xml:space="preserve">” is the date that is 90 days (throughout which 90-day period the applicable Non-Controlling Authorized Representative was the Major Non-Controlling Authorized Representative) after the occurrence of both (a) an event of default, as defined in the Indenture or other applicable agreement for the Series of First Lien Obligations for which such Non-Controlling Authorized Representative is an Authorized Representative, and (b) the First Lien Collateral Agent’s and each other Authorized Representative’s receipt of written notice from that Non-Controlling Authorized Representative certifying that (i) such Non-Controlling Authorized Representative is the Major Non-Controlling Authorized Representative and that an event of default, as defined in the Indenture or other applicable agreement for that Series of First Lien Obligations, has occurred and is continuing and (ii) the First Lien Obligations of that Series are currently due and payable in full (whether as a result of acceleration thereof or otherwise) in accordance with the Indenture or other applicable agreement for that Series of First Lien Obligations; </w:t>
      </w:r>
      <w:r>
        <w:rPr>
          <w:rFonts w:ascii="Times New Roman" w:hAnsi="Times New Roman"/>
          <w:i/>
          <w:sz w:val="20"/>
        </w:rPr>
        <w:t xml:space="preserve">provided </w:t>
      </w:r>
      <w:r>
        <w:rPr>
          <w:rFonts w:ascii="Times New Roman" w:hAnsi="Times New Roman"/>
          <w:sz w:val="20"/>
        </w:rPr>
        <w:t xml:space="preserve">that the Non-Controlling Authorized Representative Enforcement Date shall be stayed and shall not occur and shall be deemed not to have occurred with respect to any Common Collateral (1) at any time the First Lien Collateral Agent has commenced and is diligently pursuing any enforcement action with respect to such Common Collateral or (2) at any time the Issuer or the Secured Guarantor that has granted a security interest in such Common Collateral is then a debtor under or with respect to (or otherwise subject to) any Insolvency or Liquidation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the Applicable Authorized Representative shall have the sole right to instruct the First Lien Collateral Agent to act or refrain from acting with respect to the Common Collateral, the First Lien Collateral Agent shall not follow any instructions with respect to such Common Collateral from any Person (other than the Applicable Authorized Representative), and no Authorized Representative (other than the Applicable Authorized Representative) will instruct the First Lien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Common Collateral.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equal priority of the Liens, the First Lien Collateral Agent, acting on the instructions of the Applicable Authorized Representative, may deal with the Common Collateral as if such Applicable Authorized Representative had a senior Lien on such Common Collateral. No Authorized Representative of any Series of First Lien Obligations (other than the Applicable Authorized Representative) may contest, protest or object to any foreclosure proceeding or action brought by the First Lien Collateral Agent (acting on the instruction of the Applicable Authorized Representative) or the Applicable Authorized Representative with respect to the Common Collateral. </w:t>
      </w:r>
    </w:p>
    <w:p>
      <w:pPr>
        <w:pStyle w:val="TextBody"/>
        <w:bidi w:val="0"/>
        <w:spacing w:before="240" w:after="0"/>
        <w:jc w:val="left"/>
        <w:rPr>
          <w:rFonts w:ascii="Times New Roman" w:hAnsi="Times New Roman"/>
          <w:sz w:val="20"/>
        </w:rPr>
      </w:pPr>
      <w:r>
        <w:rPr>
          <w:rFonts w:ascii="Times New Roman" w:hAnsi="Times New Roman"/>
          <w:sz w:val="20"/>
        </w:rPr>
        <w:t xml:space="preserve">If a First Lien Event of Default has occurred and is continuing and the First Lien Collateral Agent is taking action to enforce rights in respect of any Common Collateral, or any distribution is made with respect to any Common Collateral in any bankruptcy case of the Issuer or any Secured Guarantor, the proceeds of any sale, collection or other liquidation of any such Common Collateral by the First Lien Collateral Agent or any other First Lien Secured Party, as applicable, shall be applied among the First Lien Obligations to the payment in full of the First Lien Obligations on a ratable basis, after payment of all amounts owing to the First Lien Collateral Agent and the Authorized Representatives, in their capacities as such. </w:t>
      </w:r>
    </w:p>
    <w:p>
      <w:pPr>
        <w:pStyle w:val="TextBody"/>
        <w:bidi w:val="0"/>
        <w:spacing w:before="360" w:after="0"/>
        <w:jc w:val="left"/>
        <w:rPr>
          <w:rFonts w:ascii="Times New Roman" w:hAnsi="Times New Roman"/>
          <w:b/>
          <w:sz w:val="20"/>
        </w:rPr>
      </w:pPr>
      <w:r>
        <w:rPr>
          <w:rFonts w:ascii="Times New Roman" w:hAnsi="Times New Roman"/>
          <w:b/>
          <w:sz w:val="20"/>
        </w:rPr>
        <w:t xml:space="preserve">Release of collateral </w:t>
      </w:r>
    </w:p>
    <w:p>
      <w:pPr>
        <w:pStyle w:val="TextBody"/>
        <w:bidi w:val="0"/>
        <w:spacing w:before="120" w:after="0"/>
        <w:jc w:val="left"/>
        <w:rPr>
          <w:rFonts w:ascii="Times New Roman" w:hAnsi="Times New Roman"/>
          <w:sz w:val="20"/>
        </w:rPr>
      </w:pPr>
      <w:r>
        <w:rPr>
          <w:rFonts w:ascii="Times New Roman" w:hAnsi="Times New Roman"/>
          <w:sz w:val="20"/>
        </w:rPr>
        <w:t xml:space="preserve">Under the Security Agreement, if at any time the Applicable Authorized Representative forecloses upon or otherwise exercises remedies against any Common Collateral, then (whether or not any Insolvency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Proceeding is pending at the time) the Liens in favor of the First Lien Collateral Agent for the benefit of the Trustee and the Holders of the Notes and each other Series of First Lien Secured Parties upon such Common Collateral will automatically be released and discharged. However, any proceeds of any Common Collateral realized therefrom will be applied as described under “—Intercreditor provisions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Secured Guarantors will be entitled to the release of property and other assets constituting Collateral from the Liens securing the Notes, the Notes Obligations and the Guarantees of the Secured Guarantors under any one or more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enable us to consummate the sale, transfer or other disposition of such property or assets (other than to the Issuer or a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one or more Secured Guarantors that are released from their Guarantees with respect to the Notes pursuant to the terms of the Indenture, the release of the property and assets and Equity Interests of such Secured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such Collateral is released or no longer required to be pledged pursuant to the terms of the Senior Credit Facility, any other First Lien Obligations and any Junior Lien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consent of the Holders of at least 75% of the aggregate principal amount of the Notes then outstanding and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“—Release of collateral and guarantees upon investment grade rating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release of assets permitted not to be included in the Collateral pursuant to clause (7) under “—Certain limitations on the collateral” in connection with a Qualified Receivables Transaction (including any Receivables Financing) permitted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“—Modification and waiver”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Liens on the Collateral securing the Notes and the applicable Guarantees also will be released upon (i) payment in full of the principal of, together with accrued and unpaid interest on, the Notes and all other Obligations under the Indenture, the Guarantees and the Security Documents that are due and payable at or prior to the time such principal, together with accrued and unpaid interest, are paid or (ii) a defeasance under the Indenture as described below under “—Defeasance” or discharge of the Issuer’s and the Guarantors’ Obligations under the Indenture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Liens securing the Senior Credit Facility Obligations are released in connection with the repayment (including cash collateralization of letters of credit) of the Senior Credit Facility Obligations in full and termination of the commitments thereunder, the Liens on the Collateral securing the Notes, the Notes Obligations and the Guarantees of the Secured Guarantors will not be released, except to the extent the Collateral or any portion thereof was disposed of in order to repay the Senior Credit Facility Obligations secured by the Collateral. From and after any such time when all the Liens securing the First Lien Obligations other than the Notes and the Notes Obligations are released and the Liens on the Collateral securing the Notes remain in existence, if the Issuer or any Secured Guarantor acquires any property or asset constituting Collateral, it shall grant a first-priority perfected security interest (subject to Permitted Liens) upon such property as security for the Notes to the extent then required under “—After-acquired collateral.”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Trustee is required to execute any release or to direct the First Lien Collateral Agent to execute any release, prior thereto, the Trustee shall have received an Officers’ Certificate and Opinion of Counsel that all conditions precedent to such release in the Indenture and the Security Documents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required by Section 314(d) of the Trust Indenture Act may be made by an Officer of the Company, except in cases where Section 314(d) requires that such certificate or opinion be made by an independent engineer, appraiser or other expert.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the Issuer and its Subsidiaries will not be required to comply with all or any portion of Section 314(d) of the Trust Indenture Act if they determine, in good faith based on advice of counsel, that under the terms of that section and/or any interpretation or guidance as to the meaning thereof of the SEC and its staff, including “no action” letters or exemptive orders, all or any portion of Section 314(d) of the Trust Indenture Act is inapplicable to the released Collateral.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certain no action letters issued by the SEC have permitted the release of Liens on collateral securing indebtedness issued under an indenture qualified under the Trust Indenture Act without requiring the issuer to provide certificates and other documents under Section 314(d) of the Trust Indenture Act where such release occurs as a result of the release of such collateral from Liens securing a credit facility or other indebtedness. In addition, certain no action letters issued by the SEC have permitted the release of collateral from Liens securing indebtedness issued under an indenture qualified under the Trust Indenture Act resulting from transactions in the ordinary course of the issuer’s business without requiring the issuer to provide such certificates and other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limitations on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Collateral securing the Notes will not include any of the following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fee-owned or leased real property of the Issuer and the Secured Guarantors (except as provided for under the “—Limitations on mortgages” section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(other than Investment Property or Pledged Stock issued by a Subsidiary of the Issuer or a Receivables Subsidiary) or, in the case of any Investment Property or Pledged Stock issued by a Person that is not a Subsidiary of the Issuer or a Receivables Subsidiary,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in any Voting Stock that is issued by any Foreign Subsidiary, if and to the extent that the inclusion of such Voting Stock in the Collateral would cause the Collateral pledged by the Issuer or the applicable Secured Guarantor, as the case may be, to include in the aggregate more than 65% of the total outstanding Foreign Subsidiary Voting Stock of such Foreign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Letter-of-Credit Rights that do not constitute Supporting Obligations (each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 Accounts (as defined in the New York UCC);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to the extent perfection of a security interest therein requires any filing to be made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sold, or with respect to which Participation Interests are sold, and all Related Security and Collections with respect to such Receivables pursuant to any Receivables Financing to the extent that the aggregate outstanding amount of the purchase price or loan from the applicable lenders or investors under all Receivables Financing at any time does not exceed the greater of (i) $600.0 million and (ii) 50% of accounts receivable, net, as shown on the Issuer’s most recent consolidated balance sheet for which internal financial statements for the Issuer are available </w:t>
            </w:r>
            <w:r>
              <w:rPr>
                <w:rFonts w:ascii="Times New Roman" w:hAnsi="Times New Roman"/>
                <w:i/>
                <w:sz w:val="20"/>
              </w:rPr>
              <w:t xml:space="preserve">plus </w:t>
            </w:r>
            <w:r>
              <w:rPr>
                <w:rFonts w:ascii="Times New Roman" w:hAnsi="Times New Roman"/>
                <w:sz w:val="20"/>
              </w:rPr>
              <w:t xml:space="preserve">the allowance for doubtful accounts with respect to such accounts receivable, as set forth in the footnotes to such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Gift Shop Assets of the Issuer and any Secured Guarantor which is a party to a Receivables Financing that includes the Gift Shop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assets of any Unsecured Guarantor.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Sufficiency of collateral </w:t>
      </w:r>
    </w:p>
    <w:p>
      <w:pPr>
        <w:pStyle w:val="TextBody"/>
        <w:bidi w:val="0"/>
        <w:spacing w:before="120" w:after="0"/>
        <w:jc w:val="left"/>
        <w:rPr>
          <w:rFonts w:ascii="Times New Roman" w:hAnsi="Times New Roman"/>
          <w:sz w:val="20"/>
        </w:rPr>
      </w:pPr>
      <w:r>
        <w:rPr>
          <w:rFonts w:ascii="Times New Roman" w:hAnsi="Times New Roman"/>
          <w:sz w:val="20"/>
        </w:rPr>
        <w:t xml:space="preserve">The fair market value of the Collateral is subject to fluctuations based on factors that include, among others, the condition of the health care industry, the ability to sell the Collateral in an orderly sale, general economic conditions, the availability of buyers and similar factors. The amount to be received upon a sale of the Collateral would also be dependent on numerous factors, including, but not limited to, the actual fair market value of the Collateral at such time and the timing and the manner of the sale. By their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Certain bankruptcy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right of the First Lien Collateral Agent acting at the direction of the Applicable Authorized Representative to repossess and dispose of the Collateral upon the occurrence of an Event of Default would be significantly impaired by any Bankruptcy Law in the event that a bankruptcy case were to be commenced by or against the Issuer or any Secured Guarantor prior to the First Lien Collateral Agent having repossessed and disposed of the Collateral. Upon the commencement of a case for relief under the Bankruptcy Code, a secured creditor such as the First Lien Collateral Agent is prohibited from repossessing its security from a debtor in a bankruptcy case, or from disposing of security without bankruptcy court approval. </w:t>
      </w:r>
    </w:p>
    <w:p>
      <w:pPr>
        <w:pStyle w:val="TextBody"/>
        <w:bidi w:val="0"/>
        <w:spacing w:before="240" w:after="0"/>
        <w:jc w:val="left"/>
        <w:rPr>
          <w:rFonts w:ascii="Times New Roman" w:hAnsi="Times New Roman"/>
          <w:sz w:val="20"/>
        </w:rPr>
      </w:pPr>
      <w:r>
        <w:rPr>
          <w:rFonts w:ascii="Times New Roman" w:hAnsi="Times New Roman"/>
          <w:sz w:val="20"/>
        </w:rPr>
        <w:t xml:space="preserve">In view of the broad equitable powers of a U.S. bankruptcy court, it is impossible to predict how long payments under the Notes could be delayed following commencement of a bankruptcy case, whether or when the First Lien Collateral Agent acting at the direction of the Applicable Authorized Representative could repossess or dispose of the Collateral, the value of the Collateral at any time during a bankruptcy case or whether or to what extent Holders of the Notes would be compensated for any delay in payment or loss of value of the Collateral. The Bankruptcy Code permits the payment and/or accrual of post-petition interest, costs and attorneys’ fees to a secured creditor during a debtor’s bankruptcy case only to the extent the value of such creditor’s interest in the Collateral is determined by the bankruptcy court to exceed the aggregate outstanding principal amount of the obligations secured by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the event a domestic or foreign bankruptcy court determines that the value of the Collateral is not sufficient to repay all amounts due on the Notes, the Holders of the Notes would hold secured claims only to the extent of the value of the Collateral to which the Holders of the Notes are entitled, and unsecured claims with respect to such shortfall.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issue initially $   aggregate principal amount of 20  Notes and $   aggregate principal amount of 20  Notes in this offering. The 20  Notes will mature on   and the 20  Notes will mature on  . The 20  Notes will bear interest at the rate of   % per annum, and the 20  Notes will bear interest at the rate of   % per annum, each computed on the basis of a 360-day year of twelve 30-day months, commencing on the Issue Date. Interest on the Notes will be payable twice a year on   and   , beginning on   , 2027, for the 20  Notes, and on   and   , beginning on   , 2027, for the 20  Notes. Interest payable on any Note that is punctually paid or duly provided for on any interest payment date shall be paid to the person in whose name such Note is registered at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and   , for the 20  Notes, or   and   , for the 20  Notes, as the case may be, preceding such interest payment date. </w:t>
      </w:r>
    </w:p>
    <w:p>
      <w:pPr>
        <w:pStyle w:val="TextBody"/>
        <w:bidi w:val="0"/>
        <w:spacing w:before="240" w:after="0"/>
        <w:jc w:val="left"/>
        <w:rPr>
          <w:rFonts w:ascii="Times New Roman" w:hAnsi="Times New Roman"/>
          <w:sz w:val="20"/>
        </w:rPr>
      </w:pPr>
      <w:r>
        <w:rPr>
          <w:rFonts w:ascii="Times New Roman" w:hAnsi="Times New Roman"/>
          <w:sz w:val="20"/>
        </w:rPr>
        <w:t>The Issuer may issue additional Notes of any series from time to time after this offering under the Indenture (any such Notes of such series, “</w:t>
      </w:r>
      <w:r>
        <w:rPr>
          <w:rFonts w:ascii="Times New Roman" w:hAnsi="Times New Roman"/>
          <w:i/>
          <w:sz w:val="20"/>
        </w:rPr>
        <w:t>Additional Notes</w:t>
      </w:r>
      <w:r>
        <w:rPr>
          <w:rFonts w:ascii="Times New Roman" w:hAnsi="Times New Roman"/>
          <w:sz w:val="20"/>
        </w:rPr>
        <w:t xml:space="preserve">”). Each series of Notes and any Additional Notes of such series subsequently issued under the Indenture will be treated as a single class for all purposes under the Indenture, including waivers, amendments, redemptions and offers to purchase;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Additional Notes that are not fungible with the Notes of the applicable series for United States federal income tax purposes will be issued under a separate CUSIP number. Unless the context requires otherwise, references to “Notes” for all purposes of the Indenture and this “Description of the notes” include any Additional Notes of any series that are actually issued.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book-entry form only.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offers to purchase; open market purchases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be required to make any mandatory redemption or sinking fund payments with respect to the Notes. However, under certain circumstances, the Issuer may be required to offer to purchase Notes as described under the caption “—Repurchase at the option of holders.” The Issuer may at any time and from time to time purchase Notes in the open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to  , (  month(s) prior to the maturity date of the 20  Notes) in the case of the 20  Notes or   , 20  ( month(s) prior to the maturity date of the 20  Notes) in the case of the 20  Notes (each such date, a “Par Call Date”), we may redeem such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plus basis points, in the case of the 20  Notes, or    basis points, in the case of the 20  Notes, </w:t>
            </w:r>
            <w:r>
              <w:rPr>
                <w:rFonts w:ascii="Times New Roman" w:hAnsi="Times New Roman"/>
                <w:i/>
                <w:sz w:val="20"/>
              </w:rPr>
              <w:t xml:space="preserve">less </w:t>
            </w:r>
            <w:r>
              <w:rPr>
                <w:rFonts w:ascii="Times New Roman" w:hAnsi="Times New Roman"/>
                <w:sz w:val="20"/>
              </w:rPr>
              <w:t xml:space="preserve">(b) interest accrued to, but excluding,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we may redeem the applicable series of Notes at our option, in whole or in part, at any time and from time to time, at a redemption price equal to 100% of the principal amount of such Notes being redeemed plus accrued and unpaid interest on the principal amount being redeemed to, but excluding,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i/>
          <w:sz w:val="20"/>
        </w:rPr>
        <w:t>H.15 TCM</w:t>
      </w:r>
      <w:r>
        <w:rPr>
          <w:rFonts w:ascii="Times New Roman" w:hAnsi="Times New Roman"/>
          <w:sz w:val="20"/>
        </w:rPr>
        <w:t>”). In determining the Treasury Rate, we shall select, as applicable: (1) the yield for the Treasury constant maturity on H.15 exactly equal to the period from the redemption date to the applicable Par Call Date (the “</w:t>
      </w:r>
      <w:r>
        <w:rPr>
          <w:rFonts w:ascii="Times New Roman" w:hAnsi="Times New Roman"/>
          <w:i/>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to calculate or verify the calculation of the redemption price. Our actions and determinations in determining the redemption price shall be conclusive and binding for all purposes, absent manifest error.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 </w:t>
      </w:r>
    </w:p>
    <w:p>
      <w:pPr>
        <w:pStyle w:val="TextBody"/>
        <w:bidi w:val="0"/>
        <w:spacing w:before="120" w:after="0"/>
        <w:jc w:val="left"/>
        <w:rPr>
          <w:rFonts w:ascii="Times New Roman" w:hAnsi="Times New Roman"/>
          <w:sz w:val="20"/>
        </w:rPr>
      </w:pPr>
      <w:r>
        <w:rPr>
          <w:rFonts w:ascii="Times New Roman" w:hAnsi="Times New Roman"/>
          <w:sz w:val="20"/>
        </w:rPr>
        <w:t xml:space="preserve">Any notice of any redemption may be given prior to the redemption thereof, and any such redemption or notice may, at the Issuer’s discretion, be subject to one or more conditions precedent, including, but not limited to, completion of a financing transaction or other corporate transaction. Notes called for redemption will become due on the date fixed for redemption. Notices of redemption will be delivered at least 10 days but not more than 60 days before the redemption date to each Holder of the Notes to be redeemed at its registered address. The notice of redemption for the Notes will state, among other things, the amount of Notes to be redeemed, if less than all of the outstanding Notes are to be redeemed, the redemption date, the redemption price (or the method of calculating it) and each place that payment will be made upon presentation and surrender of Notes to be redeemed. If the Trustee is to deliver the notice to the Holders then (i) the notice should be given to the Trustee at least five business days prior to the date the notice is to be delivered (or such shorter period as the Trustee shall agree) and (ii) Trustee shall receive an Officers’ Certificate and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interest will cease to accrue on any Notes that have been called for redemption on the redemption date. If the Issuer redeems less than all of the outstanding Notes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series, the registrar and paying agent shall select the Notes of such series to be redeemed in the manner described under “—Selection and notice.”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the Notes will not be redeemable by us prior to maturity.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issue the Notes in registered form and in denominations of $2,000 or any integral multiple of $1,000 in excess thereof. We have appointed the Trustee as security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at the option of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 of control following a downgrade from investment grade ratings </w:t>
      </w:r>
    </w:p>
    <w:p>
      <w:pPr>
        <w:pStyle w:val="TextBody"/>
        <w:bidi w:val="0"/>
        <w:spacing w:before="120" w:after="0"/>
        <w:jc w:val="left"/>
        <w:rPr>
          <w:rFonts w:ascii="Times New Roman" w:hAnsi="Times New Roman"/>
          <w:sz w:val="20"/>
        </w:rPr>
      </w:pPr>
      <w:r>
        <w:rPr>
          <w:rFonts w:ascii="Times New Roman" w:hAnsi="Times New Roman"/>
          <w:sz w:val="20"/>
        </w:rPr>
        <w:t>As of the Issue Date, we expect the Notes to have Investment Grade Ratings from both Rating Agencies. Accordingly, the covenant described in this subsection “—Change of control following a downgrade from investment grade ratings” (the “</w:t>
      </w:r>
      <w:r>
        <w:rPr>
          <w:rFonts w:ascii="Times New Roman" w:hAnsi="Times New Roman"/>
          <w:i/>
          <w:sz w:val="20"/>
        </w:rPr>
        <w:t>Suspended Covenant</w:t>
      </w:r>
      <w:r>
        <w:rPr>
          <w:rFonts w:ascii="Times New Roman" w:hAnsi="Times New Roman"/>
          <w:sz w:val="20"/>
        </w:rPr>
        <w:t xml:space="preserve">”) will initially be suspended as of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However, if on any date following the Issue Date, one or both of the Rating Agencies (a) withdraw their Investment Grade Rating or downgrade the rating assigned to the Notes below an Investment Grade Rating and, thereafter, the Issuer or any of its Affiliates enters into an agreement to effect a transaction that would result in a Change of Control or (b) the Issuer or any of its Affiliates enters into an agreement to effect a transaction that would result in a Change of Control and one or both of the Rating Agencies indicate that if consummated, such transaction (alone or together with any related recapitalization or refinancing transactions) would cause such Rating Agency to withdraw its Investment Grade Rating or downgrade the ratings assigned to the Notes below an Investment Grade Rating, then the Issuer and the Subsidiaries will thereafter be subject to the Suspended Covenant under the Indenture with respect to future events, including, without limitation, a proposed transaction described in clause (b) above. </w:t>
      </w:r>
    </w:p>
    <w:p>
      <w:pPr>
        <w:pStyle w:val="TextBody"/>
        <w:bidi w:val="0"/>
        <w:spacing w:before="240" w:after="0"/>
        <w:jc w:val="left"/>
        <w:rPr>
          <w:rFonts w:ascii="Times New Roman" w:hAnsi="Times New Roman"/>
          <w:sz w:val="20"/>
        </w:rPr>
      </w:pPr>
      <w:r>
        <w:rPr>
          <w:rFonts w:ascii="Times New Roman" w:hAnsi="Times New Roman"/>
          <w:sz w:val="20"/>
        </w:rPr>
        <w:t>The Suspended Covenant will provide that if a Change of Control occurs, unless the Issuer has previously or concurrently delivered a redemption notice with respect to all the outstanding Notes as described under “—Optional redemption,” the Issuer will make an offer to purchase all of the Notes of each series pursuant to the offer described below (the “</w:t>
      </w:r>
      <w:r>
        <w:rPr>
          <w:rFonts w:ascii="Times New Roman" w:hAnsi="Times New Roman"/>
          <w:i/>
          <w:sz w:val="20"/>
        </w:rPr>
        <w:t>Change of Control Offer</w:t>
      </w:r>
      <w:r>
        <w:rPr>
          <w:rFonts w:ascii="Times New Roman" w:hAnsi="Times New Roman"/>
          <w:sz w:val="20"/>
        </w:rPr>
        <w:t>”) at a price in cash (the “</w:t>
      </w:r>
      <w:r>
        <w:rPr>
          <w:rFonts w:ascii="Times New Roman" w:hAnsi="Times New Roman"/>
          <w:i/>
          <w:sz w:val="20"/>
        </w:rPr>
        <w:t>Change of Control Payment</w:t>
      </w:r>
      <w:r>
        <w:rPr>
          <w:rFonts w:ascii="Times New Roman" w:hAnsi="Times New Roman"/>
          <w:sz w:val="20"/>
        </w:rPr>
        <w:t xml:space="preserve">”) equal to 101% of the aggregate principal amount of the Notes of such series plus accrued and unpaid interest, if any, to the date of purchase, subject to the right of Holders of the Notes of record on the relevant record date to receive interest due on the relevant interest payment date. Within 30 days following any Change of Control, the Issuer will deliver notice of such Change of Control Offer, with a copy to the Trustee and the registrar, to each Holder of Notes to the address of such Holder appearing in the security register with a copy to the Trustee and the registrar, or otherwise deliver such notice in accordance with the procedures of DTC, with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Change of Control Offer is being made pursuant to the covenant entitled “Change of control following a downgrade from investment grade ratings” and that all Notes properly tendered pursuant to such Change of Control Offer will be accepted for payment by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purchase price and the purchase date, which will be no earlier than 30 days nor later than 60 days from the date such notice is delivered (the “</w:t>
            </w:r>
            <w:r>
              <w:rPr>
                <w:rFonts w:ascii="Times New Roman" w:hAnsi="Times New Roman"/>
                <w:i/>
                <w:sz w:val="20"/>
              </w:rPr>
              <w:t>Change of Control Payment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any Note not properly tendered will remain outstanding and continue to accrue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unless the Issuer defaults in the payment of the Change of Control Payment, all Notes accepted for payment pursuant to the Change of Control Offer will cease to accrue interest on the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electing to have any Notes purchased pursuant to a Change of Control Offer will be required to surrender such Notes, with the form entitled “Option of Holder to Elect Purchase”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reverse of such Notes completed, to the paying agent specified in the notice at the address specified in the notice prior to the close of business on the third Business Day preceding the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will be entitled to withdraw their tendered Notes and their election to require the Issuer to purchase such Notes; </w:t>
            </w:r>
            <w:r>
              <w:rPr>
                <w:rFonts w:ascii="Times New Roman" w:hAnsi="Times New Roman"/>
                <w:i/>
                <w:sz w:val="20"/>
              </w:rPr>
              <w:t xml:space="preserve">provided </w:t>
            </w:r>
            <w:r>
              <w:rPr>
                <w:rFonts w:ascii="Times New Roman" w:hAnsi="Times New Roman"/>
                <w:sz w:val="20"/>
              </w:rPr>
              <w:t xml:space="preserve">that the paying agent receives, not later than the close of business on the 30th day following the date of the Change of Control notice, a facsimile transmission or letter setting forth the name of the Holder of the Notes, the principal amount of Notes tendered for purchase, and a statement that such Holder is withdrawing its tendered Notes and its election to have such Notes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Holders tendering less than all of their Notes of any series will be issued new Notes of such series and such new Notes will be equal in principal amount to the unpurchased portion of the Notes of such series surrendered. The unpurchased portion of the Notes of such series must be equal to $2,000 or an integral multiple of $1,000 in excess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instructions, as determined by us, consistent with the covenant described hereunder, that a Holder must follow.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Issuer will, to the extent permitted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issued by it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Change of Control Payment in respect of all Notes or portions thereof so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for cancellation the Notes so accepted together with an Officers’ Certificate to the Trustee stating the aggregate principal amount of such Notes or portions thereof that have been tendered to and purchased by the Issuer and an Opinion of Counsel, in each case, stating that all conditions precedent to the consummation of the Change of Control Offer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Credit Facility provides, and future credit agreements or other agreements relating to senior Indebtedness to which the Issuer becomes a party may provide, that certain change of control events with respect to the Issuer would constitute a default thereunder (including a Change of Control under the Indenture). If we experience a change of control that triggers a default under our Senior Credit Facility, we could seek a waiver of such default or seek to refinance our Senior Credit Facility. In the event we do not obtain such a waiver or refinance the Senior Credit Facility, such default could result in amounts outstanding under our Senior Credit Facility being declared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Issuer’s ability to pay cash to the Holders of the Notes following the occurrence of a Change of Control may be limited by its then-existing financial resources. Therefore, sufficient funds may not be available when necessary to make any required repurchases. </w:t>
      </w:r>
    </w:p>
    <w:p>
      <w:pPr>
        <w:pStyle w:val="TextBody"/>
        <w:bidi w:val="0"/>
        <w:spacing w:before="240" w:after="0"/>
        <w:jc w:val="left"/>
        <w:rPr>
          <w:rFonts w:ascii="Times New Roman" w:hAnsi="Times New Roman"/>
          <w:sz w:val="20"/>
        </w:rPr>
      </w:pPr>
      <w:r>
        <w:rPr>
          <w:rFonts w:ascii="Times New Roman" w:hAnsi="Times New Roman"/>
          <w:sz w:val="20"/>
        </w:rPr>
        <w:t xml:space="preserve">The Change of Control purchase feature of the Notes may in certain circumstances make more difficult or discourage a sale or takeover of us and, thus, the removal of incumbent management. The Change of Control purchase feature is a result of negotiations between the Underwriters and us. We have no present intention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 in a transaction involving a Change of Control, although it is possible that we could decide to do so in the future.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credit ratings. Certain provisions under the Indenture relative to the Issuer’s obligation to make an offer to repurchase the Notes as a result of a Change of Control may be waived or modified with the written consent of the Holders of a majority in principal amount of the Notes. The Indenture will not contain any covenants or provisions that may afford Holders of the Notes protection in the event of a highly leveraged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not be required to make a Change of Control Offer following a Change of Control if a third party makes the Change of Control Offer in the manner, at the times and otherwise in compliance with the requirements set forth in the Indenture applicable to a Change of Control Offer made by us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disposition of all or substantially all of the assets of the Issuer to any Person. 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 disposition of “all or substantially all” of the assets of the Issuer. As a result, it may be unclear as to whether a Change of Control has occurred and whether a Holder of Notes may require the Issuer to make an offer to repurchase the Notes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the Indenture relating to the Issuer’s obligation to make an offer to repurchase the Notes as a result of a Change of Control may be waived or modified with the written consent of the Holders of a majority in principal amount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If the Issuer is redeeming less than all of the Notes of any series issued by it at any time, the Notes of such series will be selected for redemption (a) if the Notes of such series are listed on any national securities exchange, in compliance with the requirements of the principal national securities exchange on which the Notes of such series are listed, (b) on a pro rata basis to the extent practicable or (c) by lot or such other similar method in accordance with the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Notices of purchase or redemption shall be delivered at least 10 days (or, in the case of notice under “—Repurchase at the option of holders—Change of control following a downgrade from investment grade ratings,” 30 days) but not more than 60 days before the purchase or redemption date to each Holder of Notes at such Holder’s registered address or otherwise in accordance with the procedures of DTC, except that redemption notices may be delivered more than 60 days prior to a redemption date if the notice is issued in connection with a defeasance of the Notes or a satisfaction and discharge of the Indenture. If any Note of a series is to be purchased or redeemed in part only, any notice of purchase or redemption that relates to such Note of such series shall state the portion of the principal amount thereof that has been or is to be purchased or redeemed.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issue a new Note of any series in a principal amount equal to the unredeemed portion of the original Note of such series in the name of the Holder upon cancellation of the original Note. Notes called for redemption become due on the date fixed for redemption. On and after the redemption date, interest ceases to accrue on Notes of such series or portions thereof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Release of collateral and guarantees upon investment grade rating event </w:t>
      </w:r>
    </w:p>
    <w:p>
      <w:pPr>
        <w:pStyle w:val="TextBody"/>
        <w:bidi w:val="0"/>
        <w:spacing w:before="120" w:after="0"/>
        <w:jc w:val="left"/>
        <w:rPr>
          <w:rFonts w:ascii="Times New Roman" w:hAnsi="Times New Roman"/>
          <w:sz w:val="20"/>
        </w:rPr>
      </w:pPr>
      <w:r>
        <w:rPr>
          <w:rFonts w:ascii="Times New Roman" w:hAnsi="Times New Roman"/>
          <w:sz w:val="20"/>
        </w:rPr>
        <w:t>If on any date following the Issue Date, (a)(i) the Notes have Investment Grade Ratings from both Rating Agencies and (ii) no Default has occurred and is continuing under the Indenture (the occurrence of the events described in the foregoing clauses (i) and (ii) being collectively referred to as an “</w:t>
      </w:r>
      <w:r>
        <w:rPr>
          <w:rFonts w:ascii="Times New Roman" w:hAnsi="Times New Roman"/>
          <w:i/>
          <w:sz w:val="20"/>
        </w:rPr>
        <w:t>Investment Grade Rating Event</w:t>
      </w:r>
      <w:r>
        <w:rPr>
          <w:rFonts w:ascii="Times New Roman" w:hAnsi="Times New Roman"/>
          <w:sz w:val="20"/>
        </w:rPr>
        <w:t>”), and (b) the terms of all other First Lien Obligations and Junior Lien Obligations provide that the Liens on the Collateral securing such First Lien Obligations and Junior Lien Obligations shall be, and substantially concurrently are, released, then, beginning on that day (such date, the “</w:t>
      </w:r>
      <w:r>
        <w:rPr>
          <w:rFonts w:ascii="Times New Roman" w:hAnsi="Times New Roman"/>
          <w:i/>
          <w:sz w:val="20"/>
        </w:rPr>
        <w:t>Collateral Release Date</w:t>
      </w:r>
      <w:r>
        <w:rPr>
          <w:rFonts w:ascii="Times New Roman" w:hAnsi="Times New Roman"/>
          <w:sz w:val="20"/>
        </w:rPr>
        <w:t>”), the Guarantees shall be released (to the extent the guarantees by the Guarantors of all other First Lien Obligations and Junior Lien Obligations are also released, whether or not such other guarantees can be reinstated), the Liens on the Collateral securing the Notes, the Notes Obligations and the Guarantees of the Secured Guarantors shall be released, and the Issuer and its Restricted Subsidiaries will not be subject to the covenant under “—Additional subsidiary guarantees” (the “</w:t>
      </w:r>
      <w:r>
        <w:rPr>
          <w:rFonts w:ascii="Times New Roman" w:hAnsi="Times New Roman"/>
          <w:i/>
          <w:sz w:val="20"/>
        </w:rPr>
        <w:t>Guarantees Covenant</w:t>
      </w:r>
      <w:r>
        <w:rPr>
          <w:rFonts w:ascii="Times New Roman" w:hAnsi="Times New Roman"/>
          <w:sz w:val="20"/>
        </w:rPr>
        <w:t xml:space="preserve">”) or the covenant under “—After-acquired collateral.” In the event the Collateral and Guarantees are released and the Guarantees Covenant is no longer in effect upon an Investment Grade Rating Event, the Collateral and the Guarantees will not be reinstated upon any subsequent downgrade or withdrawal of the Investment Grade Ratings, even if the Collateral and the Guarantees are reinstated with respect to other First Lien Obligations and Junior Lien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we expect the Notes to have Investment Grade Ratings from both Rating Agencies and that an Investment Grade Rating Event will have occurred. However, as of the Issue Date, the condition in clause (b) of the preceding paragraph has not been met because the conditions to the release of the Collateral under the Senior Credit Facility have not been met. In order for the Collateral to be released under the terms of the Senior Credit Facility, we must receive an investment grade corporate rating from both Moody’s and S&amp;P, no default or event of default shall have occurred and be continuing under the Senior Credit Facility and the Liens on the Collateral securing the Existing 2026 Notes, the Existing 2029 Notes, the Existing 2030 Notes, the Existing 2032 Notes, the Existing 2034 Notes and the Notes must be released contemporaneously. Accordingly, if we were to receive investment grade corporate ratings from both Rating Agencies and the other conditions to release of the Collateral under the Senior Credit Facility were met, or if we were to amend the Senior Credit Facility in the future to otherwise permit the release of the Collateral, the Collateral securing the Notes and the Guarantees would be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summaries of certain covenants contained in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mortgages </w:t>
      </w:r>
    </w:p>
    <w:p>
      <w:pPr>
        <w:pStyle w:val="TextBody"/>
        <w:bidi w:val="0"/>
        <w:spacing w:before="120" w:after="0"/>
        <w:jc w:val="left"/>
        <w:rPr>
          <w:rFonts w:ascii="Times New Roman" w:hAnsi="Times New Roman"/>
          <w:sz w:val="20"/>
        </w:rPr>
      </w:pPr>
      <w:r>
        <w:rPr>
          <w:rFonts w:ascii="Times New Roman" w:hAnsi="Times New Roman"/>
          <w:sz w:val="20"/>
        </w:rPr>
        <w:t xml:space="preserve">Nothing in the Indenture or in the Notes shall in any way restrict or prevent the Issuer or any Subsidiary from incurring any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Indenture will provide that neither the Issuer nor any of its Subsidiaries will issue, assume or guarantee any Indebtedness or obligation secured by Mortgages (other than Permitted Liens) upon any Principal Property, unless the Notes shall be secured equally and ratably with (or prior to) such Indebtedness. This restriction will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securing all or any part of the purchase price of property acquired or cost of construction of property or cost of additions, substantial repairs, alterations or improvements or property, if the Indebtedness and the related Mortgages are incurred within 12 months of the later of the acquisition or completion of construction and full operation or additions, repairs, alterations or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existing on property at the time of its acquisition by the Issuer or a Subsidiary or on the property of a Person at the time of the acquisition of such Person by the Issuer or a Subsidiary (including acquisitions through merger or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to secure Indebtedness on which the interest payments to holders of the related Indebtedness are excludable from gross income for federal income tax purposes under Section 103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the Issuer or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existing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a government or governmental entity that (i) secure Indebtedness which is guaranteed by the government or governmental entity, (ii) secure Indebtedness incurred to finance all or some of the purchase price or cost of construction of goods, products or facilities produced under contract or subcontract for the government or governmental entity, or (iii) secure Indebtedness incurred to finance all or some of the purchase price or cost of construction of the property subject to the Mortgage;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incurred in connection with the borrowing of funds where such funds are used to repay, within 120 days after entering into such Mortgage, Indebtedness in the same principal amount secured by other Mortgages on Principal Property with at least the same appraised Fair Market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of any Mortgage referred to in clauses (1) through (7) above; </w:t>
            </w:r>
            <w:r>
              <w:rPr>
                <w:rFonts w:ascii="Times New Roman" w:hAnsi="Times New Roman"/>
                <w:i/>
                <w:sz w:val="20"/>
              </w:rPr>
              <w:t xml:space="preserve">provided </w:t>
            </w:r>
            <w:r>
              <w:rPr>
                <w:rFonts w:ascii="Times New Roman" w:hAnsi="Times New Roman"/>
                <w:sz w:val="20"/>
              </w:rPr>
              <w:t xml:space="preserve">the amount secured is not increased and such extension, renewal or replacement Mortgage relates to the same property.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neither the Issuer nor any Subsidiary will, after the Issue Date, enter into any Sale and Lease-Back Transaction with respect to any Principal Property with another person (other than with the Issuer or a Subsidiary)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such Subsidiary could incur Indebtedness secured by a mortgage on the property to be leased without equally and ratably securing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150 days, the Issuer applies the greater of the net proceeds of the sale of the leased property or the fair value of the leased property, net of all Notes delivered under the Indenture, to the voluntary retirement of the Funded Debt of the Issuer and its Restricted Subsidiaries and/or the acquisition or construction of a Principal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limitation shall not apply to any Sale and Lease-Back Transaction that is in effect on the Issue Date and any renewals or extensions thereof; </w:t>
      </w:r>
      <w:r>
        <w:rPr>
          <w:rFonts w:ascii="Times New Roman" w:hAnsi="Times New Roman"/>
          <w:i/>
          <w:sz w:val="20"/>
        </w:rPr>
        <w:t xml:space="preserve">provided </w:t>
      </w:r>
      <w:r>
        <w:rPr>
          <w:rFonts w:ascii="Times New Roman" w:hAnsi="Times New Roman"/>
          <w:sz w:val="20"/>
        </w:rPr>
        <w:t xml:space="preserve">that if any Principal Property is substituted for a Principal Property that is a subject of a Sale and Lease-Back Transaction that is in effect on the Issue Date, for purposes of “—Certain covenants—Exempted transactions,” any increase in Attributable Indebtedness shall be counted as Indebtedness for purposes of the calculation set forth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provisions described above under “—Limitations on mortgages” and “—Limitations on sale and lease-back transactions,” if the aggregate outstanding principal amount of all Indebtedness of the Issuer and its Subsidiaries that is subject to and not otherwise permitted under these restrictions does not exceed 15.0% of the Consolidated Net Tangible Assets of the Issuer and its Subsidiaries,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any of its Subsidiaries may issue, assume or guarantee Indebtedness secured by Mortgages without any requirement to equally and ratably secure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any of its Subsidiaries may enter into any Sale and Lease-Back Transaction.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Collateral Release Date, if any Restricted Subsidiary of the Issuer other than a Guarantor (i) guarantees any Indebtedness under the Senior Credit Facility, any other First Lien Obligations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Junior Lien Obligations or (ii) if the Issuer or the Guarantors have no Indebtedness outstanding, and all commitments thereunder have been terminated under the Senior Credit Facility, any other First Lien Obligations or any Junior Lien Obligations, guarantees any Additional Indebtedness, then within 30 days thereof, the Issuer shall cause such Restricted Subsidiary to execute and deliver to the Trustee a supplemental indenture pursuant to which such Restricted Subsidiary will guarantee payment of the Notes on the same terms and conditions as those applicable to the Guarantors under the Indenture and will deliver to the Trustee an Officers’ Certificate and Opinion of Counsel that such supplemental indenture is authorized or permitted by the Indenture, and an Opinion of Counsel that such supplemental indenture has been duly authorized, executed and delivered and constitutes a legally valid and enforceable obligation (subject to customary qualifications and exceptions). In addition, at any time prior to the Collateral Release Date, if such Restricted Subsidiary grants any Lien to secure any Indebtedness described in clause (i) or (ii) above, such Restricted Subsidiary shall grant a first-priority perfected security interest in the Collateral as security for the Notes, shall execute and deliver to the Trustee joinders to any applicable Security Document for the benefit of the holders of the Notes and shall be a “Secured Guarantor”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Thereafter, such Restricted Subsidiary will be a Guarantor with respect to the Notes until such Restricted Subsidiary’s Guarantee with respect to the Notes is released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 may elect, in its sole discretion, to cause any Restricted Subsidiary that is not otherwise required to be a Guarantor to become a Guarantor by complying with the applicable provisions of the second preceding paragraph until such Restricted Subsidiary’s Guarantee with respect to the Notes is released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Restricted Subsidiary that becomes a Guarantor pursuant to the third preceding paragraph will be an Unsecured Guarantor unless such Restricted Subsidiary grants any Lien to secure any Indebtedness described in clause (i) or (ii) of the third preceding paragraph above, in which case, and only such case, such Restricted Subsidiary shall grant a first-priority perfected security interest in the Collateral as security for the Notes and shall execute and deliver to the Trustee joinders to any applicable Security Document for the benefit of the holders of the Notes, upon which such Restricted Subsidiary shall be a “Secured Guarantor” for all purposes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 reports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that the Issuer may not be subject to the reporting requirements of Section 13 or 15(d) of the Exchange Act or otherwise report on an annual and quarterly basis on forms provided for such annual and quarterly reporting pursuant to rules and regulations promulgated by the SEC, if not filed electronically with the SEC through EDGAR (or any successor system), the Issuer will file with the SEC (to the extent permitted by the Exchange Act), and make available to the Trustee and the Holders, without cost to any Holder, the annual and quarterly reports and the information, documents and other reports (or copies of such portions of any of the foregoing as the SEC may by rules and regulations prescribe) that are specified in Sections 13 and 15(d) of the Exchange Act with respect to U.S. issuers within the time periods specified therein or in the relevant forms.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Issuer is not permitted to file such reports, documents and information with the SEC pursuant to the Exchange Act, the Issuer will nevertheless make available such Exchange Act reports, documents and information to the Trustee and the Holders as if the Issuer were subject to the reporting requirements of Section 13 or 15(d) of the Exchange Act within the time periods specified therein or in the relevant forms, which requirement may be satisfied by posting such reports, documents and information on its website within the time periods specified by this covenant. </w:t>
      </w:r>
    </w:p>
    <w:p>
      <w:pPr>
        <w:pStyle w:val="TextBody"/>
        <w:bidi w:val="0"/>
        <w:spacing w:before="240" w:after="0"/>
        <w:jc w:val="left"/>
        <w:rPr>
          <w:rFonts w:ascii="Times New Roman" w:hAnsi="Times New Roman"/>
          <w:sz w:val="20"/>
        </w:rPr>
      </w:pPr>
      <w:r>
        <w:rPr>
          <w:rFonts w:ascii="Times New Roman" w:hAnsi="Times New Roman"/>
          <w:sz w:val="20"/>
        </w:rPr>
        <w:t xml:space="preserve">In addition, no later than five Business Days after the date the quarterly and annual financial information for the prior fiscal period have been furnished pursuant to the two preceding paragraphs, the Issuer shall also hold live quarterly conference calls with the opportunity to ask questions of management. No fewer than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Days prior to the date such conference call is to be held, the Issuer shall issue a press release to the appropriate U.S. wire services announcing such quarterly conference call for the benefit of the Trustee, the Holders, beneficial owners of the Notes, prospective investors in the Notes, and securities analysts and market making financial institutions, which press release shall contain the time and the date of such conference call and direct the recipients thereof to contact an individual at the Issuer (for whom contact information shall be provided in such notice) to obtain information on how to access such quarterly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If the Issuer has designated any of its Subsidiaries as Unrestricted Subsidiaries and such Unrestricted Subsidiaries, either individually or collectively, would otherwise have been a Significant Subsidiary, then the quarterly and annual financial information required by the second and third preceding paragraphs shall include a reasonably detailed presentation, as determined in good faith by Senior Management of the Issuer, either on the face of the financial statements or in the footnotes to the financial statements and in the “Management’s discussion and analysis of financial condition and results of operations” section, of the financial condition and results of operations of the Issuer and its Restricted Subsidiaries separate from the financial condition and results of operations of the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covenant, the Issuer and the Guarantors will be deemed to have furnished the reports to the Trustee and the Holders as required by this covenant if the Issuer has filed such reports with the SEC via the EDGAR filing system and such reports are publicly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Under the Indenture, an “</w:t>
            </w:r>
            <w:r>
              <w:rPr>
                <w:rFonts w:ascii="Times New Roman" w:hAnsi="Times New Roman"/>
                <w:i/>
                <w:sz w:val="20"/>
              </w:rPr>
              <w:t>Event of Default</w:t>
            </w:r>
            <w:r>
              <w:rPr>
                <w:rFonts w:ascii="Times New Roman" w:hAnsi="Times New Roman"/>
                <w:sz w:val="20"/>
              </w:rPr>
              <w:t xml:space="preserve">” applicable to the Notes of any series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or any premium on the Notes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interest on the Notes of such series when due,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of our other applicable covenants or warranties in the Indenture with respect to such series, and such default continues for a period of 60 days after written notice by Holders of at least 25% in principal amount of the outstanding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Indebtedness owed to the Issuer or a Restricted Subsidiary, whether such Indebtedness or guarantee now exists, or is created after the Issue Date, which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is caused by a failure to pay principal of, or interest or premium, if any, on such Indebtedness prior to the expiration of the grace period provided in such Indebtedness (“</w:t>
            </w:r>
            <w:r>
              <w:rPr>
                <w:rFonts w:ascii="Times New Roman" w:hAnsi="Times New Roman"/>
                <w:i/>
                <w:sz w:val="20"/>
              </w:rPr>
              <w:t>payment default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results in the acceleration of such Indebtedness prior to its maturity (the “</w:t>
            </w:r>
            <w:r>
              <w:rPr>
                <w:rFonts w:ascii="Times New Roman" w:hAnsi="Times New Roman"/>
                <w:i/>
                <w:sz w:val="20"/>
              </w:rPr>
              <w:t>cross acceleration provision</w:t>
            </w:r>
            <w:r>
              <w:rPr>
                <w:rFonts w:ascii="Times New Roman" w:hAnsi="Times New Roman"/>
                <w:sz w:val="20"/>
              </w:rPr>
              <w:t xml:space="preserve">”), 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Times New Roman" w:hAnsi="Times New Roman"/>
                <w:i/>
                <w:sz w:val="20"/>
              </w:rPr>
              <w:t xml:space="preserve">provided </w:t>
            </w:r>
            <w:r>
              <w:rPr>
                <w:rFonts w:ascii="Times New Roman" w:hAnsi="Times New Roman"/>
                <w:sz w:val="20"/>
              </w:rPr>
              <w:t xml:space="preserve">that in connection with any series of Convertible Notes, (a) any conversion of such Indebtedness by a holder thereof into shares of Common Stock, cash or a combination of cash and shares of Common Stock, (b) the rights of holders of such Indebtedness to convert into shares of Common Stock, cash or a combination of cash and shares of Common Stock and (c) the rights of holders of such Indebtedness to require any repurchase by the Issuer of such Indebtedness in cash upon a fundamental change shall not, in itself, constitute an Event of Default under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Issuer or any Significant Subsidiary or group of Restricted Subsidiaries that, taken together (as of the latest audited consolidated financial statements for the Issuer and its Restricted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 would constitute a Significant Subsidiary to pay final judgments aggregating in excess of $100.0 million (net of any amounts that a reputable and creditworthy insurance company has acknowledged liability for in writing), which judgments are not paid, discharged or stayed for a period of 60 days or more after such judgment becomes final (the “</w:t>
            </w:r>
            <w:r>
              <w:rPr>
                <w:rFonts w:ascii="Times New Roman" w:hAnsi="Times New Roman"/>
                <w:i/>
                <w:sz w:val="20"/>
              </w:rPr>
              <w:t>judgment default provision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in bankruptcy, insolvency or reorganization of the Issuer or any Significant Subsidiary or group of Restricted Subsidiaries that, taken together (as of the latest audited consolidated financial statements for the Issuer and its Restricted Subsidiaries), would constitute a Significant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 of any Significant Subsidiary or group of Guarantors that, taken together (as of the latest audited consolidated financial statements for the Issuer and its Restricted Subsidiaries), would constitute a Significant Subsidiary shall for any reason cease to be in full force and effect or be declared null and void or any responsible officer of any Guarantor that is a Significant Subsidiary or group of Guarantors that, taken together (as of the latest audited consolidated financial statements for the Issuer and its Restricted Subsidiaries), would constitute a Significant Subsidiary, as the case may be, denies that it has any further liability under its Guarantee or gives notice to such effect, other than by reason of the termination of the Indenture or the release of any such Guarantee in accordance with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applicable, with respect to any Collateral having a Fair Market Value in excess of $100.0 million, individually or in the aggregate, (a) the security interest under the Security Documents, at any time, ceases to be in full force and effect for any reason other than in accordance with the terms of the Indenture and the Security Documents, (b) any security interest created thereunder or under the Indenture is declared invalid or unenforceable by a court of competent jurisdiction or (c) the Issuer or any Secured Guarantor asserts, in any pleading in any court of competent jurisdiction, that any such security interest is invalid or unenforceable.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(other than events in bankruptcy, insolvency or reorganization) with respect to the Notes of a series occurs and is continuing, either the Trustee or the Holders of at least 25% in aggregate principal amount of the outstanding Notes of such series may declare the principal amount of, premium, if any, and accrued and unpaid interest, if any, on all the Notes of such series to be due and payable immediately. If an Event of Default constituting an event in bankruptcy, insolvency or reorganization above occurs and is continuing, the principal of, premium, if any, and accrued and unpaid interest, if any, on all the Notes of such series will become and be immediately due and payable without any declaration or other act on the part of the Trustee or any Holders. The Holders of a majority in principal amount of the outstanding Notes of a series may waive all past defaults (except with respect to nonpayment of principal, premium or interest) and rescind any such acceleration with respect to the Notes of such series and its consequences if (1) rescission would not conflict with any judgment or decree of a court of competent jurisdiction, (2) all existing Events of Default, other than the nonpayment of the principal of, premium, if any, and interest on the Notes of such series that have become due solely by such declaration of acceleration, have been cured or waived, and (3) all amounts due to the Trustee in each of its capacities under the Indenture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declaration of acceleration of the Notes of a series because an Event of Default described in the fourth bullet point of the second preceding paragraph has occurred and is continuing, the declaration of acceleration of the Notes of such series shall be automatically annulled if the default triggering such Event of Default shall be remedied or cured by the Issuer or a Restricted Subsidiary or waived by the holders of the relevant Indebtedness within 20 days after the declaration of acceleration with respect thereto and if (1) the annulment of the acceleration of the Notes of such series would not conflict with any judgment or decree of a court of competent jurisdiction and (2) all existing Events of Default, except nonpayment of principal, premium, if any, or interest on the Notes of such series that became due solely because of the acceleration of the Notes of such series,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duties of the Trustee during a default to act with the required standard of care, the Trustee is not obligated to exercise any of its rights or powers under the Indenture at the request or direction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unless the Holders shall have offered to the Trustee indemnity and/or security satisfactory to it. Subject to these indemnification provisions and the other terms of the Indenture, the Holders of a majority in aggregate principal amount of the outstanding Notes of the applicable series may direct the time, method and place of conducting any proceeding for any remedy available to the Trustee, or exercising any trust or power conferred on the Trustee, with respect to the Notes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Trustee annually with a statement as to our performance of certain obligations under the Indenture. Upon becoming aware of any Default or Event of Default, we will deliver to the Trustee a notice specifying such Default or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b/>
          <w:i/>
          <w:sz w:val="20"/>
        </w:rPr>
      </w:pPr>
      <w:r>
        <w:rPr>
          <w:rFonts w:ascii="Times New Roman" w:hAnsi="Times New Roman"/>
          <w:b/>
          <w:i/>
          <w:sz w:val="20"/>
        </w:rPr>
        <w:t xml:space="preserve">Without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of Notes of the applicable series, the Issuer, any Guarantor (with respect to a Guarantee or the Indenture to which it is a party) and the Trustee may amend or supplement the Indenture, any Security Document and any Guarantee or Notes of such series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the Issuer and the assumption by such successor of the covenants of the Issuer in compliance with the requirements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for the benefit of the Holders or to surrender any right or power herein conferred upon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w:t>
            </w:r>
            <w:r>
              <w:rPr>
                <w:rFonts w:ascii="Times New Roman" w:hAnsi="Times New Roman"/>
                <w:i/>
                <w:sz w:val="20"/>
              </w:rPr>
              <w:t xml:space="preserve">provided </w:t>
            </w:r>
            <w:r>
              <w:rPr>
                <w:rFonts w:ascii="Times New Roman" w:hAnsi="Times New Roman"/>
                <w:sz w:val="20"/>
              </w:rPr>
              <w:t xml:space="preserve">that any such change or elimination shall become effective only when there are no outstanding Notes of such series created prior to the execution of such supplemental indenture that are entitled to the benefit of such provision and as to which such supplemental indenture would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to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necessary to permit or facilitate the defeasance and discharge of the Notes of such series; </w:t>
            </w:r>
            <w:r>
              <w:rPr>
                <w:rFonts w:ascii="Times New Roman" w:hAnsi="Times New Roman"/>
                <w:i/>
                <w:sz w:val="20"/>
              </w:rPr>
              <w:t xml:space="preserve">provided </w:t>
            </w:r>
            <w:r>
              <w:rPr>
                <w:rFonts w:ascii="Times New Roman" w:hAnsi="Times New Roman"/>
                <w:sz w:val="20"/>
              </w:rPr>
              <w:t xml:space="preserve">that any such action does not adversely affect the interests of the Holders of the Notes of such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or collateral agent and to add to or change any of the provisions of the Indenture necessary to provide for or facilitate the administration of the trusts by more than one Trustee or for the Trustee to act as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of the Indenture which may be defective or inconsistent with any other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Indenture, the Notes of such series, the Guarantees or the Security Documents to any provision of this “Description of the notes” section to the extent that such provision in such “Description of the notes” section was intended to be a verbatim recitation of a provision of the Indenture, the Notes of such series, the Guarantees or the Security Documents; </w:t>
            </w:r>
            <w:r>
              <w:rPr>
                <w:rFonts w:ascii="Times New Roman" w:hAnsi="Times New Roman"/>
                <w:i/>
                <w:sz w:val="20"/>
              </w:rPr>
              <w:t xml:space="preserve">provided </w:t>
            </w:r>
            <w:r>
              <w:rPr>
                <w:rFonts w:ascii="Times New Roman" w:hAnsi="Times New Roman"/>
                <w:sz w:val="20"/>
              </w:rPr>
              <w:t xml:space="preserve">that, in each instance, the Issuer delivers to the Trustee an Officers’ Certificate to such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place or places where the principal of and premium, if any, and interest, if any, on the Notes of such series shall be payable, the Notes of such series may be surrendered for registration or transfer, the Notes of such series may be surrendered for exchange, and notices and demands to or upon the Issuer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mortgage, pledge, hypothecate or grant any other Lien in favor of the First Lien Collateral Agent for the benefit of the Trustee and the Holders of the Notes of such series, as additional security for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payment and performance of all or any portion of the Obligations, in any property or assets, including any which are required to be mortgaged, pledged or hypothecated, or in which a Lien is required to be granted in favor of the First Lien Collateral Agent for the benefit of the Trustee and the Holders of the Notes of such series pursuant to the Indenture, any of the Security Documents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release Collateral from the Lien of the Indenture and the Security Documents when permitted or required by the Security Documents or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Additional First Lien Secured Parties to any Security Documents in accordance with such Security Documents;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any required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incurrence of any Junior Lien Obligations permitted under the terms of the Indenture, without the consent of any Holder of Notes of such series, the First Lien Collateral Agent shall, on behalf of the holders of the First Lien Obligations, enter into a customary intercreditor agreement with the representative of such Junior Lien Obligations. The Trustee and First Lien Collateral Agent shall be entitled to rely upon an Officers’ Certificate certifying that such Junior Lien Obligations, as the case may be, were incurred and secured in compliance with the Indenture and the Security Documents, and no Opinion of Counsel shall be required in connection therewith (unless the Trustee is an Applicable Authorized Representative).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 holder consent </w:t>
      </w:r>
    </w:p>
    <w:p>
      <w:pPr>
        <w:pStyle w:val="TextBody"/>
        <w:bidi w:val="0"/>
        <w:spacing w:before="120" w:after="0"/>
        <w:jc w:val="left"/>
        <w:rPr>
          <w:rFonts w:ascii="Times New Roman" w:hAnsi="Times New Roman"/>
          <w:sz w:val="20"/>
        </w:rPr>
      </w:pPr>
      <w:r>
        <w:rPr>
          <w:rFonts w:ascii="Times New Roman" w:hAnsi="Times New Roman"/>
          <w:sz w:val="20"/>
        </w:rPr>
        <w:t xml:space="preserve">The Issuer and the Trustee may modify and amend the Indenture, any Guarantee or any Security Document with the consent of the Holders of a majority in aggregate principal amount of the outstanding Notes of the applicable series; however, we must have the consent of the Holder of each outstanding Note of such series affected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installment of interest, if any, on, such Notes of such series, or reduce the principal amount thereof or the interest thereon or any premium payable upon redemption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(and premium, if any) or interest on such Notes of such series are denominated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or Event of Default in the payment of principal of, premium, if any, or interest on the Notes of such series (except a rescission of acceleration of the Notes of such series by the Holders of at least a majority in aggregate principal amount of the then outstanding Notes of such series with respect to a nonpayment default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payable upon the redemption or repurchase of any Note of such series or change the time at which any Note of such series may be redeemed or repurchased as described above under “—Optional redemption” or “—Repurchase at the option of holders—Change of control following a downgrade from investment grade ratings,” whether through an amendment or waiver of provisions in the covenants, definitions or otherwise (except amendments to the definitions of “Change of Control” and “Permitted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premium, if any, or interest on such Holder’s Notes of such series on or after the due dates therefor or impair the right to institute suit for the enforcement of any payment on or after the stated maturity thereof (or, in the case of redemption, on or after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that require Holder consent to modify or amend the Indenture or that permit Holders to waive compliance with certain provisions of the Indenture or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or modify the ranking of such Notes of such series or the ranking of the Liens with respect to such Notes of such series that would adversely affect the Holders;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permitted by the Indenture, modify the Guarantees of any Significant Subsidiary in any manner adverse to the Holders of the Notes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at least 75% in aggregate principal amount of Notes of such series then outstanding, an amendment, supplement or waiver may not modify any Security Document or the provisions of the Indenture dealing with the Security Documents or application of trust moneys, or otherwise release any Collateral, in any manner materially adverse to the Holders of the Notes of such series other than in accordance with the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the applicable series may, on behalf of all Holders of Notes of such series, waive any past default under the Indenture with respect to Notes of such series. However, such Holders may not waive a past default in the payment of principal, premium or interest, or any sinking fund installment with respect to the Notes of such series, or waive a covenant or provision that cannot be modified or amended, without the consent of the Holders of each outstanding Note of such series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sale or lease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consolidate with or merge into, or transfer or lease all or substantially all of its assets to, another Person (whether or not the Issuer is the surviving corporation) without the consent of the Holders of the Notes under the Indenture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Issuer is the surviving entity or the Person formed by or surviving any such consolidation or merger, or to whom any such transfer or lease will have been made, is a corporation, partnership, limited partnership, limited liability corporation or trust organized or existing under the laws of the United States, any state thereof, the District of Columbia, or any territory thereof (the Issuer or such Person, as the case may be, being herein called the “</w:t>
            </w:r>
            <w:r>
              <w:rPr>
                <w:rFonts w:ascii="Times New Roman" w:hAnsi="Times New Roman"/>
                <w:i/>
                <w:sz w:val="20"/>
              </w:rPr>
              <w:t>Successor Person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Person assumes the Issuer’s obligations under the Notes and under the Indenture, as if the Successor Person were an original party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such consolidation or merger or such conveyance, transfer or lease, no Event of Default, and no event which, after notice or lapse of time or both, would become an Event of Default,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 a result of any such consolidation or merger or such conveyance, transfer or lease, properties or assets of the Issuer would become subject to a mortgage, pledge, lien, security interest or other encumbrance that would not be permitted by the Indenture, the Issuer or the Successor Person, as the case may be, shall take such steps as shall be necessary to effectively secure all the Notes equally and ratably with (or prior to) all Indebtedness secured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Guarantor, unless it is the other party to the transactions described above, shall have by supplemental indenture confirmed that its Guarantee shall apply to such Person’s obligations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the Collateral owned by the Successor Person will (a) continue to constitute Collateral under the Indenture and the Security Documents, (b) be subject to a Lien in favor of the First Lien Collateral Agent for the benefit of the Trustee and the Holders of the Notes and (c) not be subject to any other Lien, other than Permitted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to the extent any assets of the Person which is merged or consolidated with or into the Successor Person are assets of the type which would constitute Collateral under the Security Documents, the Successor Person will take such action as may be reasonably necessary to cause such property and assets to be made subject to the Lien of the Security Documents in the manner and to the extent required in the Indenture or any of the Security Documents and shall take all reasonably necessary action so that such Lien is perfected to the extent required by the Security Documents;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has delivered to the Trustee an Officers’ Certificate and an Opinion of Counsel each stating that such consolidation, merger, conveyance, transfer or lease and such supplemental indenture comply with this covenant and that all conditions precedent (including, without limitation, under the Indenture and the Security Documents) provided for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described in the Indenture, the Successor Person will succeed to, and be substituted for, the Issuer under the Notes and the Guarantees.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We may, upon compliance with the conditions described in this paragraph, exercise our option to be discharged from our obligations under the applicable series of Notes (except for certain obligations, including obligations to issue temporary Notes, register Notes, replace mutilated, destroyed, lost or stolen Notes and maintain an office or agency for payment and money for Note payments held in trust). Upon our exercise of such option, we will not be subject to the limitations in the Indenture discussed in the above sections (“</w:t>
      </w:r>
      <w:r>
        <w:rPr>
          <w:rFonts w:ascii="Times New Roman" w:hAnsi="Times New Roman"/>
          <w:i/>
          <w:sz w:val="20"/>
        </w:rPr>
        <w:t>legal defeasance</w:t>
      </w:r>
      <w:r>
        <w:rPr>
          <w:rFonts w:ascii="Times New Roman" w:hAnsi="Times New Roman"/>
          <w:sz w:val="20"/>
        </w:rPr>
        <w:t xml:space="preserve">”). In order to exercise this legal defeasance option, we must, among other things, (i) deposit with the Trustee, for the benefit of the Holders, trust money or U.S. government obligations that are sufficient (as certified by a nationally recognized independent public accountant or appraisal firm designated by the Issuer) to pay all principal, premium and interest on the Notes of such series, (ii) deliver to the Trustee an Opinion of Counsel to the effect that the deposit and related legal defeasance would not cause the beneficial owners of the Notes of such series to recognize income, gain or loss for United States federal income tax purposes (which Opinion of Counsel shall be based on a ruling from the Internal Revenue Service or a change in applicable United States federal income tax law) and (iii) deliver to the Trustee an Officers’ Certificate and an Opinion of Counsel to the effect that (a) the deposit and related legal defeasance would not result in the delisting of the Notes of such series from any national securities exchange (if so listed) and (b) all conditions precedent under the Indenture and the Security Documents relating to the legal defeasance of the Notes of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We may also, upon compliance with the conditions described in this paragraph, exercise our option to be released from our obligations under the covenants described under “—Certain covenants,” “—Repurchase at the option of holders” and “—SEC reports” with respect to the applicable series of Notes. Upon our exercise of such option, we may omit to comply with and shall have no liability in respect of any term, condition or limitation set forth in any such covenant, and such omission to comply shall not constitute a Default or an Event of Default (“</w:t>
      </w:r>
      <w:r>
        <w:rPr>
          <w:rFonts w:ascii="Times New Roman" w:hAnsi="Times New Roman"/>
          <w:i/>
          <w:sz w:val="20"/>
        </w:rPr>
        <w:t>covenant defeasance</w:t>
      </w:r>
      <w:r>
        <w:rPr>
          <w:rFonts w:ascii="Times New Roman" w:hAnsi="Times New Roman"/>
          <w:sz w:val="20"/>
        </w:rPr>
        <w:t xml:space="preserve">”). In order to exercise this covenant defeasance option, we must, among other things, (i) deposit with the Trustee, for the benefit of the Holders, trust money or U.S. government obligations that are sufficient (as certified by a nationally recognized independent public accountant or appraisal firm designated by the Issuer) to pay all principal, premium and interest on the Notes of such series, (ii) deliver to the Trustee an Opinion of Counsel to the effect that the deposit and related covenant defeasance would not cause the beneficial owners of the Notes of such series to recognize income, gain or loss for United States federal income tax purposes and (iii) deliver to the Trustee an Officers’ Certificate and an Opinion of Counsel to the effect that (a) the deposit and related covenant defeasance would not result in the delisting of the Notes of such series from any national securities exchange (if so listed) and (b) all conditions precedent under the Indenture and the Security Documents relating to the covenant defeasance of the Notes of such series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Notices to Holders will be delivered to the addresses of the holders listed in the security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We will construe the Indenture and the Notes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normal banking relationships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pPr>
      <w:r>
        <w:rPr/>
        <w:t>“</w:t>
      </w:r>
      <w:r>
        <w:rPr>
          <w:rFonts w:ascii="Times New Roman" w:hAnsi="Times New Roman"/>
          <w:i/>
          <w:sz w:val="20"/>
        </w:rPr>
        <w:t>Additional First Lien Obligations</w:t>
      </w:r>
      <w:r>
        <w:rPr>
          <w:rFonts w:ascii="Times New Roman" w:hAnsi="Times New Roman"/>
          <w:sz w:val="20"/>
        </w:rPr>
        <w:t xml:space="preserve">” means Obligations in respect of any Indebtedness incurred after the Issue Date that is secured by a Lien on the Common Collateral pursuant to the applicable First Lien Security Documents, which Lien is permitted to be incurred under the Indenture, the Security Documents and all other then-existing First Lien Security Documents. </w:t>
      </w:r>
    </w:p>
    <w:p>
      <w:pPr>
        <w:pStyle w:val="TextBody"/>
        <w:bidi w:val="0"/>
        <w:spacing w:before="240" w:after="0"/>
        <w:jc w:val="left"/>
        <w:rPr/>
      </w:pPr>
      <w:r>
        <w:rPr/>
        <w:t>“</w:t>
      </w:r>
      <w:r>
        <w:rPr>
          <w:rFonts w:ascii="Times New Roman" w:hAnsi="Times New Roman"/>
          <w:i/>
          <w:sz w:val="20"/>
        </w:rPr>
        <w:t>Additional First Lien Secured Parties</w:t>
      </w:r>
      <w:r>
        <w:rPr>
          <w:rFonts w:ascii="Times New Roman" w:hAnsi="Times New Roman"/>
          <w:sz w:val="20"/>
        </w:rPr>
        <w:t xml:space="preserve">” means the holders of any Additional First Lien Obligations and any Authorized Representative with respect thereto. </w:t>
      </w:r>
    </w:p>
    <w:p>
      <w:pPr>
        <w:pStyle w:val="TextBody"/>
        <w:bidi w:val="0"/>
        <w:spacing w:before="240" w:after="0"/>
        <w:jc w:val="left"/>
        <w:rPr/>
      </w:pPr>
      <w:r>
        <w:rPr/>
        <w:t>“</w:t>
      </w:r>
      <w:r>
        <w:rPr>
          <w:rFonts w:ascii="Times New Roman" w:hAnsi="Times New Roman"/>
          <w:i/>
          <w:sz w:val="20"/>
        </w:rPr>
        <w:t>Additional Indebtedness</w:t>
      </w:r>
      <w:r>
        <w:rPr>
          <w:rFonts w:ascii="Times New Roman" w:hAnsi="Times New Roman"/>
          <w:sz w:val="20"/>
        </w:rPr>
        <w:t xml:space="preserve">” means Indebtedness of the Issuer for borrowed money (excluding Indebtedness under the Senior Credit Facility, any First Lien Obligations or any Junior Lien Obligations) under any debt securities or term loans broadly syndicated to institutional investors in a principal amount in excess of $50.0 million.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purposes of this definition, “</w:t>
      </w:r>
      <w:r>
        <w:rPr>
          <w:rFonts w:ascii="Times New Roman" w:hAnsi="Times New Roman"/>
          <w:i/>
          <w:sz w:val="20"/>
        </w:rPr>
        <w:t>control</w:t>
      </w:r>
      <w:r>
        <w:rPr>
          <w:rFonts w:ascii="Times New Roman" w:hAnsi="Times New Roman"/>
          <w:sz w:val="20"/>
        </w:rPr>
        <w:t>” (including, with correlative meanings, the terms “</w:t>
      </w:r>
      <w:r>
        <w:rPr>
          <w:rFonts w:ascii="Times New Roman" w:hAnsi="Times New Roman"/>
          <w:i/>
          <w:sz w:val="20"/>
        </w:rPr>
        <w:t>controlling</w:t>
      </w:r>
      <w:r>
        <w:rPr>
          <w:rFonts w:ascii="Times New Roman" w:hAnsi="Times New Roman"/>
          <w:sz w:val="20"/>
        </w:rPr>
        <w:t>,” “</w:t>
      </w:r>
      <w:r>
        <w:rPr>
          <w:rFonts w:ascii="Times New Roman" w:hAnsi="Times New Roman"/>
          <w:i/>
          <w:sz w:val="20"/>
        </w:rPr>
        <w:t>controlled by</w:t>
      </w:r>
      <w:r>
        <w:rPr>
          <w:rFonts w:ascii="Times New Roman" w:hAnsi="Times New Roman"/>
          <w:sz w:val="20"/>
        </w:rPr>
        <w:t>” and “</w:t>
      </w:r>
      <w:r>
        <w:rPr>
          <w:rFonts w:ascii="Times New Roman" w:hAnsi="Times New Roman"/>
          <w:i/>
          <w:sz w:val="20"/>
        </w:rPr>
        <w:t>under common control with</w:t>
      </w:r>
      <w:r>
        <w:rPr>
          <w:rFonts w:ascii="Times New Roman" w:hAnsi="Times New Roman"/>
          <w:sz w:val="20"/>
        </w:rPr>
        <w:t xml:space="preserve">”),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pPr>
      <w:r>
        <w:rPr/>
        <w:t>“</w:t>
      </w:r>
      <w:r>
        <w:rPr>
          <w:rFonts w:ascii="Times New Roman" w:hAnsi="Times New Roman"/>
          <w:i/>
          <w:sz w:val="20"/>
        </w:rPr>
        <w:t>Applicable Authorized Representative</w:t>
      </w:r>
      <w:r>
        <w:rPr>
          <w:rFonts w:ascii="Times New Roman" w:hAnsi="Times New Roman"/>
          <w:sz w:val="20"/>
        </w:rPr>
        <w:t xml:space="preserve">” means, (1) with respect to any Common Collateral, (i) until the earlier of (x) the Discharge of Senior Credit Facility Obligations and (y) the Non-Controlling Authorized Representative Enforcement Date, the administrative agent under the Senior Credit Facility and (ii) from and after the earlier of (x) the Discharge of Senior Credit Facility Obligations and (y) the Non-Controlling Authorized Representative Enforcement Date, the Major Non-Controlling Authorized Representative and (2) with respect to any Collateral that is not Common Collateral, the Authorized Representative of the Series of First Lien Obligations that is secured by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with respect to actions with respect to Collateral that is not Common Collateral, (a) the Authorized Representative of the Series of First Lien Obligations secured by such Collateral shall have the sole right to instruct the First Lien Collateral Agent to act or refrain from acting with respect to the Collateral that is not Common Collateral, (b) the First Lien Collateral Agent shall not follow any instructions with respect to such Collateral that is not Common Collateral from any Person (other than such Authorized Representative), and (c) no Authorized Representative (other than the Authorized Representative of the Series of First Lien Obligations secured by such Collateral) will instruct the First Lien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that is not Common Collateral. </w:t>
      </w:r>
    </w:p>
    <w:p>
      <w:pPr>
        <w:pStyle w:val="TextBody"/>
        <w:bidi w:val="0"/>
        <w:spacing w:before="240" w:after="0"/>
        <w:jc w:val="left"/>
        <w:rPr/>
      </w:pPr>
      <w:r>
        <w:rPr/>
        <w:t>“</w:t>
      </w:r>
      <w:r>
        <w:rPr>
          <w:rFonts w:ascii="Times New Roman" w:hAnsi="Times New Roman"/>
          <w:i/>
          <w:sz w:val="20"/>
        </w:rPr>
        <w:t>Attributable Indebtedness</w:t>
      </w:r>
      <w:r>
        <w:rPr>
          <w:rFonts w:ascii="Times New Roman" w:hAnsi="Times New Roman"/>
          <w:sz w:val="20"/>
        </w:rPr>
        <w:t xml:space="preserve">” in respect of a Sale and Lease-Back Transaction means, as at the time of determination, the present value (discounted at the interest rate implicit in the transaction) of the total obligations of the lessee for rental payments during the remaining term of the lease included in such Sale and Lease-Back Transaction (including any period for which such lease has been extended), determined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Sale and Lease-Back Transaction results in a Capitalized Lease Obligation, the amount of Indebtedness represented thereby will be determined in accordance with the definition of “Capitalized Lease Obligations.” </w:t>
      </w:r>
    </w:p>
    <w:p>
      <w:pPr>
        <w:pStyle w:val="TextBody"/>
        <w:bidi w:val="0"/>
        <w:spacing w:before="240" w:after="0"/>
        <w:jc w:val="left"/>
        <w:rPr/>
      </w:pPr>
      <w:r>
        <w:rPr/>
        <w:t>“</w:t>
      </w:r>
      <w:r>
        <w:rPr>
          <w:rFonts w:ascii="Times New Roman" w:hAnsi="Times New Roman"/>
          <w:i/>
          <w:sz w:val="20"/>
        </w:rPr>
        <w:t>Authorized Representative</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Senior Credit Facility Obligations or the Credit Agreement Secured Parties (as defined in the Security Agreement), the administrative agent under the Senior Credit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Existing 2026 Notes Obligations, the Existing 2029 Notes Obligations, the Existing 2030 Notes Obligations, the Existing 2032 Notes Obligations and the Existing 2034 Notes Obligations or the holders of the Existing 2026 Notes, the holders of the Existing 2029 Notes, the holders of the Existing 2030 Notes, the holders of the Existing 2032 Notes and the holders of the Existing 2034 Notes, U.S. Bank Trust Company, National Association (as successor to MUFG Union Bank, N.A. in the case of the Existing 2030 Notes), as trustee for the holders of the Existing 2026 Notes, the holders of the Existing 2029 Notes, the holders of the Existing 2030 Notes, the holders of the Existing 2032 Notes and the holders of the Existing 2034 Notes,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Notes Obligations or the Holders,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Series of Additional First Lien Obligations or Additional First Lien Secured Parties that become subject to the Security Agreement, the Authorized Representative named for such Series in the applicable joinder agreement. </w:t>
            </w:r>
          </w:p>
        </w:tc>
      </w:tr>
    </w:tbl>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means Title 11 of the United States Code, as amended.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the Bankruptcy Code and any similar federal, state or foreign law for the relief of debtors. </w:t>
      </w:r>
    </w:p>
    <w:p>
      <w:pPr>
        <w:pStyle w:val="TextBody"/>
        <w:bidi w:val="0"/>
        <w:spacing w:before="240" w:after="0"/>
        <w:jc w:val="left"/>
        <w:rPr/>
      </w:pPr>
      <w:r>
        <w:rPr/>
        <w:t>“</w:t>
      </w:r>
      <w:r>
        <w:rPr>
          <w:rFonts w:ascii="Times New Roman" w:hAnsi="Times New Roman"/>
          <w:i/>
          <w:sz w:val="20"/>
        </w:rPr>
        <w:t>Base Security Agreement</w:t>
      </w:r>
      <w:r>
        <w:rPr>
          <w:rFonts w:ascii="Times New Roman" w:hAnsi="Times New Roman"/>
          <w:sz w:val="20"/>
        </w:rPr>
        <w:t xml:space="preserve">” means the Amended and Restated Collateral Agreement, dated as of August 7, 2014, by and among the Issuer, the subsidiary grantors named therein, the First Lien Collateral Agent and the Authorized Representatives, as supplemented by the Additional Authorized Representative Joinders, dated as of June 3, 2016, September 21, 2020 and September 26, 2024, respectively, and as the same may be further amended, restated or modified from time to time.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which is not a Legal Holiday.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of, or distributions of assets of, the issuing Person. </w:t>
            </w:r>
          </w:p>
        </w:tc>
      </w:tr>
    </w:tbl>
    <w:p>
      <w:pPr>
        <w:pStyle w:val="TextBody"/>
        <w:bidi w:val="0"/>
        <w:spacing w:before="240" w:after="0"/>
        <w:jc w:val="left"/>
        <w:rPr/>
      </w:pPr>
      <w:r>
        <w:rPr/>
        <w:t>“</w:t>
      </w:r>
      <w:r>
        <w:rPr>
          <w:rFonts w:ascii="Times New Roman" w:hAnsi="Times New Roman"/>
          <w:i/>
          <w:sz w:val="20"/>
        </w:rPr>
        <w:t>Capitalized Lease Obligations</w:t>
      </w:r>
      <w:r>
        <w:rPr>
          <w:rFonts w:ascii="Times New Roman" w:hAnsi="Times New Roman"/>
          <w:sz w:val="20"/>
        </w:rPr>
        <w:t xml:space="preserve">” means an obligation that is required to be classified and accounted for as a capitalized lease for financial reporting purposes in accordance with GAAP, and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euros or any national currency of any participating member state of the EMU or such local currencies held by the Issuer and its Restricted Subsidiaries from time to time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issued or directly and fully and unconditionally guaranteed or insured by the U.S. government (or any agency or instrumentality thereof the securities of which are unconditionally guaranteed as a full faith and credit obligation of the U.S. government) with maturities of 24 months or less from the date of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$500.0 million in the case of U.S. banks and $100.0 million (or the U.S. dollar equivalent as of the date of determination) in the case of non-U.S.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obligations for underlying securities of the types described in clauses (3) and (4) entered into with any financial institution meeting the qualifications specified in clause (4)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paper rated at least P-1 by Moody’s or at least A-1 by S&amp;P and in each case maturing within 24 months after the date of creation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funds investing 95% of their assets in securities of the types described in clauses (1) through (7)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readily marketable direct obligations issued by any state, commonwealth or territory of the United States or any political subdivision or taxing authority thereof having an Investment Grade Rating from either Moody’s or S&amp;P with maturities of 24 months or less from the date of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or Preferred Stock issued by Persons with a rating of A or higher from S&amp;P or A2 or higher from Moody’s with maturities of 24 months or less from the date of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with average maturities of 24 months or less from the date of acquisition in money market funds rated AAA- (or the equivalent thereof) or better by S&amp;P or Aaa3 (or the equivalent thereof) or better by Moody’s.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and (2) above; </w:t>
      </w:r>
      <w:r>
        <w:rPr>
          <w:rFonts w:ascii="Times New Roman" w:hAnsi="Times New Roman"/>
          <w:i/>
          <w:sz w:val="20"/>
        </w:rPr>
        <w:t xml:space="preserve">provided </w:t>
      </w:r>
      <w:r>
        <w:rPr>
          <w:rFonts w:ascii="Times New Roman" w:hAnsi="Times New Roman"/>
          <w:sz w:val="20"/>
        </w:rPr>
        <w:t xml:space="preserve">that such amounts are converted into any currency listed in clauses (1) and (2) as promptly as practicable and in any event within ten Business Days following the receipt of such amounts. </w:t>
      </w:r>
    </w:p>
    <w:p>
      <w:pPr>
        <w:pStyle w:val="TextBody"/>
        <w:bidi w:val="0"/>
        <w:spacing w:before="240" w:after="0"/>
        <w:jc w:val="left"/>
        <w:rPr/>
      </w:pPr>
      <w:r>
        <w:rPr/>
        <w:t>“</w:t>
      </w:r>
      <w:r>
        <w:rPr>
          <w:rFonts w:ascii="Times New Roman" w:hAnsi="Times New Roman"/>
          <w:i/>
          <w:sz w:val="20"/>
        </w:rPr>
        <w:t>CFC</w:t>
      </w:r>
      <w:r>
        <w:rPr>
          <w:rFonts w:ascii="Times New Roman" w:hAnsi="Times New Roman"/>
          <w:sz w:val="20"/>
        </w:rPr>
        <w:t xml:space="preserve">” means a “controlled foreign corporation” within the meaning of Section 957(a) of the Code.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of related persons (as such terms are used in Sections 13(d) and 14(d) of the Exchange Act), other than one or more Permitted Holders, becomes the beneficial owner (as defined in Rules 13d-3 and 13d-5 under the Exchange Act, except that such person or group shall be deemed to have “beneficial ownership” of all shares that any such person or group has the right to acquire, whether such right is exercisable immediately or only after the passage of time), directly or indirectly, of more than 50% of the total voting power of the Voting Stock of the Issuer or any of its direct or indirect parent entities (or their successors by merger, consolidation or purchase of all or substantially all of their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assignment, conveyance, transfer, lease or other disposition (other than by way of merger or consolidation), in one or a series of related transactions, of all or substantially all of the assets of the Issuer and its Restricted Subsidiaries taken as a whole to any “person” (as such term is used in Sections 13(d) and 14(d) of the Exchange Act) other than transactions with a Permitted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the stockholders of the Issuer of a plan or proposal for the liquidation or dissolution of the Issuer.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or any successor thereto.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property and assets of the Issuer or any Secured Guarantor, whether owned on the Issue Date or thereafter acquired, in which Liens are, from time to time, granted or purported to be granted to secure the Notes and the Guarantees pursuant to the Indenture and the Security Documents. </w:t>
      </w:r>
    </w:p>
    <w:p>
      <w:pPr>
        <w:pStyle w:val="TextBody"/>
        <w:bidi w:val="0"/>
        <w:spacing w:before="240" w:after="0"/>
        <w:jc w:val="left"/>
        <w:rPr/>
      </w:pPr>
      <w:r>
        <w:rPr/>
        <w:t>“</w:t>
      </w:r>
      <w:r>
        <w:rPr>
          <w:rFonts w:ascii="Times New Roman" w:hAnsi="Times New Roman"/>
          <w:i/>
          <w:sz w:val="20"/>
        </w:rPr>
        <w:t>Collateral Release Date</w:t>
      </w:r>
      <w:r>
        <w:rPr>
          <w:rFonts w:ascii="Times New Roman" w:hAnsi="Times New Roman"/>
          <w:sz w:val="20"/>
        </w:rPr>
        <w:t xml:space="preserve">” has the meaning assigned to such term under “—Release of collateral and guarantees upon investment grade rating event.” </w:t>
      </w:r>
    </w:p>
    <w:p>
      <w:pPr>
        <w:pStyle w:val="TextBody"/>
        <w:bidi w:val="0"/>
        <w:spacing w:before="240" w:after="0"/>
        <w:jc w:val="left"/>
        <w:rPr/>
      </w:pPr>
      <w:r>
        <w:rPr/>
        <w:t>“</w:t>
      </w:r>
      <w:r>
        <w:rPr>
          <w:rFonts w:ascii="Times New Roman" w:hAnsi="Times New Roman"/>
          <w:i/>
          <w:sz w:val="20"/>
        </w:rPr>
        <w:t>Collections</w:t>
      </w:r>
      <w:r>
        <w:rPr>
          <w:rFonts w:ascii="Times New Roman" w:hAnsi="Times New Roman"/>
          <w:sz w:val="20"/>
        </w:rPr>
        <w:t xml:space="preserve">” means (a) with respect to any Receivable, all cash collections and other cash proceeds of such Receivable, including, without limitation, all cash proceeds of Related Security with respect to such Receivable, and all funds deemed to have been received by the applicable Issuer or the Secured Guarantors or any other Person with respect thereto, and (b) with respect to any Participation Interest, all cash collections and other cash proceeds of the Receivable underlying such Participation Interest, including, without limitation, all cash proceeds of Related Security with respect to such Participation Interest, and all funds deemed to have been received by the Issuer or the Secured Guarantors or any other Person with respect thereto. </w:t>
      </w:r>
    </w:p>
    <w:p>
      <w:pPr>
        <w:pStyle w:val="TextBody"/>
        <w:bidi w:val="0"/>
        <w:spacing w:before="240" w:after="0"/>
        <w:jc w:val="left"/>
        <w:rPr/>
      </w:pPr>
      <w:r>
        <w:rPr/>
        <w:t>“</w:t>
      </w:r>
      <w:r>
        <w:rPr>
          <w:rFonts w:ascii="Times New Roman" w:hAnsi="Times New Roman"/>
          <w:i/>
          <w:sz w:val="20"/>
        </w:rPr>
        <w:t>Common Collateral</w:t>
      </w:r>
      <w:r>
        <w:rPr>
          <w:rFonts w:ascii="Times New Roman" w:hAnsi="Times New Roman"/>
          <w:sz w:val="20"/>
        </w:rPr>
        <w:t xml:space="preserve">” means, at any time, Collateral in which the holders of two or more Series of First Lien Obligations (or their respective Authorized Representatives or the First Lien Collateral Agent on behalf of such Authorized Representative) hold a valid security interest at such time. If more than two Series of First Lien Obligations are outstanding at any time and the holders of less than all Series of First Lien Obligations hold a valid security interest in any Collateral at such time then such Collateral shall constitute Common Collateral for those Series of First Lien Obligations that hold a valid security interest in such Collateral at such time and shall not constitute Common Collateral for any Series which does not have a valid security interest in such Collateral at such time. </w:t>
      </w:r>
    </w:p>
    <w:p>
      <w:pPr>
        <w:pStyle w:val="TextBody"/>
        <w:bidi w:val="0"/>
        <w:spacing w:before="240" w:after="0"/>
        <w:jc w:val="left"/>
        <w:rPr/>
      </w:pPr>
      <w:r>
        <w:rPr/>
        <w:t>“</w:t>
      </w:r>
      <w:r>
        <w:rPr>
          <w:rFonts w:ascii="Times New Roman" w:hAnsi="Times New Roman"/>
          <w:i/>
          <w:sz w:val="20"/>
        </w:rPr>
        <w:t>Common Stock</w:t>
      </w:r>
      <w:r>
        <w:rPr>
          <w:rFonts w:ascii="Times New Roman" w:hAnsi="Times New Roman"/>
          <w:sz w:val="20"/>
        </w:rPr>
        <w:t xml:space="preserve">”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 </w:t>
      </w:r>
    </w:p>
    <w:p>
      <w:pPr>
        <w:pStyle w:val="TextBody"/>
        <w:bidi w:val="0"/>
        <w:spacing w:before="240" w:after="0"/>
        <w:jc w:val="left"/>
        <w:rPr/>
      </w:pPr>
      <w:r>
        <w:rPr/>
        <w:t>“</w:t>
      </w:r>
      <w:r>
        <w:rPr>
          <w:rFonts w:ascii="Times New Roman" w:hAnsi="Times New Roman"/>
          <w:i/>
          <w:sz w:val="20"/>
        </w:rPr>
        <w:t>Consolidated Coverage Ratio</w:t>
      </w:r>
      <w:r>
        <w:rPr>
          <w:rFonts w:ascii="Times New Roman" w:hAnsi="Times New Roman"/>
          <w:sz w:val="20"/>
        </w:rPr>
        <w:t xml:space="preserve">” means as of any date of determination, with respect to any Person, the ratio of (x) the aggregate amount of Consolidated EBITDA of such Person for the period of the most recent four consecutive fiscal quarters ending prior to the date of such determination for which financial statements prepared on a consolidated basis in accordance with GAAP are available to (y) Consolidated Interest Expense for such four fiscal quarters;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Issuer or any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Incurred any Indebtedness since the beginning of such period that remains outstanding on such date of determination or if the transaction giving rise to the need to calculate the Consolidated Coverage Ratio includes an Incurrence of Indebtedness, Consolidated EBITDA and Consolidated Interest Expense for such period will be calculated after giving effect on a pro forma basis to such Indebtedness as if such Indebtedness had been Incurred on the first day of such period (except that in making such computation, the amount of Indebtedness under any revolving Credit Facility outstanding on the date of such calculation will be deemed to be (i) the average daily balance of such Indebtedness during such four fiscal quarters or such shorter period for which such facility was outstanding or (ii) if such facility was created after the end of such four fiscal quarters, the average daily balance of such Indebtedness during the period from the date of creation of such facility to the date of such calculation) and the discharge of any other Indebtedness repaid, repurchased, redeemed, retired, defeased or otherwise discharged with the proceeds of such new Indebtedness as if such discharge had occurred on the first day of such period;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repaid, repurchased, redeemed, retired, defeased or otherwise discharged any Indebtedness since the beginning of the period that is no longer outstanding on such date of determination or if the transaction giving rise to the need to calculate the Consolidated Coverage Ratio includes a discharge of Indebtedness (in each case, other than Indebtedness Incurred under any revolving Credit Facility unless such Indebtedness has been permanently repaid and the related commitment terminated and not replaced), Consolidated EBITDA and Consolidated Interest Expense for such period will be calculated after giving effect on a pro forma basis to such discharge of such Indebtedness, including with the proceeds of such new Indebtedness, as if such discharge had occurred on the first day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the Issuer or any Restricted Subsidiary will have disposed of any assets or disposed of or discontinued (as defined under GAAP) any company, division, operating unit, segment, business, group of related assets or line of business or if the transaction giving rise to the need to calculate the Consolidated Coverage Ratio includes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EBITDA for such period will be reduced by an amount equal to the Consolidated EBITDA (if positive) directly attributable to the assets that are the subject of such disposition or discontinuation for such period or increased by an amount equal to the Consolidated EBITDA (if negative) directly attributable thereto for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Expense for such period will be reduced by an amount equal to the Consolidated Interest Expense directly attributable to any Indebtedness of the Issuer or any Restricted Subsidiary repaid, repurchased, redeemed, retired, defeased or otherwise discharged (to the extent the related commitment is permanently reduced) with respect to the Issuer and its continuing Restricted Subsidiaries in connection with such transaction for such period (or, if the Capital Stock of any Restricted Subsidiary is sold, the Consolidated Interest Expense for such period directly attributable to the Indebtedness of such Restricted Subsidiary to the extent the Issuer and its continuing Restricted Subsidiaries are no longer liable for such Indebtedness after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the Issuer or any Restricted Subsidiary (by merger or otherwise) will have made an Investment in any Restricted Subsidiary (or any Person that becomes a Restricted Subsidiary or is merged with or into the Issuer or a Restricted Subsidiary) or an acquisition of assets, including any acquisition of assets occurring in connection with a transaction causing a calculation to be made hereunder, which constitutes all or substantially all of a company, division, operating unit, segment, business, group of related assets or line of business, Consolidated EBITDA and Consolidated Interest Expense for such period will be calculated after giving pro forma effect thereto (including the Incurrence of any Indebtedness) as if such Investment or acquisition occurred on the first day of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since the beginning of such period any Person (that subsequently became a Restricted Subsidiary or was merged with or into the Issuer or any Restricted Subsidiary since the beginning of such period) will have Incurred any Indebtedness or discharged any Indebtedness, made any disposition or any Investment or acquisition of assets that would have required an adjustment pursuant to clause (1), (2) or (3) above if made by the Issuer or a Restricted Subsidiary during such period, Consolidated EBITDA and Consolidated Interest Expense for such period will be calculated after giving pro forma effect thereto as if such transaction occurred on the first day of such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whenever pro forma effect is to be given to any calculation under this definition, the pro forma calculations will be determined in good faith by a responsible financial or accounting officer of the Issuer (including pro forma expense and cost reductions calculated on a basis consistent with Regulation S-X under the Securities Act). If any Indebtedness bears a floating rate of interest and is being given pro forma effect, the interest expense on such Indebtedness will be calculated as if the rate in effect on the date of determination had been the applicable rate for the entire period (taking into account any Interest Rate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such Indebtedness if such Interest Rate Agreement has a remaining term in excess of 12 months). If any Indebtedness that is being given pro forma effect bears an interest rate at the option of the Issuer, the interest rate shall be calculated by applying such optional rate chosen by the Issuer.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(without duplication) by the following items to the extent deducted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Expense;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Income Taxes;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depreciation expense;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amortization expense or impairment charges recorded in connection with the application of Accounting Standards Codification Topic 350, </w:t>
            </w:r>
            <w:r>
              <w:rPr>
                <w:rFonts w:ascii="Times New Roman" w:hAnsi="Times New Roman"/>
                <w:i/>
                <w:sz w:val="20"/>
              </w:rPr>
              <w:t xml:space="preserve">Intangibles—Goodwill and Other, </w:t>
            </w:r>
            <w:r>
              <w:rPr>
                <w:rFonts w:ascii="Times New Roman" w:hAnsi="Times New Roman"/>
                <w:sz w:val="20"/>
              </w:rPr>
              <w:t>or Topic 360</w:t>
            </w:r>
            <w:r>
              <w:rPr>
                <w:rFonts w:ascii="Times New Roman" w:hAnsi="Times New Roman"/>
                <w:i/>
                <w:sz w:val="20"/>
              </w:rPr>
              <w:t>, Property, Plant and Equipment</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non-cash charges reducing Consolidated Net Income, including any write-offs or write-downs (excluding any such non-cash charge to the extent it represents an accrual of or reserve for cash charges in any future period or amortization of a prepaid cash expense that was capitalized at the time of payment; </w:t>
            </w:r>
            <w:r>
              <w:rPr>
                <w:rFonts w:ascii="Times New Roman" w:hAnsi="Times New Roman"/>
                <w:i/>
                <w:sz w:val="20"/>
              </w:rPr>
              <w:t xml:space="preserve">provided </w:t>
            </w:r>
            <w:r>
              <w:rPr>
                <w:rFonts w:ascii="Times New Roman" w:hAnsi="Times New Roman"/>
                <w:sz w:val="20"/>
              </w:rPr>
              <w:t xml:space="preserve">that the Issuer is permitted to add back non-cash charges representing an accrual or reserve relating to any legal, administrative or governmental claim, litigation, investigation or proceedings, even if cash charges may be anticipated in any future period, so long as adding back such non-cash charges is consistent with the Issuer’s past practice in its publicly reported “EBITDA” or “Adjusted EBITDA” included in its annual or quarterly earnings reports) and noncash compensation expense recorded from grants of stock appreciation or similar rights, stock options, restricted stock or other rights to officers, directors or employees;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cash expenses or losses, including, without limitation, severance costs, relocation costs, consolidation and closing costs, integration and facilities opening costs, business optimization costs, transition costs, restructuring costs, signing, retention or completion bonuses, and curtailments or modifications to pension and post-retirement employee benefit plans, in each case so long as adding back such expenses or losses is consistent with the Issuer’s past practice in its publicly reported “EBITDA” or “Adjusted EBITDA” included in its annual or quarterly earnings reports;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non-recurring fees, charges or expenses paid in connection with the Transactions within 180 days of the Issue Date that were deducted in computing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(without duplication) by the following items to the extent included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items increasing Consolidated Net Income of such Person for such period (excluding any items which represent the reversal of any accrual of, or reserve for, anticipated cash charges that reduced Consolidated EBITDA in any prior period), </w:t>
            </w:r>
            <w:r>
              <w:rPr>
                <w:rFonts w:ascii="Times New Roman" w:hAnsi="Times New Roman"/>
                <w:i/>
                <w:sz w:val="20"/>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cash gains or income so long as deducting such gains or income is consistent with the Issuer’s past practice in its publicly reported “EBITDA” or “Adjusted EBITDA” included in its annual or quarterly earnings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decreased (without duplication) to eliminate the following items reflected in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unrealized net gain or loss resulting in such period from Hedging Obligations and the application of Accounting Standards Codification Topic 815, </w:t>
            </w:r>
            <w:r>
              <w:rPr>
                <w:rFonts w:ascii="Times New Roman" w:hAnsi="Times New Roman"/>
                <w:i/>
                <w:sz w:val="20"/>
              </w:rPr>
              <w:t>Derivatives and Hedging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gain or loss resulting in such period from currency translation gains or losses related to currency remeasurements of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adjustments (including the effects of such adjustments pushed down to the Issuer and its Restricted Subsidiaries) in any line item in such Person’s consolidated financial statements pursuant to GAAP resulting from the application of accounting in relation to any completed acquisition. </w:t>
            </w:r>
          </w:p>
        </w:tc>
      </w:tr>
    </w:tbl>
    <w:p>
      <w:pPr>
        <w:pStyle w:val="TextBody"/>
        <w:bidi w:val="0"/>
        <w:spacing w:before="240" w:after="0"/>
        <w:jc w:val="left"/>
        <w:rPr/>
      </w:pPr>
      <w:r>
        <w:rPr/>
        <w:t>“</w:t>
      </w:r>
      <w:r>
        <w:rPr>
          <w:rFonts w:ascii="Times New Roman" w:hAnsi="Times New Roman"/>
          <w:i/>
          <w:sz w:val="20"/>
        </w:rPr>
        <w:t>Consolidated Income Taxes</w:t>
      </w:r>
      <w:r>
        <w:rPr>
          <w:rFonts w:ascii="Times New Roman" w:hAnsi="Times New Roman"/>
          <w:sz w:val="20"/>
        </w:rPr>
        <w:t xml:space="preserve">” means, with respect to any Person for any period, taxes imposed upon such Person or other payments required to be made by such Person by any governmental authority which taxes or other payments are calculated by reference to the income or profits or capital of such Person or such Person and its Restricted Subsidiaries (to the extent such income or profits were included in computing Consolidated Net Income for such period), including, without limitation, state, franchise and similar taxes and foreign withholding taxes regardless of whether such taxes or payments are required to be remitted to any governmental authority. </w:t>
      </w:r>
    </w:p>
    <w:p>
      <w:pPr>
        <w:pStyle w:val="TextBody"/>
        <w:bidi w:val="0"/>
        <w:spacing w:before="240" w:after="0"/>
        <w:jc w:val="left"/>
        <w:rPr/>
      </w:pPr>
      <w:r>
        <w:rPr/>
        <w:t>“</w:t>
      </w:r>
      <w:r>
        <w:rPr>
          <w:rFonts w:ascii="Times New Roman" w:hAnsi="Times New Roman"/>
          <w:i/>
          <w:sz w:val="20"/>
        </w:rPr>
        <w:t>Consolidated Interest Expense</w:t>
      </w:r>
      <w:r>
        <w:rPr>
          <w:rFonts w:ascii="Times New Roman" w:hAnsi="Times New Roman"/>
          <w:sz w:val="20"/>
        </w:rPr>
        <w:t xml:space="preserve">” means, for any period, the total interest expense of the Issuer and its consolidated Restricted Subsidiaries, whether paid or accrued, plus, to the extent not included in such interest expense: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attributable to Capitalized Lease Obligations and the interest portion of rent expense associated with Attributable Indebtedness in respect of the relevant lease giving rise thereto, determined as if such lease were a capitalized lease in accordance with GAAP and the interest component of any deferred payment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debt discount (including the amortization of original issue discount resulting from the issuance of Indebtedness at less than par) and debt issuance cost;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amortization of bond premium will be credited to reduce Consolidated Interest Expense unless, pursuant to GAAP, such amortization of bond premium has otherwise reduced Consolidated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interest expense, but any non-cash interest income or expense attributable to the movement in the mark-to-market valuation of Hedging Obligations or other derivative instruments pursuant to GAAP shall be excluded from the calculation of Consolidated Interest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commissions, discounts and other fees and charges owed with respect to letters of credit and bankers’ acceptance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expense on Indebtedness of another Person that is guaranteed by such Person or one of its Restricted Subsidiaries or secured by a Lien on assets of such Person or one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entering into Hedging Obligations (including amortization of fees) related to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of such Person and its Restricted Subsidiaries that was capitalized during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all dividends paid or payable, in cash, Cash Equivalents or Indebtedness or accrued during such period on any series of Disqualified Stock of such Person or on Preferred Stock of its Restricted Subsidiaries that are not Guarantors payable to a party other than the Issuer or a Wholly Owned Subsidiary, times (b) a fraction, the numerator of which is one and the denominator of which is one minus the then current combined federal, state, provincial and local statutory tax rate of such Person, expressed as a decimal, in each case, on a consolidated basis and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Receivables Fees;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contributions to any employee stock ownership plan or similar trust to the extent such contributions are used by such plan or trust to pay interest or fees to any Person (other than the Issuer and its Restricted Subsidiaries) in connection with Indebtedness Incurred by such plan or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 of calculating the Consolidated Coverage Ratio, the calculation of Consolidated Interest Expense shall include all interest expense (including any amounts described in clauses (1) through (10) above) relating to any Indebtedness of the Issuer or any Restricted Subsidiary described in the final paragraph of the definition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total interest expense will be determined (i) after giving effect to any net payments made or received by the Issuer and its Subsidiaries with respect to Interest Rate Agreements and (ii) exclusive of amounts classified as other comprehensive income in the balance sheet of the Issuer. Notwithstanding anything to the contrary contained herein, without duplication of clause (9) above, commissions, discounts, yield and other fees and charges Incurred in connection with any transaction pursuant to which the Issuer or its Restricted Subsidiaries may sell, convey or otherwise transfer or grant a security interest in any accounts receivable or related assets shall be included in Consolidated Interest Expense.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for any period, the net income (loss) of the Issuer and its consolidated Restricted Subsidiaries determined on a consolidated basis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there will not be included in such Consolidated Net Income on an after-tax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(loss) of any Person if such Person is not a Restricted Subsidiary or that is accounted for by the equity method of accounting, except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contained in clauses (3) through (7) below, the Issuer’s equity in the net income of any such Person for such period will be included in such Consolidated Net Income up to the aggregate amount of cash actually distributed by such Person during such period to the Issuer or a Restricted Subsidiary as a dividend or other distribution (subject, in the case of a dividend or other distribution to a Restricted Subsidiary, to the limitations contained in clause (2)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equity in a net loss of any such Person (other than an Unrestricted Subsidiary) for such period will be included in determining such Consolidated Net Income to the extent such loss has been funded with cash from the Issuer or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(but not loss) of any Restricted Subsidiary (other than a Subsidiary that is a Guarantor) if such Restricted Subsidiary is subject to prior government approval or other restrictions due to the operation of its charter or any agreement, instrument, judgment, decree, order, statute, rule or government regulation (which have not been waived), directly or indirectly, on the payment of dividends or the making of distributions by such Restricted Subsidiary, directly or indirectly, to the Issuer, except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contained in clauses (3) through (7) below, the Issuer’s equity in the net income of any such Restricted Subsidiary for such period will be included in such Consolidated Net Income up to the aggregate amount of cash that could have been distributed by such Restricted Subsidiary during such period to the Issuer or another Restricted Subsidiary as a dividend (subject, in the case of a dividend to another Restricted Subsidiary, to the limitation contained in this clause);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equity in a net loss of any such Restricted Subsidiary for such period will be included in determining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 or loss (less all fees and expenses relating thereto) realized upon sales or other dispositions of any assets of the Issuer or such Restricted Subsidiary, other than in the ordinary course of business, as determined in good faith by the Board of Directors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income or loss from discontinued operations and any gain or loss on disposal of discontinued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income (loss) from the early extinguishment of Indebtedness or Hedging Obligations or other derivative instruments;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gain or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income (loss) included in the consolidated statement of operations as noncontrolling interests due to the application of Accounting Standards Codification Topic 810, </w:t>
            </w:r>
            <w:r>
              <w:rPr>
                <w:rFonts w:ascii="Times New Roman" w:hAnsi="Times New Roman"/>
                <w:i/>
                <w:sz w:val="20"/>
              </w:rPr>
              <w:t>Consolidation</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cumulative effect of a change in accounting principles. </w:t>
            </w:r>
          </w:p>
        </w:tc>
      </w:tr>
    </w:tbl>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with respect to any Person, the total amount of assets (less applicable reserves and other properly deductible items) after deducting therefrom (a) all current liabilities as disclosed on the consolidated balance sheet of such Person (excluding any thereof which are by their terms extendible or renewable at the option of the obligor thereon to a time more than 12 months after the time as of which the amount thereof is being computed and further excluding any deferred income taxes that are included in current liabilities) and (b) all goodwill, trade names, trademarks, patents, unamortized debt discount and expense and other like intangible assets, all as set forth on the most recent consolidated balance sheet of the Issuer and computed in accordance with generally accepted accounting principles. </w:t>
      </w:r>
    </w:p>
    <w:p>
      <w:pPr>
        <w:pStyle w:val="TextBody"/>
        <w:bidi w:val="0"/>
        <w:spacing w:before="240" w:after="0"/>
        <w:jc w:val="left"/>
        <w:rPr/>
      </w:pPr>
      <w:r>
        <w:rPr/>
        <w:t>“</w:t>
      </w:r>
      <w:r>
        <w:rPr>
          <w:rFonts w:ascii="Times New Roman" w:hAnsi="Times New Roman"/>
          <w:i/>
          <w:sz w:val="20"/>
        </w:rPr>
        <w:t>Convertible Notes</w:t>
      </w:r>
      <w:r>
        <w:rPr>
          <w:rFonts w:ascii="Times New Roman" w:hAnsi="Times New Roman"/>
          <w:sz w:val="20"/>
        </w:rPr>
        <w:t xml:space="preserve">” means Indebtedness of the Issuer that is optionally convertible into Common Stock of the Issuer (and/or cash based on the value of such Common Stock) and/or Indebtedness of a Subsidiary of the Issuer that is optionally exchangeable for Common Stock of the Issuer (and/or cash based on the value of such Common Stock).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means, with respect to the Issuer or any of its Restricted Subsidiaries, one or more debt facilities, including the Senior Credit Facility and any Qualified Receivables Transaction, or other financing arrangements (including, without limitation, commercial paper facilities or indentures) providing for revolving credit loans, term loans, receivables financing, letters of credit or other long-term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 and whether or not the original administrative agent, lenders, trustees or other agents are parties thereto and whether provided under the original Senior Credit Facility, the Existing Receivables Facility or any other credit agreement or indenture.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Discharge of Senior Credit Facility Obligations</w:t>
      </w:r>
      <w:r>
        <w:rPr>
          <w:rFonts w:ascii="Times New Roman" w:hAnsi="Times New Roman"/>
          <w:sz w:val="20"/>
        </w:rPr>
        <w:t xml:space="preserve">” means, with respect to any Common Collateral, the date on which the Senior Credit Facility Obligations are no longer secured by such Common Collateral; </w:t>
      </w:r>
      <w:r>
        <w:rPr>
          <w:rFonts w:ascii="Times New Roman" w:hAnsi="Times New Roman"/>
          <w:i/>
          <w:sz w:val="20"/>
        </w:rPr>
        <w:t xml:space="preserve">provided </w:t>
      </w:r>
      <w:r>
        <w:rPr>
          <w:rFonts w:ascii="Times New Roman" w:hAnsi="Times New Roman"/>
          <w:sz w:val="20"/>
        </w:rPr>
        <w:t xml:space="preserve">that the Discharge of Senior Credit Facility Obligations shall not be deemed to have occurred in connection with a refinancing of such Senior Credit Facility Obligations with additional First Lien Obligations secured by such Common Collateral under an agreement relating to Additional First Lien Obligations which has been designated in writing by the administrative agent under such refinancing Senior Credit Facility to the First Lien Collateral Agent and each other Authorized Representative as the Senior Credit Facility for purposes of the Security Agreement.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Capital Stock is issued to any plan for the benefit of employees of the Issuer or its Subsidiaries or by any such plan to such employees, such Capital Stock shall not constitute Disqualified Stock solely because it may be required to be repurchased by the Issuer or its Subsidiaries in order to satisfy applicable statutory or regulatory obligations.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of the Issuer organized under the laws of the United States, any state, territory or commonwealth thereof or the District of Columbia (other than any such Subsidiary that (i) is treated as a disregarded entity for United States federal income tax purposes and whose regarded owner is a Foreign Subsidiary, (ii) is a CFC or (iii) substantially all of whose assets consist (directly or indirectly through disregarded entities) of the Equity Interests and/or Indebtedness of one or more CFCs). </w:t>
      </w:r>
    </w:p>
    <w:p>
      <w:pPr>
        <w:pStyle w:val="TextBody"/>
        <w:bidi w:val="0"/>
        <w:spacing w:before="240" w:after="0"/>
        <w:jc w:val="left"/>
        <w:rPr/>
      </w:pPr>
      <w:r>
        <w:rPr/>
        <w:t>“</w:t>
      </w:r>
      <w:r>
        <w:rPr>
          <w:rFonts w:ascii="Times New Roman" w:hAnsi="Times New Roman"/>
          <w:i/>
          <w:sz w:val="20"/>
        </w:rPr>
        <w:t>EMU</w:t>
      </w:r>
      <w:r>
        <w:rPr>
          <w:rFonts w:ascii="Times New Roman" w:hAnsi="Times New Roman"/>
          <w:sz w:val="20"/>
        </w:rPr>
        <w:t xml:space="preserve">” means the economic and monetary union as contemplated in the Treaty on European Union.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i/>
          <w:sz w:val="20"/>
        </w:rPr>
        <w:t>Existing 2026 Notes</w:t>
      </w:r>
      <w:r>
        <w:rPr>
          <w:rFonts w:ascii="Times New Roman" w:hAnsi="Times New Roman"/>
          <w:sz w:val="20"/>
        </w:rPr>
        <w:t xml:space="preserve">” means the $700.0 million aggregate principal amount of 1.65% senior secured notes due 2026 issued by the Issuer and outstanding on the Issue Date and any Additional Notes (as defined in the Existing 2026/2032 Notes Indenture) issued with respect to the initial 1.65% senior secured notes due 2026. </w:t>
      </w:r>
    </w:p>
    <w:p>
      <w:pPr>
        <w:pStyle w:val="TextBody"/>
        <w:bidi w:val="0"/>
        <w:spacing w:before="240" w:after="0"/>
        <w:jc w:val="left"/>
        <w:rPr/>
      </w:pPr>
      <w:r>
        <w:rPr/>
        <w:t>“</w:t>
      </w:r>
      <w:r>
        <w:rPr>
          <w:rFonts w:ascii="Times New Roman" w:hAnsi="Times New Roman"/>
          <w:i/>
          <w:sz w:val="20"/>
        </w:rPr>
        <w:t>Existing 2026/2032 Notes Indenture</w:t>
      </w:r>
      <w:r>
        <w:rPr>
          <w:rFonts w:ascii="Times New Roman" w:hAnsi="Times New Roman"/>
          <w:sz w:val="20"/>
        </w:rPr>
        <w:t xml:space="preserve">” means the indenture, dated as of August 24, 2021, among the Issuer, the guarantors party thereto, U.S. Bank Trust Company, National Association, as trustee, and JPMorgan Chase Bank, N.A. as collateral agent, as amended, supplemented or otherwise modified from time to time, as it relates to the Existing 2026 Notes. </w:t>
      </w:r>
    </w:p>
    <w:p>
      <w:pPr>
        <w:pStyle w:val="TextBody"/>
        <w:bidi w:val="0"/>
        <w:spacing w:before="240" w:after="0"/>
        <w:jc w:val="left"/>
        <w:rPr/>
      </w:pPr>
      <w:r>
        <w:rPr/>
        <w:t>“</w:t>
      </w:r>
      <w:r>
        <w:rPr>
          <w:rFonts w:ascii="Times New Roman" w:hAnsi="Times New Roman"/>
          <w:i/>
          <w:sz w:val="20"/>
        </w:rPr>
        <w:t>Existing 2026 Notes Obligations</w:t>
      </w:r>
      <w:r>
        <w:rPr>
          <w:rFonts w:ascii="Times New Roman" w:hAnsi="Times New Roman"/>
          <w:sz w:val="20"/>
        </w:rPr>
        <w:t xml:space="preserve">” means Obligations in respect of the Existing 2026 Notes, the Existing 2026/2032 Notes Indenture or the Security Documents as they relate to the Existing 2026 Notes. </w:t>
      </w:r>
    </w:p>
    <w:p>
      <w:pPr>
        <w:pStyle w:val="TextBody"/>
        <w:bidi w:val="0"/>
        <w:spacing w:before="240" w:after="0"/>
        <w:jc w:val="left"/>
        <w:rPr/>
      </w:pPr>
      <w:r>
        <w:rPr/>
        <w:t>“</w:t>
      </w:r>
      <w:r>
        <w:rPr>
          <w:rFonts w:ascii="Times New Roman" w:hAnsi="Times New Roman"/>
          <w:i/>
          <w:sz w:val="20"/>
        </w:rPr>
        <w:t>Existing 2026 Notes Secured Parties</w:t>
      </w:r>
      <w:r>
        <w:rPr>
          <w:rFonts w:ascii="Times New Roman" w:hAnsi="Times New Roman"/>
          <w:sz w:val="20"/>
        </w:rPr>
        <w:t xml:space="preserve">” means, at any relevant time, the holders of Existing 2026 Notes Obligations at such time, including without limitation U.S. Bank Trust Company, National Association (as successor to MUFG Union Bank, N.A.), as trustee for the holders of the Existing 2026 Notes, the registrar, paying agent and transfer agent, and the holders of Existing 2026 Notes (including the holders of any Additional Notes (as defined in the Existing 2026/2032 Notes Indenture) subsequently issued under and in compliance with the terms of the Existing 2026/2032 Notes Indenture). </w:t>
      </w:r>
    </w:p>
    <w:p>
      <w:pPr>
        <w:pStyle w:val="TextBody"/>
        <w:bidi w:val="0"/>
        <w:spacing w:before="240" w:after="0"/>
        <w:jc w:val="left"/>
        <w:rPr/>
      </w:pPr>
      <w:r>
        <w:rPr/>
        <w:t>“</w:t>
      </w:r>
      <w:r>
        <w:rPr>
          <w:rFonts w:ascii="Times New Roman" w:hAnsi="Times New Roman"/>
          <w:i/>
          <w:sz w:val="20"/>
        </w:rPr>
        <w:t>Existing 2029 Notes</w:t>
      </w:r>
      <w:r>
        <w:rPr>
          <w:rFonts w:ascii="Times New Roman" w:hAnsi="Times New Roman"/>
          <w:sz w:val="20"/>
        </w:rPr>
        <w:t xml:space="preserve">” means the $500.0 million aggregate principal amount of 4.625% senior secured notes due 2029 issued by the Issuer and outstanding on the Issue Date and any Additional Notes (as defined in the Existing 2029/2034 Notes Indenture) issued with respect to the initial 4.625% senior secured notes due 2029. </w:t>
      </w:r>
    </w:p>
    <w:p>
      <w:pPr>
        <w:pStyle w:val="TextBody"/>
        <w:bidi w:val="0"/>
        <w:spacing w:before="240" w:after="0"/>
        <w:jc w:val="left"/>
        <w:rPr/>
      </w:pPr>
      <w:r>
        <w:rPr/>
        <w:t>“</w:t>
      </w:r>
      <w:r>
        <w:rPr>
          <w:rFonts w:ascii="Times New Roman" w:hAnsi="Times New Roman"/>
          <w:i/>
          <w:sz w:val="20"/>
        </w:rPr>
        <w:t>Existing 2029/2034 Notes Indenture</w:t>
      </w:r>
      <w:r>
        <w:rPr>
          <w:rFonts w:ascii="Times New Roman" w:hAnsi="Times New Roman"/>
          <w:sz w:val="20"/>
        </w:rPr>
        <w:t xml:space="preserve">” means the indenture, dated as of September 26, 2024, among the Issuer, the guarantors party thereto, U.S. Bank Trust Company, National Association, as trustee, and JPMorgan Chase Bank, N.A. as collateral agent, as amended, supplemented or otherwise modified from time to time, as it relates to the Existing 2029 Notes. </w:t>
      </w:r>
    </w:p>
    <w:p>
      <w:pPr>
        <w:pStyle w:val="TextBody"/>
        <w:bidi w:val="0"/>
        <w:spacing w:before="240" w:after="0"/>
        <w:jc w:val="left"/>
        <w:rPr/>
      </w:pPr>
      <w:r>
        <w:rPr/>
        <w:t>“</w:t>
      </w:r>
      <w:r>
        <w:rPr>
          <w:rFonts w:ascii="Times New Roman" w:hAnsi="Times New Roman"/>
          <w:i/>
          <w:sz w:val="20"/>
        </w:rPr>
        <w:t>Existing 2029 Notes Obligations</w:t>
      </w:r>
      <w:r>
        <w:rPr>
          <w:rFonts w:ascii="Times New Roman" w:hAnsi="Times New Roman"/>
          <w:sz w:val="20"/>
        </w:rPr>
        <w:t xml:space="preserve">” means Obligations in respect of the Existing 2029 Notes, the Existing 2029/2034 Notes Indenture or the Security Documents as they relate to the Existing 2029 Notes. </w:t>
      </w:r>
    </w:p>
    <w:p>
      <w:pPr>
        <w:pStyle w:val="TextBody"/>
        <w:bidi w:val="0"/>
        <w:spacing w:before="240" w:after="0"/>
        <w:jc w:val="left"/>
        <w:rPr/>
      </w:pPr>
      <w:r>
        <w:rPr/>
        <w:t>“</w:t>
      </w:r>
      <w:r>
        <w:rPr>
          <w:rFonts w:ascii="Times New Roman" w:hAnsi="Times New Roman"/>
          <w:i/>
          <w:sz w:val="20"/>
        </w:rPr>
        <w:t>Existing 2029 Notes Secured Parties</w:t>
      </w:r>
      <w:r>
        <w:rPr>
          <w:rFonts w:ascii="Times New Roman" w:hAnsi="Times New Roman"/>
          <w:sz w:val="20"/>
        </w:rPr>
        <w:t xml:space="preserve">” means, at any relevant time, the holders of Existing 2029 Notes Obligations at such time, including without limitation U.S. Bank Trust Company, National Association, as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holders of the Existing 2029 Notes, the registrar, paying agent and transfer agent, and the holders of Existing 2029 Notes (including the holders of any Additional Notes (as defined in the Existing 2029/2034 Notes Indenture) subsequently issued under and in compliance with the terms of the Existing 2029/2034 Notes Indenture). </w:t>
      </w:r>
    </w:p>
    <w:p>
      <w:pPr>
        <w:pStyle w:val="TextBody"/>
        <w:bidi w:val="0"/>
        <w:spacing w:before="240" w:after="0"/>
        <w:jc w:val="left"/>
        <w:rPr/>
      </w:pPr>
      <w:r>
        <w:rPr/>
        <w:t>“</w:t>
      </w:r>
      <w:r>
        <w:rPr>
          <w:rFonts w:ascii="Times New Roman" w:hAnsi="Times New Roman"/>
          <w:i/>
          <w:sz w:val="20"/>
        </w:rPr>
        <w:t>Existing 2030 Notes</w:t>
      </w:r>
      <w:r>
        <w:rPr>
          <w:rFonts w:ascii="Times New Roman" w:hAnsi="Times New Roman"/>
          <w:sz w:val="20"/>
        </w:rPr>
        <w:t xml:space="preserve">” means the $800.0 million aggregate principal amount of 2.65% senior secured notes due 2030 issued by the Issuer and outstanding on the Issue Date and any Additional Notes (as defined in the Existing 2030 Notes Indenture) issued with respect to the initial 2.65% senior secured notes due 2030. </w:t>
      </w:r>
    </w:p>
    <w:p>
      <w:pPr>
        <w:pStyle w:val="TextBody"/>
        <w:bidi w:val="0"/>
        <w:spacing w:before="240" w:after="0"/>
        <w:jc w:val="left"/>
        <w:rPr/>
      </w:pPr>
      <w:r>
        <w:rPr/>
        <w:t>“</w:t>
      </w:r>
      <w:r>
        <w:rPr>
          <w:rFonts w:ascii="Times New Roman" w:hAnsi="Times New Roman"/>
          <w:i/>
          <w:sz w:val="20"/>
        </w:rPr>
        <w:t>Existing 2030 Notes Indenture</w:t>
      </w:r>
      <w:r>
        <w:rPr>
          <w:rFonts w:ascii="Times New Roman" w:hAnsi="Times New Roman"/>
          <w:sz w:val="20"/>
        </w:rPr>
        <w:t xml:space="preserve">” means the indenture, dated as of September 21, 2020, among the Issuer, the guarantors party thereto, U.S. Bank Trust Company, National Association (as successor to MUFG Union Bank, N.A.), as trustee, and JPMorgan Chase Bank, N.A. as collateral agent, as amended, supplemented or otherwise modified from time to time, as it relates to the Existing 2030 Notes. </w:t>
      </w:r>
    </w:p>
    <w:p>
      <w:pPr>
        <w:pStyle w:val="TextBody"/>
        <w:bidi w:val="0"/>
        <w:spacing w:before="240" w:after="0"/>
        <w:jc w:val="left"/>
        <w:rPr/>
      </w:pPr>
      <w:r>
        <w:rPr/>
        <w:t>“</w:t>
      </w:r>
      <w:r>
        <w:rPr>
          <w:rFonts w:ascii="Times New Roman" w:hAnsi="Times New Roman"/>
          <w:i/>
          <w:sz w:val="20"/>
        </w:rPr>
        <w:t>Existing 2030 Notes Obligations</w:t>
      </w:r>
      <w:r>
        <w:rPr>
          <w:rFonts w:ascii="Times New Roman" w:hAnsi="Times New Roman"/>
          <w:sz w:val="20"/>
        </w:rPr>
        <w:t xml:space="preserve">” means Obligations in respect of the Existing 2030 Notes, the Existing 2030 Notes Indenture or the Security Documents as they relate to the Existing 2030 Notes. </w:t>
      </w:r>
    </w:p>
    <w:p>
      <w:pPr>
        <w:pStyle w:val="TextBody"/>
        <w:bidi w:val="0"/>
        <w:spacing w:before="240" w:after="0"/>
        <w:jc w:val="left"/>
        <w:rPr/>
      </w:pPr>
      <w:r>
        <w:rPr/>
        <w:t>“</w:t>
      </w:r>
      <w:r>
        <w:rPr>
          <w:rFonts w:ascii="Times New Roman" w:hAnsi="Times New Roman"/>
          <w:i/>
          <w:sz w:val="20"/>
        </w:rPr>
        <w:t>Existing 2030 Notes Secured Parties</w:t>
      </w:r>
      <w:r>
        <w:rPr>
          <w:rFonts w:ascii="Times New Roman" w:hAnsi="Times New Roman"/>
          <w:sz w:val="20"/>
        </w:rPr>
        <w:t xml:space="preserve">” means, at any relevant time, the holders of Existing 2030 Notes Obligations at such time, including without limitation U.S. Bank Trust Company, National Association (as successor to MUFG Union Bank, N.A.), as trustee for the holders of the Existing 2030 Notes, the registrar, paying agent and transfer agent, and the holders of Existing 2030 Notes (including the holders of any Additional Notes (as defined in the Existing 2030 Notes Indenture) subsequently issued under and in compliance with the terms of the Existing 2030 Notes Indenture). </w:t>
      </w:r>
    </w:p>
    <w:p>
      <w:pPr>
        <w:pStyle w:val="TextBody"/>
        <w:bidi w:val="0"/>
        <w:spacing w:before="240" w:after="0"/>
        <w:jc w:val="left"/>
        <w:rPr/>
      </w:pPr>
      <w:r>
        <w:rPr/>
        <w:t>“</w:t>
      </w:r>
      <w:r>
        <w:rPr>
          <w:rFonts w:ascii="Times New Roman" w:hAnsi="Times New Roman"/>
          <w:i/>
          <w:sz w:val="20"/>
        </w:rPr>
        <w:t>Existing 2032 Notes</w:t>
      </w:r>
      <w:r>
        <w:rPr>
          <w:rFonts w:ascii="Times New Roman" w:hAnsi="Times New Roman"/>
          <w:sz w:val="20"/>
        </w:rPr>
        <w:t xml:space="preserve">” means the $500.0 million aggregate principal amount of 2.65% senior secured notes due 2032 issued by the Issuer and outstanding on the Issue Date and any Additional Notes (as defined in the Existing 2032 Notes Indenture) issued with respect to the initial 2.65% senior secured notes due 2032. </w:t>
      </w:r>
    </w:p>
    <w:p>
      <w:pPr>
        <w:pStyle w:val="TextBody"/>
        <w:bidi w:val="0"/>
        <w:spacing w:before="240" w:after="0"/>
        <w:jc w:val="left"/>
        <w:rPr/>
      </w:pPr>
      <w:r>
        <w:rPr/>
        <w:t>“</w:t>
      </w:r>
      <w:r>
        <w:rPr>
          <w:rFonts w:ascii="Times New Roman" w:hAnsi="Times New Roman"/>
          <w:i/>
          <w:sz w:val="20"/>
        </w:rPr>
        <w:t>Existing 2032 Notes Obligations</w:t>
      </w:r>
      <w:r>
        <w:rPr>
          <w:rFonts w:ascii="Times New Roman" w:hAnsi="Times New Roman"/>
          <w:sz w:val="20"/>
        </w:rPr>
        <w:t xml:space="preserve">” means Obligations in respect of the Existing 2032 Notes, the Existing 2026/2032 Notes Indenture or the Security Documents as they relate to the Existing 2032 Notes. </w:t>
      </w:r>
    </w:p>
    <w:p>
      <w:pPr>
        <w:pStyle w:val="TextBody"/>
        <w:bidi w:val="0"/>
        <w:spacing w:before="240" w:after="0"/>
        <w:jc w:val="left"/>
        <w:rPr/>
      </w:pPr>
      <w:r>
        <w:rPr/>
        <w:t>“</w:t>
      </w:r>
      <w:r>
        <w:rPr>
          <w:rFonts w:ascii="Times New Roman" w:hAnsi="Times New Roman"/>
          <w:i/>
          <w:sz w:val="20"/>
        </w:rPr>
        <w:t>Existing 2032 Notes Secured Parties</w:t>
      </w:r>
      <w:r>
        <w:rPr>
          <w:rFonts w:ascii="Times New Roman" w:hAnsi="Times New Roman"/>
          <w:sz w:val="20"/>
        </w:rPr>
        <w:t xml:space="preserve">” means, at any relevant time, the holders of Existing 2032 Notes Obligations at such time, including without limitation U.S. Bank Trust Company, National Association, as trustee for the holders of the Existing 2032 Notes, the registrar, paying agent and transfer agent, and the holders of Existing 2032 Notes (including the holders of any Additional Notes (as defined in the Existing 2026/2032 Notes Indenture) subsequently issued under and in compliance with the terms of the Existing 2026/2032 Notes Indenture). </w:t>
      </w:r>
    </w:p>
    <w:p>
      <w:pPr>
        <w:pStyle w:val="TextBody"/>
        <w:bidi w:val="0"/>
        <w:spacing w:before="240" w:after="0"/>
        <w:jc w:val="left"/>
        <w:rPr/>
      </w:pPr>
      <w:r>
        <w:rPr/>
        <w:t>“</w:t>
      </w:r>
      <w:r>
        <w:rPr>
          <w:rFonts w:ascii="Times New Roman" w:hAnsi="Times New Roman"/>
          <w:i/>
          <w:sz w:val="20"/>
        </w:rPr>
        <w:t>Existing 2034 Notes</w:t>
      </w:r>
      <w:r>
        <w:rPr>
          <w:rFonts w:ascii="Times New Roman" w:hAnsi="Times New Roman"/>
          <w:sz w:val="20"/>
        </w:rPr>
        <w:t xml:space="preserve">” means the $500.0 million aggregate principal amount of 5.050% senior secured notes due 2034 issued by the Issuer and outstanding on the Issue Date and any Additional Notes (as defined in the Existing 2029/2034 Notes Indenture) issued with respect to the initial 5.050% senior secured notes due 2034. </w:t>
      </w:r>
    </w:p>
    <w:p>
      <w:pPr>
        <w:pStyle w:val="TextBody"/>
        <w:bidi w:val="0"/>
        <w:spacing w:before="240" w:after="0"/>
        <w:jc w:val="left"/>
        <w:rPr/>
      </w:pPr>
      <w:r>
        <w:rPr/>
        <w:t>“</w:t>
      </w:r>
      <w:r>
        <w:rPr>
          <w:rFonts w:ascii="Times New Roman" w:hAnsi="Times New Roman"/>
          <w:i/>
          <w:sz w:val="20"/>
        </w:rPr>
        <w:t>Existing 2034 Notes Obligations</w:t>
      </w:r>
      <w:r>
        <w:rPr>
          <w:rFonts w:ascii="Times New Roman" w:hAnsi="Times New Roman"/>
          <w:sz w:val="20"/>
        </w:rPr>
        <w:t xml:space="preserve">” means Obligations in respect of the Existing 2034 Notes, the Existing 2029/2034 Notes Indenture or the Security Documents as they relate to the Existing 2034 Notes. </w:t>
      </w:r>
    </w:p>
    <w:p>
      <w:pPr>
        <w:pStyle w:val="TextBody"/>
        <w:bidi w:val="0"/>
        <w:spacing w:before="240" w:after="0"/>
        <w:jc w:val="left"/>
        <w:rPr/>
      </w:pPr>
      <w:r>
        <w:rPr/>
        <w:t>“</w:t>
      </w:r>
      <w:r>
        <w:rPr>
          <w:rFonts w:ascii="Times New Roman" w:hAnsi="Times New Roman"/>
          <w:i/>
          <w:sz w:val="20"/>
        </w:rPr>
        <w:t>Existing 2034 Notes Secured Parties</w:t>
      </w:r>
      <w:r>
        <w:rPr>
          <w:rFonts w:ascii="Times New Roman" w:hAnsi="Times New Roman"/>
          <w:sz w:val="20"/>
        </w:rPr>
        <w:t xml:space="preserve">” means, at any relevant time, the holders of Existing 2034 Notes Obligations at such time, including without limitation U.S. Bank Trust Company, National Association, as trustee for the holders of the Existing 2034 Notes, the registrar, paying agent and transfer agent, and the holders of Existing 2034 Notes (including the holders of any Additional Notes (as defined in the Existing 2029/2034 Notes Indenture) subsequently issued under and in compliance with the terms of the Existing 2029/2034 Notes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Existing Receivables Facility</w:t>
      </w:r>
      <w:r>
        <w:rPr>
          <w:rFonts w:ascii="Times New Roman" w:hAnsi="Times New Roman"/>
          <w:sz w:val="20"/>
        </w:rPr>
        <w:t xml:space="preserve">” means the receivables facility governed by (a) the Amended and Restated Credit and Security Agreement, dated as of October 27, 2010 (as amended, amended and restated, modified, renewed or replaced from time to time), among the borrowers identified therein, UHS Receivables Corp., as Collection Agent, UHS of Delaware, Inc., as Servicer, Universal Health Services, Inc., as Performance Guarantor, PNC Bank, National Association, as LC Bank and Administrative Agent, and the certain other parties thereto and (b) each of the Receivables Sale Agreements referred to in such Amended and Restated Credit and Security Agreement, between the respective Grantors and “Buyers” specified therein, in each case, as the same may be amended or otherwise modified from time to time.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or liability, the fair market value of such asset or liability as determined by the Chief Executive Officer and the Chief Financial Officer of the Issuer in good faith; </w:t>
      </w:r>
      <w:r>
        <w:rPr>
          <w:rFonts w:ascii="Times New Roman" w:hAnsi="Times New Roman"/>
          <w:i/>
          <w:sz w:val="20"/>
        </w:rPr>
        <w:t xml:space="preserve">provided </w:t>
      </w:r>
      <w:r>
        <w:rPr>
          <w:rFonts w:ascii="Times New Roman" w:hAnsi="Times New Roman"/>
          <w:sz w:val="20"/>
        </w:rPr>
        <w:t xml:space="preserve">that if the fair market value exceeds $50.0 million, such determination shall be made by the Board of Directors of the Issuer or an authorized committee thereof in good faith (including as to the value of all non-cash assets and liabilities). </w:t>
      </w:r>
    </w:p>
    <w:p>
      <w:pPr>
        <w:pStyle w:val="TextBody"/>
        <w:bidi w:val="0"/>
        <w:spacing w:before="240" w:after="0"/>
        <w:jc w:val="left"/>
        <w:rPr/>
      </w:pPr>
      <w:r>
        <w:rPr/>
        <w:t>“</w:t>
      </w:r>
      <w:r>
        <w:rPr>
          <w:rFonts w:ascii="Times New Roman" w:hAnsi="Times New Roman"/>
          <w:i/>
          <w:sz w:val="20"/>
        </w:rPr>
        <w:t>First Lien Collateral Agent</w:t>
      </w:r>
      <w:r>
        <w:rPr>
          <w:rFonts w:ascii="Times New Roman" w:hAnsi="Times New Roman"/>
          <w:sz w:val="20"/>
        </w:rPr>
        <w:t xml:space="preserve">” shall mean JPMorgan Chase Bank, N.A., in its capacity as collateral agent for the lenders and other secured parties under the Senior Credit Facility, the Indenture and the other First Lien Documents, together with its successors and permitted assigns exercising substantially the same rights and powers; and, in each case, </w:t>
      </w:r>
      <w:r>
        <w:rPr>
          <w:rFonts w:ascii="Times New Roman" w:hAnsi="Times New Roman"/>
          <w:i/>
          <w:sz w:val="20"/>
        </w:rPr>
        <w:t xml:space="preserve">provided </w:t>
      </w:r>
      <w:r>
        <w:rPr>
          <w:rFonts w:ascii="Times New Roman" w:hAnsi="Times New Roman"/>
          <w:sz w:val="20"/>
        </w:rPr>
        <w:t xml:space="preserve">that if such First Lien Collateral Agent is not JPMorgan Chase Bank, N.A., such First Lien Collateral Agent shall have become a party to the Security Agreement, any intercreditor agreement with respect to Junior Lien Obligations and the other applicable First Lien Security Documents. </w:t>
      </w:r>
    </w:p>
    <w:p>
      <w:pPr>
        <w:pStyle w:val="TextBody"/>
        <w:bidi w:val="0"/>
        <w:spacing w:before="240" w:after="0"/>
        <w:jc w:val="left"/>
        <w:rPr/>
      </w:pPr>
      <w:r>
        <w:rPr/>
        <w:t>“</w:t>
      </w:r>
      <w:r>
        <w:rPr>
          <w:rFonts w:ascii="Times New Roman" w:hAnsi="Times New Roman"/>
          <w:i/>
          <w:sz w:val="20"/>
        </w:rPr>
        <w:t>First Lien Documents</w:t>
      </w:r>
      <w:r>
        <w:rPr>
          <w:rFonts w:ascii="Times New Roman" w:hAnsi="Times New Roman"/>
          <w:sz w:val="20"/>
        </w:rPr>
        <w:t xml:space="preserve">” means the credit, guarantee and security documents governing the First Lien Obligations, including, without limitation, the Indenture and the First Lien Security Documents. </w:t>
      </w:r>
    </w:p>
    <w:p>
      <w:pPr>
        <w:pStyle w:val="TextBody"/>
        <w:bidi w:val="0"/>
        <w:spacing w:before="240" w:after="0"/>
        <w:jc w:val="left"/>
        <w:rPr/>
      </w:pPr>
      <w:r>
        <w:rPr/>
        <w:t>“</w:t>
      </w:r>
      <w:r>
        <w:rPr>
          <w:rFonts w:ascii="Times New Roman" w:hAnsi="Times New Roman"/>
          <w:i/>
          <w:sz w:val="20"/>
        </w:rPr>
        <w:t>First Lien Event of Default</w:t>
      </w:r>
      <w:r>
        <w:rPr>
          <w:rFonts w:ascii="Times New Roman" w:hAnsi="Times New Roman"/>
          <w:sz w:val="20"/>
        </w:rPr>
        <w:t xml:space="preserve">” means an “Event of Default” under and as defined in the Senior Credit Facility, the Existing 2026/2032 Notes Indenture, the Existing 2030 Notes Indenture, the Existing 2029/2034 Notes Indenture, the Indenture or any other First Lien Documents governing First Lien Obligations. </w:t>
      </w:r>
    </w:p>
    <w:p>
      <w:pPr>
        <w:pStyle w:val="TextBody"/>
        <w:bidi w:val="0"/>
        <w:spacing w:before="240" w:after="0"/>
        <w:jc w:val="left"/>
        <w:rPr/>
      </w:pPr>
      <w:r>
        <w:rPr/>
        <w:t>“</w:t>
      </w:r>
      <w:r>
        <w:rPr>
          <w:rFonts w:ascii="Times New Roman" w:hAnsi="Times New Roman"/>
          <w:i/>
          <w:sz w:val="20"/>
        </w:rPr>
        <w:t>First Lien Obligations</w:t>
      </w:r>
      <w:r>
        <w:rPr>
          <w:rFonts w:ascii="Times New Roman" w:hAnsi="Times New Roman"/>
          <w:sz w:val="20"/>
        </w:rPr>
        <w:t xml:space="preserve">” means, collectively, (a) all Senior Credit Facility Obligations, (b) the Notes Obligations, (c) the Existing 2026 Notes Obligations, (d) the Existing 2029 Notes Obligations, (e) the Existing 2030 Notes Obligations and (f) the Existing 2032 Notes Obligations, (g) the Existing 2034 Notes Obligations and (h) any Series of Additional First Lien Obligations. </w:t>
      </w:r>
    </w:p>
    <w:p>
      <w:pPr>
        <w:pStyle w:val="TextBody"/>
        <w:bidi w:val="0"/>
        <w:spacing w:before="240" w:after="0"/>
        <w:jc w:val="left"/>
        <w:rPr/>
      </w:pPr>
      <w:r>
        <w:rPr/>
        <w:t>“</w:t>
      </w:r>
      <w:r>
        <w:rPr>
          <w:rFonts w:ascii="Times New Roman" w:hAnsi="Times New Roman"/>
          <w:i/>
          <w:sz w:val="20"/>
        </w:rPr>
        <w:t>First Lien Secured Parties</w:t>
      </w:r>
      <w:r>
        <w:rPr>
          <w:rFonts w:ascii="Times New Roman" w:hAnsi="Times New Roman"/>
          <w:sz w:val="20"/>
        </w:rPr>
        <w:t xml:space="preserve">” means (a) the Credit Agreement Secured Parties (as defined in the Security Agreement), (b) the Notes Secured Parties, (c) the Existing 2026 Notes Secured Parties, (d) the Existing 2029 Notes Secured Parties, (e) the Existing 2030 Notes Secured Parties, (f) the Existing 2032 Notes Secured Parties, (g) the Existing 2034 Notes Secured Parties and (h) any Additional First Lien Secured Parties. </w:t>
      </w:r>
    </w:p>
    <w:p>
      <w:pPr>
        <w:pStyle w:val="TextBody"/>
        <w:bidi w:val="0"/>
        <w:spacing w:before="240" w:after="0"/>
        <w:jc w:val="left"/>
        <w:rPr/>
      </w:pPr>
      <w:r>
        <w:rPr/>
        <w:t>“</w:t>
      </w:r>
      <w:r>
        <w:rPr>
          <w:rFonts w:ascii="Times New Roman" w:hAnsi="Times New Roman"/>
          <w:i/>
          <w:sz w:val="20"/>
        </w:rPr>
        <w:t>First Lien Security Documents</w:t>
      </w:r>
      <w:r>
        <w:rPr>
          <w:rFonts w:ascii="Times New Roman" w:hAnsi="Times New Roman"/>
          <w:sz w:val="20"/>
        </w:rPr>
        <w:t xml:space="preserve">” means the Security Documents and any other agreement, document or instrument pursuant to which a Lien is granted or purported to be granted securing First Lien Obligations or under which rights or remedies with respect to such Liens are governed.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any Restricted Subsidiary of such Person that is not a Domestic Subsidiary. </w:t>
      </w:r>
    </w:p>
    <w:p>
      <w:pPr>
        <w:pStyle w:val="TextBody"/>
        <w:bidi w:val="0"/>
        <w:spacing w:before="240" w:after="0"/>
        <w:jc w:val="left"/>
        <w:rPr/>
      </w:pPr>
      <w:r>
        <w:rPr/>
        <w:t>“</w:t>
      </w:r>
      <w:r>
        <w:rPr>
          <w:rFonts w:ascii="Times New Roman" w:hAnsi="Times New Roman"/>
          <w:i/>
          <w:sz w:val="20"/>
        </w:rPr>
        <w:t>Foreign Subsidiary Voting Stock</w:t>
      </w:r>
      <w:r>
        <w:rPr>
          <w:rFonts w:ascii="Times New Roman" w:hAnsi="Times New Roman"/>
          <w:sz w:val="20"/>
        </w:rPr>
        <w:t xml:space="preserve">” means the voting Capital Stock of any Foreign Subsidiary. </w:t>
      </w:r>
    </w:p>
    <w:p>
      <w:pPr>
        <w:pStyle w:val="TextBody"/>
        <w:bidi w:val="0"/>
        <w:spacing w:before="240" w:after="0"/>
        <w:jc w:val="left"/>
        <w:rPr/>
      </w:pPr>
      <w:r>
        <w:rPr/>
        <w:t>“</w:t>
      </w:r>
      <w:r>
        <w:rPr>
          <w:rFonts w:ascii="Times New Roman" w:hAnsi="Times New Roman"/>
          <w:i/>
          <w:sz w:val="20"/>
        </w:rPr>
        <w:t>Funded Debt</w:t>
      </w:r>
      <w:r>
        <w:rPr>
          <w:rFonts w:ascii="Times New Roman" w:hAnsi="Times New Roman"/>
          <w:sz w:val="20"/>
        </w:rPr>
        <w:t xml:space="preserve">” means any Indebtedness for money borrowed, created, issued, incurred, assumed or guaranteed that would, in accordance with generally accepted accounting principles, be classified as long-term debt, but in any event including all Indebtedness for money borrowed, whether secured or unsecured, maturing more than one year, or extendible at the option of the obligor to a date more than one year, after the date of determination thereof (excluding any amount thereof included in current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as in effect on the Issue Date. </w:t>
      </w:r>
    </w:p>
    <w:p>
      <w:pPr>
        <w:pStyle w:val="TextBody"/>
        <w:bidi w:val="0"/>
        <w:spacing w:before="240" w:after="0"/>
        <w:jc w:val="left"/>
        <w:rPr/>
      </w:pPr>
      <w:r>
        <w:rPr/>
        <w:t>“</w:t>
      </w:r>
      <w:r>
        <w:rPr>
          <w:rFonts w:ascii="Times New Roman" w:hAnsi="Times New Roman"/>
          <w:i/>
          <w:sz w:val="20"/>
        </w:rPr>
        <w:t>Gift Shop Assets</w:t>
      </w:r>
      <w:r>
        <w:rPr>
          <w:rFonts w:ascii="Times New Roman" w:hAnsi="Times New Roman"/>
          <w:sz w:val="20"/>
        </w:rPr>
        <w:t xml:space="preserve">” means all cash and other amounts paid or owed to the Issuer or any Secured Guarantor for purchases from its gift shops or cafeterias and all goods held for sale in any such gift shop or cafeteria.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the guarantee by any Guarantor of the Issuer’s Obligations under the Indenture. </w:t>
      </w:r>
    </w:p>
    <w:p>
      <w:pPr>
        <w:pStyle w:val="TextBody"/>
        <w:bidi w:val="0"/>
        <w:spacing w:before="240" w:after="0"/>
        <w:jc w:val="left"/>
        <w:rPr/>
      </w:pPr>
      <w:r>
        <w:rPr/>
        <w:t>“</w:t>
      </w:r>
      <w:r>
        <w:rPr>
          <w:rFonts w:ascii="Times New Roman" w:hAnsi="Times New Roman"/>
          <w:i/>
          <w:sz w:val="20"/>
        </w:rPr>
        <w:t>Guarantor</w:t>
      </w:r>
      <w:r>
        <w:rPr>
          <w:rFonts w:ascii="Times New Roman" w:hAnsi="Times New Roman"/>
          <w:sz w:val="20"/>
        </w:rPr>
        <w:t xml:space="preserve">” means each Restricted Subsidiary that Guarantees the Notes in accordance with the terms of the Indenture.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xml:space="preserve">” means issue, create, assume, Guarantee, incur or otherwise become liable for;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w:t>
      </w:r>
      <w:r>
        <w:rPr>
          <w:rFonts w:ascii="Times New Roman" w:hAnsi="Times New Roman"/>
          <w:i/>
          <w:sz w:val="20"/>
        </w:rPr>
        <w:t>Incurred</w:t>
      </w:r>
      <w:r>
        <w:rPr>
          <w:rFonts w:ascii="Times New Roman" w:hAnsi="Times New Roman"/>
          <w:sz w:val="20"/>
        </w:rPr>
        <w:t>” and “</w:t>
      </w:r>
      <w:r>
        <w:rPr>
          <w:rFonts w:ascii="Times New Roman" w:hAnsi="Times New Roman"/>
          <w:i/>
          <w:sz w:val="20"/>
        </w:rPr>
        <w:t>Incurrence</w:t>
      </w:r>
      <w:r>
        <w:rPr>
          <w:rFonts w:ascii="Times New Roman" w:hAnsi="Times New Roman"/>
          <w:sz w:val="20"/>
        </w:rPr>
        <w:t xml:space="preserve">” have meanings correlative to the foregoing.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on any date of determination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in respect of indebtedness of such Person for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in respect of obligations of such Person evidenced by bonds, debentures, notes or other similar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obligations of such Person in respect of letters of credit, bankers’ acceptances or other similar instruments (including reimbursement obligations with respect thereto except to the extent such reimbursement obligation relates to a trade payable and such obligation is satisfied within 30 days of Incurrence);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obligations of such Person to pay the deferred and unpaid purchase price of property (including earn-out obligations), which purchase price is due after the date of placing such property in service or taking delivery and title thereto, except (i) any such balance that constitutes a trade payable or similar obligation to a trade creditor, in each case accrued in the ordinary course of business and (ii) any earn-out obligation until the amount of such obligation becomes a liability on the balance sheet of such Person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Lease Obligations and all Attributable Indebtedness of such Person (whether or not such items would appear on the balance sheet of the guarantor or obligor);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or liquidation preference of all obligations of such Person with respect to the redemption, repayment or other repurchase of any Disqualified Stock or, with respect to any Subsidiary that is not a Guarantor, any Preferred Stock (but excluding, in each case, any accrued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all Indebtedness of other Persons secured by a Lien on any asset of such Person, whether or not such Indebtedness is assumed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of such Indebtedness will be the lesser of (a) the Fair Market Value of such asset at such date of determination and (b) the amount of such Indebtedness of such other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component of Indebtedness of other Persons to the extent Guaranteed by such Person (whether or not such items would appear on the balance sheet of the guarantor or obligor);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in this definition, net obligations of such Person under Hedging Obligations (the amount of any such obligations to be equal at any time to the termination value of such agreement or arrangement giving rise to such Obligation that would be payable by such Person at such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in this definition, the amount of Obligations outstanding under the legal documents entered into as part of a Qualified Receivables Transaction on any date of determination that would be characterized as principal if such Qualified Receivables Transaction were structured as a secured lending transaction rather than as a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money borrowed and set aside at the time of the Incurrence of any Indebtedness in order to pre-fund the payment of interest on such Indebtedness shall not be deemed to be “Indebtedness”; </w:t>
      </w:r>
      <w:r>
        <w:rPr>
          <w:rFonts w:ascii="Times New Roman" w:hAnsi="Times New Roman"/>
          <w:i/>
          <w:sz w:val="20"/>
        </w:rPr>
        <w:t xml:space="preserve">provided </w:t>
      </w:r>
      <w:r>
        <w:rPr>
          <w:rFonts w:ascii="Times New Roman" w:hAnsi="Times New Roman"/>
          <w:sz w:val="20"/>
        </w:rPr>
        <w:t xml:space="preserve">that such money is held to secure the payment of such interest. In addition, for the avoidance of doubt, obligations of any Person under a Permitted Bond Hedge or a Permitted Warrant shall not be deemed to be “Indebtedness.” </w:t>
      </w:r>
    </w:p>
    <w:p>
      <w:pPr>
        <w:pStyle w:val="TextBody"/>
        <w:bidi w:val="0"/>
        <w:spacing w:before="240" w:after="0"/>
        <w:jc w:val="left"/>
        <w:rPr>
          <w:rFonts w:ascii="Times New Roman" w:hAnsi="Times New Roman"/>
          <w:sz w:val="20"/>
        </w:rPr>
      </w:pPr>
      <w:r>
        <w:rPr>
          <w:rFonts w:ascii="Times New Roman" w:hAnsi="Times New Roman"/>
          <w:sz w:val="20"/>
        </w:rPr>
        <w:t>In addition, “</w:t>
      </w:r>
      <w:r>
        <w:rPr>
          <w:rFonts w:ascii="Times New Roman" w:hAnsi="Times New Roman"/>
          <w:i/>
          <w:sz w:val="20"/>
        </w:rPr>
        <w:t>Indebtedness</w:t>
      </w:r>
      <w:r>
        <w:rPr>
          <w:rFonts w:ascii="Times New Roman" w:hAnsi="Times New Roman"/>
          <w:sz w:val="20"/>
        </w:rPr>
        <w:t xml:space="preserve">” of any Person shall include Indebtedness described in the preceding paragraph that would not appear as a liability on the balance sheet of such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Indebtedness is the obligation of a partnership or joint venture that is not a Restricted Subsidiary (a “</w:t>
            </w:r>
            <w:r>
              <w:rPr>
                <w:rFonts w:ascii="Times New Roman" w:hAnsi="Times New Roman"/>
                <w:i/>
                <w:sz w:val="20"/>
              </w:rPr>
              <w:t>Joint Venture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such Person or a Restricted Subsidiary of such Person is a general partner of the Joint Venture (a “</w:t>
            </w:r>
            <w:r>
              <w:rPr>
                <w:rFonts w:ascii="Times New Roman" w:hAnsi="Times New Roman"/>
                <w:i/>
                <w:sz w:val="20"/>
              </w:rPr>
              <w:t>General Partner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recourse, by contract or operation of law, with respect to the payment of such Indebtedness to property or assets of such Person or a Restricted Subsidiary of such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then such Indebtedness shall be included in an amount not to exceed: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lesser of (i) the net assets of the General Partner and (ii) the amount of such obligations to the extent that there is recourse, by contract or operation of law, to the property or assets of such Person or a Restricted Subsidiary of such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less than the amount determined pursuant to clause (a) immediately above, the actual amount of such Indebtedness that is recourse to such Person or a Restricted Subsidiary of such Person, if the Indebtedness is evidenced by a writing and is for a determinable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2"/>
        <w:gridCol w:w="1043"/>
        <w:gridCol w:w="8770"/>
      </w:tblGrid>
      <w:tr>
        <w:trPr/>
        <w:tc>
          <w:tcPr>
            <w:tcW w:w="392" w:type="dxa"/>
            <w:tcBorders/>
            <w:vAlign w:val="center"/>
          </w:tcPr>
          <w:p>
            <w:pPr>
              <w:pStyle w:val="TableContents"/>
              <w:bidi w:val="0"/>
              <w:spacing w:before="0" w:after="283"/>
              <w:jc w:val="left"/>
              <w:rPr/>
            </w:pPr>
            <w:r>
              <w:rPr/>
              <w:t> </w:t>
            </w:r>
          </w:p>
        </w:tc>
        <w:tc>
          <w:tcPr>
            <w:tcW w:w="1043" w:type="dxa"/>
            <w:tcBorders/>
          </w:tcPr>
          <w:p>
            <w:pPr>
              <w:pStyle w:val="TableContents"/>
              <w:bidi w:val="0"/>
              <w:spacing w:before="0" w:after="283"/>
              <w:jc w:val="left"/>
              <w:rPr/>
            </w:pPr>
            <w:r>
              <w:rPr/>
              <w:t>“</w:t>
            </w:r>
            <w:r>
              <w:rPr>
                <w:i/>
              </w:rPr>
              <w:t>Insolvency</w:t>
            </w:r>
          </w:p>
        </w:tc>
        <w:tc>
          <w:tcPr>
            <w:tcW w:w="8770" w:type="dxa"/>
            <w:tcBorders/>
          </w:tcPr>
          <w:p>
            <w:pPr>
              <w:pStyle w:val="TableContents"/>
              <w:bidi w:val="0"/>
              <w:spacing w:before="0" w:after="0"/>
              <w:jc w:val="left"/>
              <w:rPr>
                <w:rFonts w:ascii="Times New Roman" w:hAnsi="Times New Roman"/>
                <w:sz w:val="20"/>
              </w:rPr>
            </w:pPr>
            <w:r>
              <w:rPr>
                <w:rFonts w:ascii="Times New Roman" w:hAnsi="Times New Roman"/>
                <w:i/>
                <w:sz w:val="20"/>
              </w:rPr>
              <w:t>or Liquidation Proceeding</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case commenced by or against the Issuer or any Secured Guarantor under any Bankruptcy Law for the relief of debtors, any other proceeding for the reorganization, recapitalization or adjustment or marshalling of the assets or liabilities of the Issuer or any Secured Guarantor, any receivership or assignment for the benefit of creditors relating to the Issuer or any Secured Guarantor or any similar case or proceeding relative to the Issuer or any Secured Guarantor or its creditors, as such, in each case whether or not voluntary;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liquidation, dissolution, marshalling of assets or liabilities or other winding up of or relating to the Issuer or any Secured Guarantor, in each case whether or not voluntary and whether or not involving bankruptcy or insolvency;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proceeding of any type or nature in which substantially all claims of creditors of the Issuer or any Secured Guarantor are determined and any payment or distribution is or may be made on account of such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53"/>
        <w:gridCol w:w="9044"/>
      </w:tblGrid>
      <w:tr>
        <w:trPr/>
        <w:tc>
          <w:tcPr>
            <w:tcW w:w="408" w:type="dxa"/>
            <w:tcBorders/>
            <w:vAlign w:val="center"/>
          </w:tcPr>
          <w:p>
            <w:pPr>
              <w:pStyle w:val="TableContents"/>
              <w:bidi w:val="0"/>
              <w:spacing w:before="0" w:after="283"/>
              <w:jc w:val="left"/>
              <w:rPr/>
            </w:pPr>
            <w:r>
              <w:rPr/>
              <w:t> </w:t>
            </w:r>
          </w:p>
        </w:tc>
        <w:tc>
          <w:tcPr>
            <w:tcW w:w="753" w:type="dxa"/>
            <w:tcBorders/>
          </w:tcPr>
          <w:p>
            <w:pPr>
              <w:pStyle w:val="TableContents"/>
              <w:bidi w:val="0"/>
              <w:spacing w:before="0" w:after="283"/>
              <w:jc w:val="left"/>
              <w:rPr/>
            </w:pPr>
            <w:r>
              <w:rPr/>
              <w:t>“</w:t>
            </w:r>
            <w:r>
              <w:rPr>
                <w:i/>
              </w:rPr>
              <w:t>interest</w:t>
            </w:r>
            <w:r>
              <w:rPr/>
              <w:t>”</w:t>
            </w:r>
          </w:p>
        </w:tc>
        <w:tc>
          <w:tcPr>
            <w:tcW w:w="9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Notes means interest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Interest Rate Agreement</w:t>
      </w:r>
      <w:r>
        <w:rPr>
          <w:rFonts w:ascii="Times New Roman" w:hAnsi="Times New Roman"/>
          <w:sz w:val="20"/>
        </w:rPr>
        <w:t xml:space="preserve">”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as to which such Person is party or a beneficiary.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and BBB- (or the equivalent) by S&amp;P, or an equivalent rating by any other Rating Agency. </w:t>
      </w:r>
    </w:p>
    <w:p>
      <w:pPr>
        <w:pStyle w:val="TextBody"/>
        <w:bidi w:val="0"/>
        <w:spacing w:before="240" w:after="0"/>
        <w:jc w:val="left"/>
        <w:rPr/>
      </w:pPr>
      <w:r>
        <w:rPr/>
        <w:t>“</w:t>
      </w:r>
      <w:r>
        <w:rPr>
          <w:rFonts w:ascii="Times New Roman" w:hAnsi="Times New Roman"/>
          <w:i/>
          <w:sz w:val="20"/>
        </w:rPr>
        <w:t>Investment Property</w:t>
      </w:r>
      <w:r>
        <w:rPr>
          <w:rFonts w:ascii="Times New Roman" w:hAnsi="Times New Roman"/>
          <w:sz w:val="20"/>
        </w:rPr>
        <w:t xml:space="preserve">” means (i) all “investment property” as such term is defined in Section 9-102(a)(49) of the New York UCC (other than any Foreign Subsidiary Voting Stock excluded from the definition of “Pledged Stock”) and (ii) whether or not constituting “investment property” as so defined, all Pledged Notes and all Pledged Stock.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means, with respect to any Person, all investments by such Person in other Persons (including Affiliates) in the form of loans (including guarantees), advances or capital contributions (excluding accounts receivable, trade credit, advances to customers, commissions,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 2026. </w:t>
      </w:r>
    </w:p>
    <w:p>
      <w:pPr>
        <w:pStyle w:val="TextBody"/>
        <w:bidi w:val="0"/>
        <w:spacing w:before="240" w:after="0"/>
        <w:jc w:val="left"/>
        <w:rPr/>
      </w:pPr>
      <w:r>
        <w:rPr/>
        <w:t>“</w:t>
      </w:r>
      <w:r>
        <w:rPr>
          <w:rFonts w:ascii="Times New Roman" w:hAnsi="Times New Roman"/>
          <w:i/>
          <w:sz w:val="20"/>
        </w:rPr>
        <w:t>Joinder to the Security Agreement</w:t>
      </w:r>
      <w:r>
        <w:rPr>
          <w:rFonts w:ascii="Times New Roman" w:hAnsi="Times New Roman"/>
          <w:sz w:val="20"/>
        </w:rPr>
        <w:t xml:space="preserve">” means the Additional Authorized Representative Joinder Agreement, to be dated as of      , 2026, entered into by the Issuer, the subsidiary grantors named therein, the First Lien Collateral Agent, the Authorized Representatives and the Trustee as an Additional Authorized Representative. </w:t>
      </w:r>
    </w:p>
    <w:p>
      <w:pPr>
        <w:pStyle w:val="TextBody"/>
        <w:bidi w:val="0"/>
        <w:spacing w:before="240" w:after="0"/>
        <w:jc w:val="left"/>
        <w:rPr/>
      </w:pPr>
      <w:r>
        <w:rPr/>
        <w:t>“</w:t>
      </w:r>
      <w:r>
        <w:rPr>
          <w:rFonts w:ascii="Times New Roman" w:hAnsi="Times New Roman"/>
          <w:i/>
          <w:sz w:val="20"/>
        </w:rPr>
        <w:t>Junior Lien Obligations</w:t>
      </w:r>
      <w:r>
        <w:rPr>
          <w:rFonts w:ascii="Times New Roman" w:hAnsi="Times New Roman"/>
          <w:sz w:val="20"/>
        </w:rPr>
        <w:t xml:space="preserve">” means the Obligations with respect to Indebtedness permitted to be incurred under the Indenture which by its terms is or will be secured on a basis junior to the Liens securing the Notes pursuant to an intercreditor agreement; </w:t>
      </w:r>
      <w:r>
        <w:rPr>
          <w:rFonts w:ascii="Times New Roman" w:hAnsi="Times New Roman"/>
          <w:i/>
          <w:sz w:val="20"/>
        </w:rPr>
        <w:t xml:space="preserve">provided </w:t>
      </w:r>
      <w:r>
        <w:rPr>
          <w:rFonts w:ascii="Times New Roman" w:hAnsi="Times New Roman"/>
          <w:sz w:val="20"/>
        </w:rPr>
        <w:t xml:space="preserve">such Liens are permitted to be incurred under the Indenture.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commercial banking institutions are not required to be open in the State of New York.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hAnsi="Times New Roman"/>
          <w:i/>
          <w:sz w:val="20"/>
        </w:rPr>
        <w:t xml:space="preserve">provided </w:t>
      </w:r>
      <w:r>
        <w:rPr>
          <w:rFonts w:ascii="Times New Roman" w:hAnsi="Times New Roman"/>
          <w:sz w:val="20"/>
        </w:rPr>
        <w:t xml:space="preserve">that in no event shall an operating lease be deemed to constitute a Lien. </w:t>
      </w:r>
    </w:p>
    <w:p>
      <w:pPr>
        <w:pStyle w:val="TextBody"/>
        <w:bidi w:val="0"/>
        <w:spacing w:before="240" w:after="0"/>
        <w:jc w:val="left"/>
        <w:rPr/>
      </w:pPr>
      <w:r>
        <w:rPr/>
        <w:t>“</w:t>
      </w:r>
      <w:r>
        <w:rPr>
          <w:rFonts w:ascii="Times New Roman" w:hAnsi="Times New Roman"/>
          <w:i/>
          <w:sz w:val="20"/>
        </w:rPr>
        <w:t>Major Non-Controlling Authorized Representative</w:t>
      </w:r>
      <w:r>
        <w:rPr>
          <w:rFonts w:ascii="Times New Roman" w:hAnsi="Times New Roman"/>
          <w:sz w:val="20"/>
        </w:rPr>
        <w:t xml:space="preserve">” has the meaning set forth under “—Intercreditor provisions in the security agreement.”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i/>
          <w:sz w:val="20"/>
        </w:rPr>
        <w:t>Mortgages</w:t>
      </w:r>
      <w:r>
        <w:rPr>
          <w:rFonts w:ascii="Times New Roman" w:hAnsi="Times New Roman"/>
          <w:sz w:val="20"/>
        </w:rPr>
        <w:t xml:space="preserve">” means mortgages, liens, pledges or other encumbrances.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with respect to any Person, the net income (loss) of such Person, determined in accordance with GAAP and before any reduction in respect of Preferred Stock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New York UCC</w:t>
      </w:r>
      <w:r>
        <w:rPr>
          <w:rFonts w:ascii="Times New Roman" w:hAnsi="Times New Roman"/>
          <w:sz w:val="20"/>
        </w:rPr>
        <w:t xml:space="preserve">” means the Uniform Commercial Code as from time to time in effect in the State of New York. </w:t>
      </w:r>
    </w:p>
    <w:p>
      <w:pPr>
        <w:pStyle w:val="TextBody"/>
        <w:bidi w:val="0"/>
        <w:spacing w:before="240" w:after="0"/>
        <w:jc w:val="left"/>
        <w:rPr/>
      </w:pPr>
      <w:r>
        <w:rPr/>
        <w:t>“</w:t>
      </w:r>
      <w:r>
        <w:rPr>
          <w:rFonts w:ascii="Times New Roman" w:hAnsi="Times New Roman"/>
          <w:i/>
          <w:sz w:val="20"/>
        </w:rPr>
        <w:t>Non-Controlling Authorized Representative</w:t>
      </w:r>
      <w:r>
        <w:rPr>
          <w:rFonts w:ascii="Times New Roman" w:hAnsi="Times New Roman"/>
          <w:sz w:val="20"/>
        </w:rPr>
        <w:t xml:space="preserve">” means, at any time with respect to any Common Collateral, any Authorized Representative that is not the Applicable Authorized Representative at such time with respect to such Common Collateral. </w:t>
      </w:r>
    </w:p>
    <w:p>
      <w:pPr>
        <w:pStyle w:val="TextBody"/>
        <w:bidi w:val="0"/>
        <w:spacing w:before="240" w:after="0"/>
        <w:jc w:val="left"/>
        <w:rPr/>
      </w:pPr>
      <w:r>
        <w:rPr/>
        <w:t>“</w:t>
      </w:r>
      <w:r>
        <w:rPr>
          <w:rFonts w:ascii="Times New Roman" w:hAnsi="Times New Roman"/>
          <w:i/>
          <w:sz w:val="20"/>
        </w:rPr>
        <w:t>Non-Recourse Debt</w:t>
      </w:r>
      <w:r>
        <w:rPr>
          <w:rFonts w:ascii="Times New Roman" w:hAnsi="Times New Roman"/>
          <w:sz w:val="20"/>
        </w:rPr>
        <w:t xml:space="preserve">” means Indebtedness of a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which neither the Issuer nor any Restricted Subsidiary (a) provides any guarantee or credit support of any kind (including any undertaking, guarantee, indemnity, agreement or instrument that would constitute Indebtedness) or (b) is directly or indirectly liable (as a guarantor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which (including any rights that the holders thereof may have to take enforcement action against an Unrestricted Subsidiary) would permit (upon notice, lapse of time or both) any holder of any other Indebtedness of the Issuer or any Restricted Subsidiary to declare a default under such other Indebtedness or cause the payment thereof to be accelerated or payable prior to its stated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explicit terms of which provide there is no recourse against any of the assets of the Issuer or its Restricted Subsidiaries, except that Standard Securitization Undertakings shall not be considered recourse. </w:t>
            </w:r>
          </w:p>
        </w:tc>
      </w:tr>
    </w:tbl>
    <w:p>
      <w:pPr>
        <w:pStyle w:val="TextBody"/>
        <w:bidi w:val="0"/>
        <w:spacing w:before="240" w:after="0"/>
        <w:jc w:val="left"/>
        <w:rPr/>
      </w:pPr>
      <w:r>
        <w:rPr/>
        <w:t>“</w:t>
      </w:r>
      <w:r>
        <w:rPr>
          <w:rFonts w:ascii="Times New Roman" w:hAnsi="Times New Roman"/>
          <w:i/>
          <w:sz w:val="20"/>
        </w:rPr>
        <w:t>Notes Obligations</w:t>
      </w:r>
      <w:r>
        <w:rPr>
          <w:rFonts w:ascii="Times New Roman" w:hAnsi="Times New Roman"/>
          <w:sz w:val="20"/>
        </w:rPr>
        <w:t xml:space="preserve">” means Obligations in respect of the Notes, the Indenture or the Security Documents. </w:t>
      </w:r>
    </w:p>
    <w:p>
      <w:pPr>
        <w:pStyle w:val="TextBody"/>
        <w:bidi w:val="0"/>
        <w:spacing w:before="240" w:after="0"/>
        <w:jc w:val="left"/>
        <w:rPr/>
      </w:pPr>
      <w:r>
        <w:rPr/>
        <w:t>“</w:t>
      </w:r>
      <w:r>
        <w:rPr>
          <w:rFonts w:ascii="Times New Roman" w:hAnsi="Times New Roman"/>
          <w:i/>
          <w:sz w:val="20"/>
        </w:rPr>
        <w:t>Notes Secured Parties</w:t>
      </w:r>
      <w:r>
        <w:rPr>
          <w:rFonts w:ascii="Times New Roman" w:hAnsi="Times New Roman"/>
          <w:sz w:val="20"/>
        </w:rPr>
        <w:t xml:space="preserve">” means, at any relevant time, the holders of Notes Obligations at such time, including without limitation the Trustee, the registrar, paying agent and transfer agent, and the Holders (including the Holders of any Additional Notes subsequently issued under and in compliance with the terms of the Indenture).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all advances to, and debts, liabilities, obligations, covenants and duties arising under any Indebtedness, whether or not direct or indirect (including those acquired by assumption), absolute or contingent, due or to become due, now existing or hereafter arising and including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such Indebtedness.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the Chief Executive Officer, the President, any Executive Vice President, Senior Vice President or Vice President, the Treasurer or the Secretary of the Issuer or a Guarantor, as applicable.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the Issuer by two Officers of the Issuer or on behalf of a Guarantor by two Officers of such Guarantor, one of whom must be the principal executive officer, the principal financial officer, the treasurer or the principal accounting officer of the Issuer or Guarantor, as applicable, that meets the requirements set forth in the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from legal counsel who is acceptable to the Trustee. The counsel may be an employee of or counsel to the Issuer or the Trustee. </w:t>
      </w:r>
    </w:p>
    <w:p>
      <w:pPr>
        <w:pStyle w:val="TextBody"/>
        <w:bidi w:val="0"/>
        <w:spacing w:before="240" w:after="0"/>
        <w:jc w:val="left"/>
        <w:rPr/>
      </w:pPr>
      <w:r>
        <w:rPr/>
        <w:t>“</w:t>
      </w:r>
      <w:r>
        <w:rPr>
          <w:rFonts w:ascii="Times New Roman" w:hAnsi="Times New Roman"/>
          <w:i/>
          <w:sz w:val="20"/>
        </w:rPr>
        <w:t>Participation Interest</w:t>
      </w:r>
      <w:r>
        <w:rPr>
          <w:rFonts w:ascii="Times New Roman" w:hAnsi="Times New Roman"/>
          <w:sz w:val="20"/>
        </w:rPr>
        <w:t xml:space="preserve">” means with respect to any Receivable, a beneficial interest in the Issuer’s or the applicable Secured Guarantor’s right, title and interest, whether now owned or hereafter arising and wherever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located, in, to and under (i) such Receivable, (ii) all Related Security and Collections with respect to such Receivable and (iii) all proceeds of such Receivable, Related Security and Collections. </w:t>
      </w:r>
    </w:p>
    <w:p>
      <w:pPr>
        <w:pStyle w:val="TextBody"/>
        <w:bidi w:val="0"/>
        <w:spacing w:before="240" w:after="0"/>
        <w:jc w:val="left"/>
        <w:rPr/>
      </w:pPr>
      <w:r>
        <w:rPr/>
        <w:t>“</w:t>
      </w:r>
      <w:r>
        <w:rPr>
          <w:rFonts w:ascii="Times New Roman" w:hAnsi="Times New Roman"/>
          <w:i/>
          <w:sz w:val="20"/>
        </w:rPr>
        <w:t>Permitted Bond Hedge</w:t>
      </w:r>
      <w:r>
        <w:rPr>
          <w:rFonts w:ascii="Times New Roman" w:hAnsi="Times New Roman"/>
          <w:sz w:val="20"/>
        </w:rPr>
        <w:t xml:space="preserve">” means any call options or capped call options referencing the Issuer’s Common Stock purchased by the Issuer concurrently with the issuance of Convertible Notes to hedge the Issuer’s or any Subsidiary issuer’s obligations under such Indebtedness.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Alan B. Miller, Marc D. Miller, A. Miller Family, LLC, MMA Family LLC and any trust or other entity owned by or formed for the benefit of the spouses, children, descendants and other family members of Alan B. Miller and Marc D. Miller. Any Person or group whose acquisition of beneficial ownership constitutes a Change of Control in respect of which a Change of Control Offer is made in accordance with the requirements of the Indenture (or would result in a Change of Control Offer in the absence of the waiver of such requirement by Holders in accordance with the Indenture) will thereafter constitute additional Permitted Holders.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not yet due or that are being contested in good faith by appropriate proceedings, provided that adequate reserves with respect thereto are maintained on the books of the Issuer or its Subsidiaries, as the case may be, in conformity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carriers’, warehousemen’s, mechanics’, materialmen’s, repairmen’s or other like Liens arising in the ordinary course of business that are not overdue for a period of more than 30 days or that are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or deposits in connection with workers’ compensation, unemployment insurance and other social security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to secure the performance of bids, trade contracts (other than for borrowed money), leases, statutory obligations, surety and appeal bonds, performance bonds and other obligations of a like nature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Issuer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existence on the Issue Date (other than Liens described in clauses (7), (8) and (10) of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in existence on the Issue Date securing Indebtedness permitted by the Senior Credit Facility; </w:t>
            </w:r>
            <w:r>
              <w:rPr>
                <w:rFonts w:ascii="Times New Roman" w:hAnsi="Times New Roman"/>
                <w:i/>
                <w:sz w:val="20"/>
              </w:rPr>
              <w:t xml:space="preserve">provided </w:t>
            </w:r>
            <w:r>
              <w:rPr>
                <w:rFonts w:ascii="Times New Roman" w:hAnsi="Times New Roman"/>
                <w:sz w:val="20"/>
              </w:rPr>
              <w:t xml:space="preserve">that no such Lien is spread to cover any additional property after the Issue Date and that the amount of Indebtedness secured thereby is not increased;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created pursuant to the Security Documents (including, for the avoidance of doubt, Liens securing the Senior Credit Facility, the Notes, the Existing 2026 Notes, the Existing 2029 Notes, the Existing 2030 Notes, the Existing 2032 Notes and the Existing 2034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or title of a lessor under any lease entered into by the Issuer or any Subsidiary in the ordinary course of its business and covering only the assets so leased;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arising out of the Existing Receivables Facility and any future Qualified Receivables Transaction (including any Receivables Financing); </w:t>
            </w:r>
            <w:r>
              <w:rPr>
                <w:rFonts w:ascii="Times New Roman" w:hAnsi="Times New Roman"/>
                <w:i/>
                <w:sz w:val="20"/>
              </w:rPr>
              <w:t xml:space="preserve">provided </w:t>
            </w:r>
            <w:r>
              <w:rPr>
                <w:rFonts w:ascii="Times New Roman" w:hAnsi="Times New Roman"/>
                <w:sz w:val="20"/>
              </w:rPr>
              <w:t xml:space="preserve">that the aggregate outstanding amount of the purchase price or loan from the lenders or investors under the Existing Receivables Facility and all other Qualified Receivables Transactions (including any Receivables Financing) shall not at any time exceed the greater of (i) $600.0 million and (ii) 50%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accounts receivable, net, as shown on the Issuer’s most recent consolidated balance sheet for which internal financial statements for the Issuer are available </w:t>
            </w:r>
            <w:r>
              <w:rPr>
                <w:i/>
              </w:rPr>
              <w:t xml:space="preserve">plus </w:t>
            </w:r>
            <w:r>
              <w:rPr/>
              <w:t xml:space="preserve">the allowance for doubtful accounts with respect to such accounts receivable, as set forth in the footnotes to such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asset of any Person at the time such Person becomes a Subsidiary and not created in contemplation of such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asset prior to the acquisition thereof by the Issuer or a Subsidiary and not created in contemplation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Indebtedness incurred to refinance, replace, renew, refund, amend, extend or modify, as a whole or in part, Indebtedness that was previously so secured pursuant to clauses (6), (7), (8), (11), (12) and (13) of this definition; </w:t>
            </w:r>
            <w:r>
              <w:rPr>
                <w:rFonts w:ascii="Times New Roman" w:hAnsi="Times New Roman"/>
                <w:i/>
                <w:sz w:val="20"/>
              </w:rPr>
              <w:t xml:space="preserve">provided </w:t>
            </w:r>
            <w:r>
              <w:rPr>
                <w:rFonts w:ascii="Times New Roman" w:hAnsi="Times New Roman"/>
                <w:sz w:val="20"/>
              </w:rPr>
              <w:t xml:space="preserve">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the security for a Permitted Lien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Collateral Release Date, Liens not otherwise permitted by this section so long as the aggregate outstanding principal amount of the obligations secured thereby does not exceed (as to the Issuer and all Subsidiaries) $350.0 million at any one time.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definition, the term “</w:t>
      </w:r>
      <w:r>
        <w:rPr>
          <w:rFonts w:ascii="Times New Roman" w:hAnsi="Times New Roman"/>
          <w:i/>
          <w:sz w:val="20"/>
        </w:rPr>
        <w:t>Indebtedness</w:t>
      </w:r>
      <w:r>
        <w:rPr>
          <w:rFonts w:ascii="Times New Roman" w:hAnsi="Times New Roman"/>
          <w:sz w:val="20"/>
        </w:rPr>
        <w:t xml:space="preserve">” shall be deemed to include interest on such Indebtedness. </w:t>
      </w:r>
    </w:p>
    <w:p>
      <w:pPr>
        <w:pStyle w:val="TextBody"/>
        <w:bidi w:val="0"/>
        <w:spacing w:before="240" w:after="0"/>
        <w:jc w:val="left"/>
        <w:rPr/>
      </w:pPr>
      <w:r>
        <w:rPr/>
        <w:t>“</w:t>
      </w:r>
      <w:r>
        <w:rPr>
          <w:rFonts w:ascii="Times New Roman" w:hAnsi="Times New Roman"/>
          <w:i/>
          <w:sz w:val="20"/>
        </w:rPr>
        <w:t>Permitted Warrant</w:t>
      </w:r>
      <w:r>
        <w:rPr>
          <w:rFonts w:ascii="Times New Roman" w:hAnsi="Times New Roman"/>
          <w:sz w:val="20"/>
        </w:rPr>
        <w:t xml:space="preserve">” means any call option in respect of the Issuer’s Common Stock sold by the Issuer concurrently with the issuance of Convertible Notes.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Issuer, partnership, joint venture, association, joint 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Pledged Notes</w:t>
      </w:r>
      <w:r>
        <w:rPr>
          <w:rFonts w:ascii="Times New Roman" w:hAnsi="Times New Roman"/>
          <w:sz w:val="20"/>
        </w:rPr>
        <w:t xml:space="preserve">” means all promissory notes listed in the Collateral Agreement, all intercompany notes at any time issued to the Issuer or the Secured Guarantors and all other promissory notes issued to or held by the Issuer or the Secured Guarantors (other than promissory notes issued in connection with extensions of trade credit by the Issuer or the Secured Guarantors in the ordinary course of business). </w:t>
      </w:r>
    </w:p>
    <w:p>
      <w:pPr>
        <w:pStyle w:val="TextBody"/>
        <w:bidi w:val="0"/>
        <w:spacing w:before="240" w:after="0"/>
        <w:jc w:val="left"/>
        <w:rPr/>
      </w:pPr>
      <w:r>
        <w:rPr/>
        <w:t>“</w:t>
      </w:r>
      <w:r>
        <w:rPr>
          <w:rFonts w:ascii="Times New Roman" w:hAnsi="Times New Roman"/>
          <w:i/>
          <w:sz w:val="20"/>
        </w:rPr>
        <w:t>Pledged Stock</w:t>
      </w:r>
      <w:r>
        <w:rPr>
          <w:rFonts w:ascii="Times New Roman" w:hAnsi="Times New Roman"/>
          <w:sz w:val="20"/>
        </w:rPr>
        <w:t xml:space="preserve">” means the shares of Capital Stock, together with any other shares, stock certificates, options, interests or rights of any nature whatsoever in respect of the Capital Stock of any Person that may be issued or granted to, or held by, any grantor; </w:t>
      </w:r>
      <w:r>
        <w:rPr>
          <w:rFonts w:ascii="Times New Roman" w:hAnsi="Times New Roman"/>
          <w:i/>
          <w:sz w:val="20"/>
        </w:rPr>
        <w:t xml:space="preserve">provided </w:t>
      </w:r>
      <w:r>
        <w:rPr>
          <w:rFonts w:ascii="Times New Roman" w:hAnsi="Times New Roman"/>
          <w:sz w:val="20"/>
        </w:rPr>
        <w:t xml:space="preserve">that in no event shall more than 65% of the total outstanding Foreign Subsidiary Voting Stock of any Foreign Subsidiary be required to be pledged under the Security Agreement. </w:t>
      </w:r>
    </w:p>
    <w:p>
      <w:pPr>
        <w:pStyle w:val="TextBody"/>
        <w:bidi w:val="0"/>
        <w:spacing w:before="240" w:after="0"/>
        <w:jc w:val="left"/>
        <w:rPr/>
      </w:pPr>
      <w:r>
        <w:rPr/>
        <w:t>“</w:t>
      </w:r>
      <w:r>
        <w:rPr>
          <w:rFonts w:ascii="Times New Roman" w:hAnsi="Times New Roman"/>
          <w:i/>
          <w:sz w:val="20"/>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i/>
          <w:sz w:val="20"/>
        </w:rPr>
        <w:t>Principal Property</w:t>
      </w:r>
      <w:r>
        <w:rPr>
          <w:rFonts w:ascii="Times New Roman" w:hAnsi="Times New Roman"/>
          <w:sz w:val="20"/>
        </w:rPr>
        <w:t xml:space="preserve">” means any property, plant, equipment or facility of the Issuer or any of its Restricted Subsidiaries, except that any property, plant, equipment or facility of the Issuer or any of its Restricted Subsidiaries which does not equal or exceed 3% of the Issuer’s Consolidated Net Tangible Assets shall not constitute a Principal Property of the Issuer unless its Board of Directors or its management deems it to be material to the Issuer and its Restricted Subsidiaries, taken as a whole. Accounts receivable, inventory and Equity Interests of the Issuer or any of its Restricted Subsidiaries are not “Principal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individual items of property, plant, equipment or individual facilities of the Issuer or any of its Restricted Subsidiaries shall not be combined in determining whether that property, plant, equipment or facility constitutes a Principal Property of the Issuer, whether or not they are the subject of the same transaction or series of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Qualified Receivables Transaction</w:t>
      </w:r>
      <w:r>
        <w:rPr>
          <w:rFonts w:ascii="Times New Roman" w:hAnsi="Times New Roman"/>
          <w:sz w:val="20"/>
        </w:rPr>
        <w:t xml:space="preserve">” means any transaction or series of transactions that may be entered into by the Issuer or any of its Restricted Subsidiaries pursuant to which the Issuer or any of its Restricted Subsidiaries may sell, convey or otherwise transfer to (1) a Receivables Subsidiary (in the case of a transfer by the Issuer or any of its Restricted Subsidiaries) and (2) any other Person (in the case of a transfer by a Receivables Subsidiary), or may grant a security interest in, any Receivables (whether now existing or arising in the future) of the Issuer or any of its Restricted Subsidiaries, and any assets related thereto, all contracts and all Guarantees or other obligations in respect of such accounts receivable, the proceeds of such Receivables and other assets that are customarily transferred (including, without limitation, assets of the type transferred pursuant to the Existing Receivables Facility) or in respect of which security interests are customarily granted, in connection with asset securitizations involving Receivables.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Moody’s and S&amp;P or if Moody’s or S&amp;P or both shall not make a rating on the Notes publicly available, a nationally recognized statistical rating agency or agencies, as the case may be, selected by the Issuer which shall be substituted for Moody’s or S&amp;P or both, as the case may be. </w:t>
      </w:r>
    </w:p>
    <w:p>
      <w:pPr>
        <w:pStyle w:val="TextBody"/>
        <w:bidi w:val="0"/>
        <w:spacing w:before="240" w:after="0"/>
        <w:jc w:val="left"/>
        <w:rPr/>
      </w:pPr>
      <w:r>
        <w:rPr/>
        <w:t>“</w:t>
      </w:r>
      <w:r>
        <w:rPr>
          <w:rFonts w:ascii="Times New Roman" w:hAnsi="Times New Roman"/>
          <w:i/>
          <w:sz w:val="20"/>
        </w:rPr>
        <w:t>Receivable</w:t>
      </w:r>
      <w:r>
        <w:rPr>
          <w:rFonts w:ascii="Times New Roman" w:hAnsi="Times New Roman"/>
          <w:sz w:val="20"/>
        </w:rPr>
        <w:t xml:space="preserve">” means all Indebtedness and other obligations owed to the Issuer or a Secured Guarantor (including, without limitation, any Indebtedness, obligation or interest constituting an account, chattel paper, instrument or general intangible) arising in connection with the sale of goods or rendering of services by the Issuer or such Secured Guarantor (including any Account (as defined in the New York UCC)) including, without limitation, the obligation to pay any finance charges or similar amounts with respect thereto. </w:t>
      </w:r>
    </w:p>
    <w:p>
      <w:pPr>
        <w:pStyle w:val="TextBody"/>
        <w:bidi w:val="0"/>
        <w:spacing w:before="240" w:after="0"/>
        <w:jc w:val="left"/>
        <w:rPr/>
      </w:pPr>
      <w:r>
        <w:rPr/>
        <w:t>“</w:t>
      </w:r>
      <w:r>
        <w:rPr>
          <w:rFonts w:ascii="Times New Roman" w:hAnsi="Times New Roman"/>
          <w:i/>
          <w:sz w:val="20"/>
        </w:rPr>
        <w:t>Receivables Fees</w:t>
      </w:r>
      <w:r>
        <w:rPr>
          <w:rFonts w:ascii="Times New Roman" w:hAnsi="Times New Roman"/>
          <w:sz w:val="20"/>
        </w:rPr>
        <w:t xml:space="preserve">” means any fees or interest paid to purchasers or lenders providing the financing in connection with a Qualified Receivables Transaction, factoring agreement or other similar agreement, including any such amounts paid by discounting the face amount of receivables or participations therein transferred in connection with a Qualified Receivables Transaction, factoring agreement or other similar arrangement, regardless of whether any such transaction is structured as on-balance sheet or off-balance sheet or through a Restricted Subsidiary or an Unrestricted Subsidiary. </w:t>
      </w:r>
    </w:p>
    <w:p>
      <w:pPr>
        <w:pStyle w:val="TextBody"/>
        <w:bidi w:val="0"/>
        <w:spacing w:before="240" w:after="0"/>
        <w:jc w:val="left"/>
        <w:rPr/>
      </w:pPr>
      <w:r>
        <w:rPr/>
        <w:t>“</w:t>
      </w:r>
      <w:r>
        <w:rPr>
          <w:rFonts w:ascii="Times New Roman" w:hAnsi="Times New Roman"/>
          <w:i/>
          <w:sz w:val="20"/>
        </w:rPr>
        <w:t>Receivables Financing</w:t>
      </w:r>
      <w:r>
        <w:rPr>
          <w:rFonts w:ascii="Times New Roman" w:hAnsi="Times New Roman"/>
          <w:sz w:val="20"/>
        </w:rPr>
        <w:t xml:space="preserve">” means the Existing Receivables Facility and any future financing arrangement among the Issuer, certain Subsidiaries of the Issuer, including Receivables Subsidiaries, and certain other parties pursuant to which Subsidiaries of the Issuer will sell substantially all of their accounts receivable from time to time to Receivables Subsidiaries, which will, in turn, sell or pledge such receivables to certain third-party lenders or investors for a purchase price or loan from such lenders or investors, as applicable.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xml:space="preserve">” means any Subsidiary formed for the purpose of facilitating or entering into one or more Qualified Receivables Transactions, and in each case engages only in activities reasonably related or incidental thereto. </w:t>
      </w:r>
    </w:p>
    <w:p>
      <w:pPr>
        <w:pStyle w:val="TextBody"/>
        <w:bidi w:val="0"/>
        <w:spacing w:before="240" w:after="0"/>
        <w:jc w:val="left"/>
        <w:rPr/>
      </w:pPr>
      <w:r>
        <w:rPr/>
        <w:t>“</w:t>
      </w:r>
      <w:r>
        <w:rPr>
          <w:rFonts w:ascii="Times New Roman" w:hAnsi="Times New Roman"/>
          <w:i/>
          <w:sz w:val="20"/>
        </w:rPr>
        <w:t>Related Security</w:t>
      </w:r>
      <w:r>
        <w:rPr>
          <w:rFonts w:ascii="Times New Roman" w:hAnsi="Times New Roman"/>
          <w:sz w:val="20"/>
        </w:rPr>
        <w:t xml:space="preserve">” means with respect to any Receivable: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Issuer’s and Secured Guarantor’s interest in the inventory and goods (including returned or repossessed inventory or goods), if any, the sale, financing or lease of which by the Issuer and Secured Guarantor gave rise to such Receivable, and all insurance contracts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security interests or liens and property subject thereto from time to time, if any, purporting to secure payment of such Receivable, whether pursuant to a contract related to such Receivable or otherwise, together with all financing statements and security agreements describing any collateral securing such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guaranties, letters of credit, insurance and other agreements or arrangements of whatever character from time to time supporting or securing payment of such Receivable whether pursuant to a contract related to such Receivable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service contracts and other contracts and agreements associated with such Receivable,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records related to such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Issuer’s and Secured Guarantor’s right, title and interest (if any) in any deposit or other account into which such Receivables are paid or deposited,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proceeds of any of the foregoing. </w:t>
            </w:r>
          </w:p>
        </w:tc>
      </w:tr>
    </w:tbl>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at any time, any direct or indirect Subsidiary of the Issuer that is not then an Unrestricted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an Unrestricted Subsidiary’s ceasing to be an Unrestricted Subsidiary, such Subsidiary shall be included in the definition of “Restricted Subsidiary.”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Services and any successor to its rating agency business. </w:t>
      </w:r>
    </w:p>
    <w:p>
      <w:pPr>
        <w:pStyle w:val="TextBody"/>
        <w:bidi w:val="0"/>
        <w:spacing w:before="240" w:after="0"/>
        <w:jc w:val="left"/>
        <w:rPr/>
      </w:pPr>
      <w:r>
        <w:rPr/>
        <w:t>“</w:t>
      </w:r>
      <w:r>
        <w:rPr>
          <w:rFonts w:ascii="Times New Roman" w:hAnsi="Times New Roman"/>
          <w:i/>
          <w:sz w:val="20"/>
        </w:rPr>
        <w:t>Sale and Lease-Back Transaction</w:t>
      </w:r>
      <w:r>
        <w:rPr>
          <w:rFonts w:ascii="Times New Roman" w:hAnsi="Times New Roman"/>
          <w:sz w:val="20"/>
        </w:rPr>
        <w:t xml:space="preserve">” means any arrangement providing for the leasing by the Issuer or any of its Restricted Subsidiaries for a period of more than three years of any Principal Property, which property is to be sold or transferred by the Issuer or such Subsidiary to a third Person in contemplation of such leasing.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i/>
          <w:sz w:val="20"/>
        </w:rPr>
        <w:t xml:space="preserve">Secured Guarantor” </w:t>
      </w:r>
      <w:r>
        <w:rPr>
          <w:rFonts w:ascii="Times New Roman" w:hAnsi="Times New Roman"/>
          <w:sz w:val="20"/>
        </w:rPr>
        <w:t xml:space="preserve">means each Guarantor which has granted a security interest pursuant to the Security Documents to secure such Guarantor’s Guarantee of the Notes and the Notes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of the SEC promulgated thereunder. </w:t>
      </w:r>
    </w:p>
    <w:p>
      <w:pPr>
        <w:pStyle w:val="TextBody"/>
        <w:bidi w:val="0"/>
        <w:spacing w:before="240" w:after="0"/>
        <w:jc w:val="left"/>
        <w:rPr/>
      </w:pPr>
      <w:r>
        <w:rPr/>
        <w:t>“</w:t>
      </w:r>
      <w:r>
        <w:rPr>
          <w:rFonts w:ascii="Times New Roman" w:hAnsi="Times New Roman"/>
          <w:i/>
          <w:sz w:val="20"/>
        </w:rPr>
        <w:t>Security Agreement</w:t>
      </w:r>
      <w:r>
        <w:rPr>
          <w:rFonts w:ascii="Times New Roman" w:hAnsi="Times New Roman"/>
          <w:sz w:val="20"/>
        </w:rPr>
        <w:t xml:space="preserve">” means the Joinder to the Security Agreement, together with the Base Security Agreement. </w:t>
      </w:r>
    </w:p>
    <w:p>
      <w:pPr>
        <w:pStyle w:val="TextBody"/>
        <w:bidi w:val="0"/>
        <w:spacing w:before="240" w:after="0"/>
        <w:jc w:val="left"/>
        <w:rPr/>
      </w:pPr>
      <w:r>
        <w:rPr/>
        <w:t>“</w:t>
      </w:r>
      <w:r>
        <w:rPr>
          <w:rFonts w:ascii="Times New Roman" w:hAnsi="Times New Roman"/>
          <w:i/>
          <w:sz w:val="20"/>
        </w:rPr>
        <w:t>Security Documents</w:t>
      </w:r>
      <w:r>
        <w:rPr>
          <w:rFonts w:ascii="Times New Roman" w:hAnsi="Times New Roman"/>
          <w:sz w:val="20"/>
        </w:rPr>
        <w:t xml:space="preserve">” means, collectively, the Security Agreement, any intercreditor agreement related to the Junior Lien Obligations, other security agreements relating to the Collateral and instruments filed and recorded in appropriate jurisdictions to preserve and protect the Liens on the Collateral (including, without limitation, financing statements under the Uniform Commercial Code of the relevant states) applicable to the Collateral, each as in effect on the Issue Date (as applicable) and as amended, amended and restated, modified, renewed or replaced from time to time. </w:t>
      </w:r>
    </w:p>
    <w:p>
      <w:pPr>
        <w:pStyle w:val="TextBody"/>
        <w:bidi w:val="0"/>
        <w:spacing w:before="240" w:after="0"/>
        <w:jc w:val="left"/>
        <w:rPr/>
      </w:pPr>
      <w:r>
        <w:rPr/>
        <w:t>“</w:t>
      </w:r>
      <w:r>
        <w:rPr>
          <w:rFonts w:ascii="Times New Roman" w:hAnsi="Times New Roman"/>
          <w:i/>
          <w:sz w:val="20"/>
        </w:rPr>
        <w:t>Senior Credit Facility</w:t>
      </w:r>
      <w:r>
        <w:rPr>
          <w:rFonts w:ascii="Times New Roman" w:hAnsi="Times New Roman"/>
          <w:sz w:val="20"/>
        </w:rPr>
        <w:t xml:space="preserve">” means the senior credit agreement dated as of November 15, 2010 and as amended on March 15, 2011, September 21, 2012, May 16, 2013, August 7, 2014, June 7, 2016, October 23, 2018, August 24, 2021, June 23, 2022, September 26, 2024, April 22, 2026 and July 20, 2026, among the Issuer, the lenders party thereto in their capacities as lenders thereunder and JPMorgan Chase Bank, N.A., as Administrative Agent, including any guarantees, collateral documents, instruments and agreements executed in connection therewith, and any amendments, supplements, modifications, extensions, renewals, restatements, replacements (which may occur after the termination of such senior credit agreement), refundings or refinancings thereof and any indentures or credit facilities or commercial paper facilities with banks or other institutional lenders or investors that replace (which replacement may occur after the termination of such senior credit agreement or other facility), refund or refinance any part of the loans, notes, other credit facilities or commitments thereunder, including any such replacement, refunding or refinancing facility or indenture that increases the amount borrowable thereunder or alters the maturity thereof. </w:t>
      </w:r>
    </w:p>
    <w:p>
      <w:pPr>
        <w:pStyle w:val="TextBody"/>
        <w:bidi w:val="0"/>
        <w:spacing w:before="240" w:after="0"/>
        <w:jc w:val="left"/>
        <w:rPr/>
      </w:pPr>
      <w:r>
        <w:rPr/>
        <w:t>“</w:t>
      </w:r>
      <w:r>
        <w:rPr>
          <w:rFonts w:ascii="Times New Roman" w:hAnsi="Times New Roman"/>
          <w:i/>
          <w:sz w:val="20"/>
        </w:rPr>
        <w:t>Senior Credit Facility Obligations</w:t>
      </w:r>
      <w:r>
        <w:rPr>
          <w:rFonts w:ascii="Times New Roman" w:hAnsi="Times New Roman"/>
          <w:sz w:val="20"/>
        </w:rPr>
        <w:t xml:space="preserve">” means “Obligations” as defined in the Senior Credit Facility.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xml:space="preserve">” means (a) with respect to the First Lien Secured Parties, each of (i) the Credit Agreement Secured Parties (in their capacities as such), (ii) the holders of the Existing 2026 Notes, the holders of the Existing 2029 Notes, the holders of the Existing 2030 Notes, the holders of the Existing 2032 Notes, the holders of the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2034 Notes and U.S. Bank Trust Company, National Association (as successor to MUFG Union Bank, N.A. in the case of the Existing 2030 Notes), as trustee for the holders of the Existing 2026 Notes, the Existing 2029 Notes, the Existing 2030 Notes, the Existing 2032 Notes and the Existing 2034 Notes, collectively, (iii) the Holders and the Trustee (in its capacity as such) and (iv) the Additional First Lien Secured Parties that become subject to the Security Agreement after the date hereof that are represented by a common Authorized Representative (in its capacity as such for such Additional First Lien Secured Parties) and (b) with respect to any First Lien Obligations, each of (i) the Senior Credit Facility Obligations, (ii) the Existing 2026 Notes Obligations, the Existing 2029 Notes Obligations, the Existing 2030 Notes Obligations, the Existing 2032 Notes Obligations and the Existing 2034 Notes Obligations, (iii) the Notes Obligations with respect to the 20 Notes, (iv) the Notes Obligations with respect to the 20 Notes and (v) Additional First Lien Obligations incurred pursuant to any applicable agreement, which, pursuant to any joinder agreement, are to be represented under the Security Agreement by a common Authorized Representative (in its capacity as such for such Additional First Lien Obligations).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Restricted Subsidiary that would be a “Significant Subsidiary” as defined in Article 1, Rule 1-02 of Regulation S-X, promulgated pursuant to the Securities Act, as such regulation is in effect on the Issue Date.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means representations, warranties, covenants and indemnities entered into by the Issuer or any Restricted Subsidiary that are reasonably customary in securitization of Qualified Receivables Transaction.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joint venture, limited liability company or similar entity of which more than 50% of the equity ownership, whether in the form of membership, general, special or limited partnership interests or otherwise, is owned or controlled, directly or indirectly, by such Person or one or more of the other Subsidiaries of that Person or a combination thereof or is consolidated under GAAP with such Person at such time. </w:t>
            </w:r>
          </w:p>
        </w:tc>
      </w:tr>
    </w:tbl>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xml:space="preserve">” means the total assets of the Issuer and its Restricted Subsidiaries on a consolidated basis, as shown on the most recent consolidated balance sheet of the Issuer or such other Person as may be expressly stated. </w:t>
      </w:r>
    </w:p>
    <w:p>
      <w:pPr>
        <w:pStyle w:val="TextBody"/>
        <w:bidi w:val="0"/>
        <w:spacing w:before="240" w:after="0"/>
        <w:jc w:val="left"/>
        <w:rPr/>
      </w:pPr>
      <w:r>
        <w:rPr/>
        <w:t>“</w:t>
      </w:r>
      <w:r>
        <w:rPr>
          <w:rFonts w:ascii="Times New Roman" w:hAnsi="Times New Roman"/>
          <w:i/>
          <w:sz w:val="20"/>
        </w:rPr>
        <w:t>Transactions</w:t>
      </w:r>
      <w:r>
        <w:rPr>
          <w:rFonts w:ascii="Times New Roman" w:hAnsi="Times New Roman"/>
          <w:sz w:val="20"/>
        </w:rPr>
        <w:t xml:space="preserve">” means, collectively, (i) the entry into the amended revolving credit facility and the new replacement tranche A term loan facility pursuant to the amendment and restatement of our Senior Credit Facility, (ii) the offering of the Notes and (iii) the use of proceeds from the foregoing. </w:t>
      </w:r>
    </w:p>
    <w:p>
      <w:pPr>
        <w:pStyle w:val="TextBody"/>
        <w:bidi w:val="0"/>
        <w:spacing w:before="240" w:after="0"/>
        <w:jc w:val="left"/>
        <w:rPr/>
      </w:pPr>
      <w:r>
        <w:rPr/>
        <w:t>“</w:t>
      </w:r>
      <w:r>
        <w:rPr>
          <w:rFonts w:ascii="Times New Roman" w:hAnsi="Times New Roman"/>
          <w:i/>
          <w:sz w:val="20"/>
        </w:rPr>
        <w:t>Underwriters</w:t>
      </w:r>
      <w:r>
        <w:rPr>
          <w:rFonts w:ascii="Times New Roman" w:hAnsi="Times New Roman"/>
          <w:sz w:val="20"/>
        </w:rPr>
        <w:t xml:space="preserve">” means J.P. Morgan Securities LLC, BofA Securities, Inc., Truist Securities, Inc., U.S. Bancorp Investments, Inc. and Wells Fargo Securities, LLC.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of the Issuer which at the time of determination shall be designated an Unrestricted Subsidiary by the Board of Directors of the Issuer in the manner provided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of an Unrestricted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of the Issuer may designate any Subsidiary of the Issuer (including any newly acquired or newly formed Subsidiary or a Person becoming a Subsidiary through merger or consolidation or investment therein) to be an Unrestricted Subsidiary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or any of its Subsidiaries does not own any Capital Stock or Indebtedness of or have any investment in, or own or hold any Lien on any property of, any other Subsidiary of the Issuer that is not a Subsidiary of the Subsidiary to be so designated or otherwise an Unrestricted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Indebtedness of such Subsidiary and its Subsidiaries shall, at the date of designation, and will at all times thereafter, consist of Non-Recourse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either alone or in the aggregate with all other Unrestricted Subsidiaries, does not operate, directly or indirectly, all or substantially all of the business of the Issuer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Subsidiary is a Person with respect to which neither the Issuer nor any of its Restricted Subsidiaries has any direct or indirect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subscribe for additional Capital Stock of such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or preserve such Person’s financial condition or to cause such Person to achieve any specified levels of operating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such Subsidiary is designated an Unrestricted Subsidiary, such Subsidiary is not a party to any agreement, contract, arrangement or understanding with the Issuer or any Restricted Subsidiary with terms substantially less favorable to the Issuer than those that might have been obtained from Persons who are not Affiliates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designation by the Board of Directors of the Issuer shall be evidenced to the Trustee by filing with the Trustee a resolution of the Board of Directors of the Issuer, certified by the Secretary or an Assistant Secretary of the Issuer, giving effect to such designation and an Officers’ Certificate certifying that such designation complies with the foregoing conditions. If, at any time, any Unrestricted Subsidiary would fail to meet the foregoing requirements as an Unrestricted Subsidiary, it shall thereafter cease to be an Unrestricted Subsidiary for purposes of the Indenture and any Indebtedness of such Subsidiary shall be deemed to be Incurred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Issuer may designate any Unrestricted Subsidiary to be a Restricted Subsidiary; </w:t>
      </w:r>
      <w:r>
        <w:rPr>
          <w:rFonts w:ascii="Times New Roman" w:hAnsi="Times New Roman"/>
          <w:i/>
          <w:sz w:val="20"/>
        </w:rPr>
        <w:t xml:space="preserve">provided </w:t>
      </w:r>
      <w:r>
        <w:rPr>
          <w:rFonts w:ascii="Times New Roman" w:hAnsi="Times New Roman"/>
          <w:sz w:val="20"/>
        </w:rPr>
        <w:t xml:space="preserve">that immediately after giving effect to such designation, no Default or Event of Default shall have occurred and be continuing or would occur as a consequence thereof and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and its Restricted Subsidiaries on a consolidated basis would have had a Consolidated Coverage Ratio of at least 2.00 to 1.00;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Coverage Ratio for the Issuer and its Restricted Subsidiaries would be greater than such ratio for the Issuer and its Restricted Subsidiaries immediately prior to such designation, in each case on a pro forma basis taking into account such designation. </w:t>
            </w:r>
          </w:p>
        </w:tc>
      </w:tr>
    </w:tbl>
    <w:p>
      <w:pPr>
        <w:pStyle w:val="TextBody"/>
        <w:bidi w:val="0"/>
        <w:spacing w:before="240" w:after="0"/>
        <w:jc w:val="left"/>
        <w:rPr/>
      </w:pPr>
      <w:r>
        <w:rPr/>
        <w:t>“</w:t>
      </w:r>
      <w:r>
        <w:rPr>
          <w:rFonts w:ascii="Times New Roman" w:hAnsi="Times New Roman"/>
          <w:i/>
          <w:sz w:val="20"/>
        </w:rPr>
        <w:t>Unsecured Guarantors</w:t>
      </w:r>
      <w:r>
        <w:rPr>
          <w:rFonts w:ascii="Times New Roman" w:hAnsi="Times New Roman"/>
          <w:sz w:val="20"/>
        </w:rPr>
        <w:t xml:space="preserve">” means each of the Guarantors other than the Secured Guarantors.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Wholly Owned Subsidiary</w:t>
      </w:r>
      <w:r>
        <w:rPr>
          <w:rFonts w:ascii="Times New Roman" w:hAnsi="Times New Roman"/>
          <w:sz w:val="20"/>
        </w:rPr>
        <w:t xml:space="preserve">” of any Person means a Subsidiary of such Person, 100% of the outstanding Equity Interests of which (other than directors’ qualifying shares) shall at the time be owned by such Person or by one or more Wholly 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01514_12"/>
      <w:bookmarkEnd w:id="14"/>
      <w:r>
        <w:rPr>
          <w:rFonts w:ascii="Times New Roman" w:hAnsi="Times New Roman"/>
          <w:b/>
          <w:sz w:val="20"/>
        </w:rPr>
        <w:t xml:space="preserve">Book-entry settlement and clearance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represented by one or more permanent global notes in registered form without interest coupons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The Depository Trust Company (“DTC”), in New York, New York, and registered in the name of DTC’s nominee, Cede &amp; Co., in each case for credit to an account of a direct or indirect participant in DTC as described below. Beneficial interests in the Global Notes may be held through the Euroclear System (“Euroclear”) and Clearstream Banking, S.A. (“Clearstream”) (as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another nominee of DTC or to a successor of DTC or its nominee. Beneficial interests in the Global Notes may not be exchanged for certificated notes, and owners of beneficial interests in the Global Notes will not be entitled to receive physical delivery of certificated Notes, except in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Global Notes will be exchangeable for certificated notes registered in the names of holders other than the depositary or its nominee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depositary notifies us that it is unwilling or unable to continue as the depositary for such Global Note or such depositary ceases to be a clearing agency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execute and deliver to the trustee an officer’s certificate to the effect that such Global Note will be so exchangeable;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such Global Note has occurred and is continuing.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are provided solely as a matter of convenience. These operations and procedures are solely within the control of the respective settlement systems and are subject to changes by them. We and the underwriters take no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depositaries. All interests in a Global Note, including those held through Euroclear or Clearstream, may be subject to the procedures and requirements of DTC. 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Owners of an interest in the Global Notes will not have notes registered in their names, will not receive physical delivery of certificated notes (except in the limited circumstances described below)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will be payable to DTC in its capacity as the registered Holder under the Indenture. Under the terms of the Indenture, we and the trustee will treat the persons in whose names the notes, including the Global Notes, are registered as the owners of the notes for the purpose of receiving payments and for all other purposes. Consequently, neither we, the trustee nor any agent of us or the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its Participants in identifying the beneficial owners of the notes, and we and the trustee may conclusively rely on and will be protected in relying on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DTC or its nominee for all purposes. 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us, the Trustee or any of our or its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in respect of the notes represented by the Global Notes (including principal, premium, if any, and interest) by wire transfer of immediately available funds to the accounts specified by the Global Note holder.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101514_13"/>
      <w:bookmarkEnd w:id="15"/>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as of the date of this prospectus supplement, of the purchase, ownership and disposition of the notes. This summary deals only with notes held as capital assets (generally property held for investment) by persons who purchase the notes for cash upon original issuance at their “issue price,” which for each series will be the first price at which a substantial amount of the notes of such series is sold to the investors (excluding sales to bond houses, brokers or similar persons or organizations acting in the capacity of underwriter, placement agent or wholesaler).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means a beneficial owner of the notes that is for United States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the notes (other than an entity treated as a partnership for United States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any entity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own tax advisors.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for general information only, and does not purport to discuss all aspects of United States federal income taxation that may be important to a particular holder in light of its investment or tax circumstances, or to represent a detailed description of the United States federal income tax consequences applicable to you if you are a person subject to special tax treatment under the United States federal income tax laws,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the notes as part of a hedging, integrated, conversion or constructive sale transaction or a straddle;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has elected the mark-to-market method of accounting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liable for alternative minimum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S corporation or other pass-through entity for United States federal income tax purposes (or an investor in such an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that holds its notes through a non-U.S. broker or other non-U.S.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required to accelerate the recognition of any item of gross income with respect to the notes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or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retirement plan, individual retirement account or other tax deferred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government (or instrumentality or agency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expatriate.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Internal Revenue Code of 1986, as amended (the “Code”), United States Treasury regulations, administrative rulings and official pronouncements of the Internal Revenue Service (“IRS”) and judicial decisions, all as of the date hereof. Those authorities may be changed, possibly on a retroactive basis, so as to result in United States federal income tax consequences different from those summarized below. We have not sought and will not seek any rulings from the IRS regarding the matters discussed below. There can be no assurance that the IRS will not take, or that a court would not sustain, positions concerning the United States federal income tax consequences of the purchase, ownership or disposition of the notes that are different from those discussed below. This summary is not exhaustive of all possible tax considerations and does not represent a detailed description of United States federal income tax consequences, nor does it address United States federal estate, gift or alternative minimum tax laws, the Medicare tax on certain investment income or the effects of any state, local or non-United States tax laws. It is not intended to be, and should not be construed to be, legal or tax advice to any particular purchaser of notes. This summary does not address any tax reporting requirements except as expressly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If you are considering the purchase of notes, you should consult your own tax advisors concerning the particular United States federal income tax consequences to you of the purchase, ownership and disposition of the notes, as well as the consequences to you arising under other United States federal tax laws (including the estate, gift or alternative minimum tax laws and the Medicare tax on certain investment income) and under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United States federal income 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that will apply to you if you are a U.S. holder of the notes. </w:t>
      </w:r>
    </w:p>
    <w:p>
      <w:pPr>
        <w:pStyle w:val="TextBody"/>
        <w:bidi w:val="0"/>
        <w:spacing w:before="240" w:after="0"/>
        <w:jc w:val="left"/>
        <w:rPr>
          <w:rFonts w:ascii="Times New Roman" w:hAnsi="Times New Roman"/>
          <w:sz w:val="20"/>
        </w:rPr>
      </w:pPr>
      <w:r>
        <w:rPr>
          <w:rFonts w:ascii="Times New Roman" w:hAnsi="Times New Roman"/>
          <w:i/>
          <w:sz w:val="20"/>
        </w:rPr>
        <w:t>Stated interest</w:t>
      </w:r>
      <w:r>
        <w:rPr>
          <w:rFonts w:ascii="Times New Roman" w:hAnsi="Times New Roman"/>
          <w:sz w:val="20"/>
        </w:rPr>
        <w:t xml:space="preserve">. Stated interest on the notes generally will be taxable to you as ordinary income at the time it is received or accrued, depending on your method of accounting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the stated principal amount of the notes of a series exceeds their issue price by an amount that is equal to or greater than a statutorily-defined de minimis amount, the notes of such series will be treated as issued with “original issue discount” for United States federal income tax purposes in an amount equal to such excess, and a U.S. holder will be required to include such original issue discount in income (as ordinary income) as it accrues (in accordance with a constant yield method) in advance of the receipt of cash payments attributable to such original issue discount, regardless of the U.S. holder’s regular method of accounting for United States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tax purposes. We believe, and this summary assumes, that the notes will not be issued with original issue discount for United States federal income tax purposes. </w:t>
      </w:r>
    </w:p>
    <w:p>
      <w:pPr>
        <w:pStyle w:val="TextBody"/>
        <w:bidi w:val="0"/>
        <w:spacing w:before="240" w:after="0"/>
        <w:jc w:val="left"/>
        <w:rPr>
          <w:rFonts w:ascii="Times New Roman" w:hAnsi="Times New Roman"/>
          <w:sz w:val="20"/>
        </w:rPr>
      </w:pPr>
      <w:r>
        <w:rPr>
          <w:rFonts w:ascii="Times New Roman" w:hAnsi="Times New Roman"/>
          <w:i/>
          <w:sz w:val="20"/>
        </w:rPr>
        <w:t>Sale, exchange, retirement, redemption or other taxable disposition of notes</w:t>
      </w:r>
      <w:r>
        <w:rPr>
          <w:rFonts w:ascii="Times New Roman" w:hAnsi="Times New Roman"/>
          <w:sz w:val="20"/>
        </w:rPr>
        <w:t xml:space="preserve">. Upon the sale, exchange, retirement, redemption or other taxable disposition of a note, you generally will recognize gain or loss equal to the difference, if any, between the amount realized upon the sale, exchange, retirement, redemption or other taxable disposition (less an amount equal to any accrued and unpaid stated interest, which will be taxable as interest income if not previously included in income as discussed above) and the adjusted tax basis of the note. Your adjusted tax basis in a note will, in general, be your cost for that note. Any gain or loss will be capital gain or loss and will be long-term capital gain or loss if at the time of the sale, exchange, retirement, redemption or other taxable disposition the note has been held by you for more than one year. Long-term capital gains of non-corporate U.S. holders are eligible for reduced rates of taxation.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own tax advisors regarding the effect, if any, of these rules on the purchase, ownership and disposition of the notes in light of their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United States federal income 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United States federal income tax consequences that will apply to you if you are a non-U.S. holder of the notes. </w:t>
      </w:r>
    </w:p>
    <w:p>
      <w:pPr>
        <w:pStyle w:val="TextBody"/>
        <w:bidi w:val="0"/>
        <w:spacing w:before="240" w:after="0"/>
        <w:jc w:val="left"/>
        <w:rPr>
          <w:rFonts w:ascii="Times New Roman" w:hAnsi="Times New Roman"/>
          <w:sz w:val="20"/>
        </w:rPr>
      </w:pPr>
      <w:r>
        <w:rPr>
          <w:rFonts w:ascii="Times New Roman" w:hAnsi="Times New Roman"/>
          <w:i/>
          <w:sz w:val="20"/>
        </w:rPr>
        <w:t>United States federal withholding tax</w:t>
      </w:r>
      <w:r>
        <w:rPr>
          <w:rFonts w:ascii="Times New Roman" w:hAnsi="Times New Roman"/>
          <w:sz w:val="20"/>
        </w:rPr>
        <w:t xml:space="preserve">. Subject to the discussion of backup withholding and FATCA below, United States federal withholding tax will not apply to any payment of interest on the notes under the “portfolio interest rule,”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on the notes is not effectively connected with your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voting stock within the meaning of the Code and applicable United States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to us actually or constructively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the notes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you provide your name and address on an IRS Form W-8BEN or Form W-8BEN-E, as applicable (or other applicable form), and certify, under penalties of perjury, that you are not a United States person as defined under the Code or (b) you hold your notes through certain foreign intermediaries and satisfy the certification requirements of applicable United States Treasury regulations. Special certification rules apply to non-U.S. holders that are pass-through entities rather than corporations or individuals.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satisfy the requirements described above, payments of interest made to you will be subject to a 30% United States federal withholding tax, unless you provide the applicable withholding agent with a properly executed: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IRS Form W-8BEN or Form W-8BEN-E, as applicable (or other applicable form), certifying an exemption from or reduction in withholding under the benefit of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IRS Form W-8ECI (or other applicable form) certifying that interest paid on the notes is not subject to withholding tax because it is effectively connected with your conduct of a trade or business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and includible in your gross income (as discussed below under “—United States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30% United States federal withholding tax generally will not apply to any payment of principal or gain that you realize on the sale, exchange, retirement, redemption or other taxable disposition of a note. </w:t>
      </w:r>
    </w:p>
    <w:p>
      <w:pPr>
        <w:pStyle w:val="TextBody"/>
        <w:bidi w:val="0"/>
        <w:spacing w:before="240" w:after="0"/>
        <w:jc w:val="left"/>
        <w:rPr>
          <w:rFonts w:ascii="Times New Roman" w:hAnsi="Times New Roman"/>
          <w:sz w:val="20"/>
        </w:rPr>
      </w:pPr>
      <w:r>
        <w:rPr>
          <w:rFonts w:ascii="Times New Roman" w:hAnsi="Times New Roman"/>
          <w:i/>
          <w:sz w:val="20"/>
        </w:rPr>
        <w:t>United States federal income tax</w:t>
      </w:r>
      <w:r>
        <w:rPr>
          <w:rFonts w:ascii="Times New Roman" w:hAnsi="Times New Roman"/>
          <w:sz w:val="20"/>
        </w:rPr>
        <w:t xml:space="preserve">. 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United States federal income tax on that interest on a net income basis in generally the same manner as if you were a United States person as defined under the Code. In addition, if you are a foreign corporation, you may be subject to a branch profits tax equal to 30% (or a lower applicable income tax treaty rate) of your effectively connected earnings and profits, subject to adjustments. If interest received with respect to the notes is effectively connected income (whether or not a treaty applies), the 30% withholding tax described above will not apply, provided the certification requirements discussed above in “—United States federal withholding tax” are satisfied.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of backup withholding and FATCA below, any gain realized on the sale, exchange, retirement, redemption or other taxable disposition of a note generally will not be subject to United States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attributable to a United States permanent establishment), in which case such gain generally will be subject to United States federal income tax (and possibly branch profits tax) in the same manner as discussed above with respect to effectively connected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that disposition, and certain other conditions are met, in which case, unless an applicable income tax treaty provides otherwise, you generally will be subject to a flat 30% United States federal income tax on any gain recognized, which may be offset by certain United States source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amount received on the sale, exchange, retirement, redemption or other taxable disposition of a note is attributable to accrued but unpaid interest on the note, such amount generally will be subject to, or exempt from, tax to the same extent as described above with respect to interest paid on the notes.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own tax advisors regarding the effect, if any, of these rules on the purchase, ownership and disposition of the notes in light of their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i/>
          <w:sz w:val="20"/>
        </w:rPr>
        <w:t>U.S. holders</w:t>
      </w:r>
      <w:r>
        <w:rPr>
          <w:rFonts w:ascii="Times New Roman" w:hAnsi="Times New Roman"/>
          <w:sz w:val="20"/>
        </w:rPr>
        <w:t xml:space="preserve">. In general, information reporting requirements will apply to payments of interest on the notes and the proceeds of the sale or other taxable disposition (including a retirement or redemption) of a note paid to you (unless you are an exempt recipient, such as a corporation). Backup withholding (currently at a rate of 24%) may apply to such payments if you fail to provide a taxpayer identification number and a certification that you are not subject to backup withholding or if you are subject to backup withholding because you previously failed to report in full dividend and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your United States federal income tax liability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Non-U.S. holders</w:t>
      </w:r>
      <w:r>
        <w:rPr>
          <w:rFonts w:ascii="Times New Roman" w:hAnsi="Times New Roman"/>
          <w:sz w:val="20"/>
        </w:rPr>
        <w:t xml:space="preserve">. Generally, information reporting will apply to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you will not be subject to backup withholding with respect to payments of interest on the notes that are made to you provided that the applicable withholding agent does not have actual knowledge or reason to know that you are a United States person as defined under the Code, and such withholding agent has received from you the required certification that you are a non-U.S. holder described above in the fifth bullet point under “— Material United States federal income tax consequences to non-U.S. holders—United States federal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your United States federal income tax liability provided the required information is timely furnished to the IRS. You should consult your own tax advisors regarding the application of the information reporting and backup withholding rules to you in light of your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United States federal withholding tax may apply to any interest paid on the notes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 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The foregoing rules generally will apply whether the foreign financial institution or non-financial foreign entity is the beneficial owner of the notes or an intermediary. If an interest payment is both subject to withholding under FATCA and subject to the withholding tax discussed above under “—Material United States federal income tax consequences to non-U.S. holders—United States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notes, proposed United States Treasury regulations (upon which taxpayers may rely until final regulations are issued) eliminate FATCA withholding on payments of gross proceeds entirely. You should consult your own tax advisors regarding these rules and whether they may be relevant to your ownership and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01514_14"/>
      <w:bookmarkEnd w:id="16"/>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of the notes, or any interest therein, by (i) employee benefit plans that are subject to Title I of the Employee Retirement Income Security Act of 1974, as amended (“ERISA”), (ii) plans, individual retirement accounts and other arrangements that are subject to Section 4975 of the Internal Revenue Code of 1986, as amended (the “Code”), or provisions under any other U.S. or non-U.S. federal, state, local or other laws or regulations that are similar to such provisions of ERISA or the Code (collectively, “Similar Laws”), and (iii) entities whose underlying assets are considered to include “plan assets” of any such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with a portion of the assets of any Plan, a fiduciary should determine whether the investment is in accordance with the documents and instruments governing the Plan and such assets and the applicable provisions of ERISA, the Code and any Similar Law relating to the fiduciary’s duties to the Plan including, without limitation, the prudence, diversification, delegation of control, conflicts of interest and prohibited transaction provisions of ERISA, the Code and any other applicable Similar Law. The fiduciary of a Plan should consider the Plan’s particular circumstances and all of the facts and circumstances of the investment, including, but not limited to, the matters discussed above under “Risk Factors,” in determining whether an investment in the notes, or any interest therein, satisfies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Each Plan should consider the fact that UHS, the guarantors, the underwriters and their respective affiliates (collectively, the “Transaction Parties”) have, or may have, financial interests in the Plan’s purchase and holding of the notes, or any interest therein, which interests may conflict with the interest of the Plan and that none of the Transaction Parties is acting as a fiduciary to any Plan with respect to the decision to purchase or hold the notes, or any interest therein, in connection with the sale and offering of the notes, or any interest therein, in each case, unless a statutory or administrative exemption applies (all of the applicable conditions of which are satisfied) or the transaction is not otherwise prohibited. The Transaction Parties are not undertaking to provide impartial investment advice or advice based on any particular investment need, or to give advice in a fiduciary capacity, with respect to the decision to purchase the notes, or any interest therein, in connection with the initial sale and offering of the notes, or any interest therein. All communications, correspondence and materials from the Transaction Parties with respect to the notes, or any interest therein, are intended to be general in nature and are not directed at any specific purchaser of the notes, or any interest therein, and do not constitute advice regarding the advisability of investment in the notes, or any interest therein, for any specific purchaser. The decision to purchase and hold the notes, or any interest therein, must be made by each prospective Plan purchaser on an arm’s-length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penalties and liabilities under ERISA and the Code. The acquisition and/or holding of notes, or any interest therein, by a Covered Plan with respect to which any of the Transaction Parties is or is considered to be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the U.S. Department of Labor has issued prohibited transaction class exemptions, or “PTCEs,” that may apply to the acquisition and holding of the notes, or any interest therein. These class exemptions include, without limitation, PTCE 84-14 with respect to transactions determined by independent qualified professional asset managers, PTCE 90-1 with respect to insurance company pooled separate accounts, PTCE 91-38 with respect to bank collective investment funds, PTCE 95-60 with respect to insurance company general accounts and PTCE 96-23 with respect to transactions determined by in-house asset managers, each such PTCE as amended. In addition, Section 408(b)(17) of ERISA and Section 4975(d)(20) of the Code provide relief from the prohibited transaction provisions of ERISA and Section 4975 of the Code for certain transactions between a Covered Plan and a person that is a party in interest or disqualified person with respect to the Covered Plan solely by reason of providing services to the Covered Plan or a relationship with such a service provider, provided that neither the person transacting with the Covered Plan nor any of its affiliates (directly or indirectly) have or exercise any discretionary authority or control or render any investment advice with respect to the assets of any Covered Plan involved in the transaction and provided further that the Covered Plan pays no more than, and receives no less than, adequate consideration in connection with the transaction. Fiduciaries of Covered Plans considering acquiring and/or holding the notes, or any interest therein, in reliance on these or any other exemption should carefully review the exemption to ensure it is applicable. There can be no assurance that any of the foregoing exemptions or any other exemption will be available with respect to all possible prohibited transactions that may arise in connection with the acquisition and holding of the notes, or any interest therein, or that all of the conditions of any such exemptions will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Plans and entities that are (or whose assets constitute the assets of) governmental plans (as defined in Section 3(32) of ERISA), church plans (as defined in section 3(33) of ERISA) that have not made an election under 410(d) of the Code and non-United States plans (as described in Section 4(b)(4) of ERISA), while not subject to the fiduciary responsibility provisions of Title I of ERISA or the prohibited transaction provisions of Title I of ERISA or Section 4975 of the Code, may nevertheless be subject to Similar Laws that include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or any interest therein, should not be purchased or held by any person investing “plan assets” of any Plan, unless such purchase and holding will not constitute a non-exempt prohibited transaction under ERISA or the Code or a similar violation of any applicable Similar Law.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 note, or any interest therein, each purchaser and subsequent transferee of a note, or any interest therein, will be deemed to have represented and warranted that (A) either (i) it is not a Plan and no portion of the assets used by such purchaser or transferee to acquire or hold the note, or any interest therein, constitutes the assets of any Plan or (ii) the purchase, holding and disposition of the note, or any interest therein, by such purchaser or transferee will not constitute a non-exempt prohibited transaction under Section 406 of ERISA or Section 4975 of the Code or a similar violation under any applicable Similar Law, and (B) none of UHS, the guarantors or any of their respective affiliates will at any time be relied upon as purchaser’s or any subsequent transferee’s fiduciary with respect to any decision by the purchaser or subsequent transferee to acquire, hold, dispose of or transfer the note.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101514_15"/>
      <w:bookmarkEnd w:id="17"/>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the underwriting agreement dated as of the date of this prospectus supplement, the underwriters named below, for whom J.P. Morgan Securities LLC, BofA Securities, Inc., Truist Securities, Inc., U.S. Bancorp Investments, Inc. and Wells Fargo Securities, LLC are acting as representatives (the “representatives”), have severally agreed to purchase from us, and we have agreed to sell, the aggregate principal amount of the notes of each series listed opposite their names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1"/>
        <w:gridCol w:w="399"/>
        <w:gridCol w:w="188"/>
        <w:gridCol w:w="2063"/>
        <w:gridCol w:w="60"/>
        <w:gridCol w:w="399"/>
        <w:gridCol w:w="188"/>
        <w:gridCol w:w="2063"/>
        <w:gridCol w:w="64"/>
      </w:tblGrid>
      <w:tr>
        <w:trPr/>
        <w:tc>
          <w:tcPr>
            <w:tcW w:w="478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99" w:type="dxa"/>
            <w:tcBorders/>
            <w:vAlign w:val="bottom"/>
          </w:tcPr>
          <w:p>
            <w:pPr>
              <w:pStyle w:val="TableContents"/>
              <w:bidi w:val="0"/>
              <w:spacing w:before="0" w:after="283"/>
              <w:jc w:val="left"/>
              <w:rPr/>
            </w:pPr>
            <w:r>
              <w:rPr/>
              <w:t>  </w:t>
            </w:r>
          </w:p>
        </w:tc>
        <w:tc>
          <w:tcPr>
            <w:tcW w:w="2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 to be Purchased</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 to be Purchased</w:t>
            </w:r>
          </w:p>
        </w:tc>
        <w:tc>
          <w:tcPr>
            <w:tcW w:w="64"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2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206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2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20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2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20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2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20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2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20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8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2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20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20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206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2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20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underwriters under the underwriting agreement, including their agreement to purchase the notes from us, are several and not joint. The underwriting agreement provides that the underwriters will purchase all of the notes being sold pursuant to the underwriting agreement if any of them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In the underwriting agreement, we have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offer, sell, contract to sell or otherwise dispose of any of our debt securities with a tenor of more than one year (other than the notes offered hereby) from the date of this prospectus supplement through and including the closing date, without the prior consent of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the several underwriters against certain liabilities, including liabilities under the Securities Act, or contribute to payments that the underwriters may be required to make in respect of those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representatives that the underwriters propose to offer the notes directly to the public at the applicable public offering prices set forth on the cover page of this prospectus supplement, and the underwriters may sell the notes to certain dealers at the applicable public offering price less a concession not in excess of (i)   of the aggregate principal amount of the 20  notes and (ii)  % of the aggregate principal amount of the 20  notes. The underwriters may allow, and such dealers may reallow, a concession not in excess of (i)  % of the aggregate principal amount of the 20  notes and (ii)  % of the aggregate principal amount of the 20  notes to certain other dealers. After the initial offering of the notes to the public, the underwriters may change the public offering price and concession and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that we are to pay to the underwriters in connection with this offering (expressed as a percentage of the principal amount of each series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70"/>
        <w:gridCol w:w="68"/>
        <w:gridCol w:w="3401"/>
      </w:tblGrid>
      <w:tr>
        <w:trPr/>
        <w:tc>
          <w:tcPr>
            <w:tcW w:w="347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401" w:type="dxa"/>
            <w:tcBorders/>
            <w:vAlign w:val="bottom"/>
          </w:tcPr>
          <w:p>
            <w:pPr>
              <w:pStyle w:val="TableContents"/>
              <w:pBdr>
                <w:bottom w:val="single" w:sz="8" w:space="1" w:color="000000"/>
              </w:pBdr>
              <w:bidi w:val="0"/>
              <w:spacing w:before="0" w:after="0"/>
              <w:jc w:val="right"/>
              <w:rPr>
                <w:rFonts w:ascii="Times New Roman" w:hAnsi="Times New Roman"/>
                <w:b/>
                <w:sz w:val="16"/>
                <w:u w:val="single"/>
              </w:rPr>
            </w:pPr>
            <w:r>
              <w:rPr>
                <w:rFonts w:ascii="Times New Roman" w:hAnsi="Times New Roman"/>
                <w:b/>
                <w:sz w:val="16"/>
                <w:u w:val="single"/>
              </w:rPr>
              <w:t>Paid by us</w:t>
            </w:r>
          </w:p>
        </w:tc>
      </w:tr>
      <w:tr>
        <w:trPr/>
        <w:tc>
          <w:tcPr>
            <w:tcW w:w="3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68" w:type="dxa"/>
            <w:tcBorders/>
            <w:shd w:fill="CCEEFF" w:val="clear"/>
            <w:vAlign w:val="bottom"/>
          </w:tcPr>
          <w:p>
            <w:pPr>
              <w:pStyle w:val="TableContents"/>
              <w:bidi w:val="0"/>
              <w:spacing w:before="0" w:after="283"/>
              <w:jc w:val="left"/>
              <w:rPr/>
            </w:pPr>
            <w:r>
              <w:rPr/>
              <w:t> </w:t>
            </w:r>
          </w:p>
        </w:tc>
        <w:tc>
          <w:tcPr>
            <w:tcW w:w="3401" w:type="dxa"/>
            <w:tcBorders/>
            <w:shd w:fill="CCEEFF" w:val="clear"/>
            <w:vAlign w:val="bottom"/>
          </w:tcPr>
          <w:p>
            <w:pPr>
              <w:pStyle w:val="TableContents"/>
              <w:bidi w:val="0"/>
              <w:spacing w:before="0" w:after="283"/>
              <w:jc w:val="right"/>
              <w:rPr/>
            </w:pPr>
            <w:r>
              <w:rPr/>
              <w:t>%</w:t>
            </w:r>
          </w:p>
        </w:tc>
      </w:tr>
      <w:tr>
        <w:trPr/>
        <w:tc>
          <w:tcPr>
            <w:tcW w:w="3470" w:type="dxa"/>
            <w:tcBorders/>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68" w:type="dxa"/>
            <w:tcBorders/>
            <w:vAlign w:val="bottom"/>
          </w:tcPr>
          <w:p>
            <w:pPr>
              <w:pStyle w:val="TableContents"/>
              <w:bidi w:val="0"/>
              <w:spacing w:before="0" w:after="283"/>
              <w:jc w:val="left"/>
              <w:rPr/>
            </w:pPr>
            <w:r>
              <w:rPr/>
              <w:t> </w:t>
            </w:r>
          </w:p>
        </w:tc>
        <w:tc>
          <w:tcPr>
            <w:tcW w:w="3401" w:type="dxa"/>
            <w:tcBorders/>
            <w:vAlign w:val="bottom"/>
          </w:tcPr>
          <w:p>
            <w:pPr>
              <w:pStyle w:val="TableContents"/>
              <w:bidi w:val="0"/>
              <w:spacing w:before="0" w:after="283"/>
              <w:jc w:val="righ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 will be approximately $   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series of the notes is a new issue of securities with no established trading market. We have not applied for and do not intend to apply for listing of the notes on any securities exchange or for quotation of the notes on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intend to make a market in each series of the notes, but they are not obligated to do so. The underwriters may discontinue any market making in the notes at any time in their sole discretion. Accordingly, we cannot assure you that a liquid trading market will develop for the notes of any series,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laws and practices of certain countries require investors to pay stamp taxes and other charges in connection with purchases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cause the prices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cycle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 2026, which is the seventh business day following the date hereof (such settlement cycle being referred to as “T + ”). Under Rule 15c6-1 under the Securities Exchange Act of 1934, as amended (the “Exchange Act”), trades in the secondary market generally are required to settle in one business day unless the parties to any such trade expressly agree otherwise. Accordingly, purchasers who wish to trade the notes prior to one business day before the delivery of the notes hereunder will be required, by virtue of the fact that the notes initially will settle in T+  , to specify an alternative settlement cycle at the time of any such trade to prevent failed settlement. Purchasers of the notes who wish to trade the notes prior to one business day before the delivery of the notes hereunder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have received or will receive customary fees and expenses. In particular, JPMorgan Chase Bank, N.A., an affiliate of J.P. Morgan Securities LLC, acts as a joint lead arranger and acts as administrative agent under our senior secured credit facility, and affiliates of certain of the other underwriters, including J.P. Morgan Securities LLC, BofA Securities, Inc., Truist Securities, Inc., U.S. Bancorp Investments, Inc. and Wells Fargo Securities, LLC, act as lenders and, in some cases, as joint lead arrangers and agents, under our revolving credit facility and our tranche A term loan facility. In addition, J.P. Morgan Securities LLC is acting as our financial advisor in connection with our proposed acquisition of Talkspace. The affiliates of certain underwriters will receive a portion of the proceeds of the Transactions as a result of the repayment of the outstanding borrowings under our revolving credit facility. Additionally, certain of the underwriters and/or their respective affiliates may hold some of the Existing 2026 Notes and may receive a portion of the proceeds from Transactions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“Underwriting”. An affiliate of U.S. Bancorp Investments, Inc. acts as trustee and JPMorgan Chase Bank, N.A. acts as collateral agent under the indentures governing our existing senior secured notes and will act as trustee and collateral agent, respectively, under the indenture that will govern the notes. In addition, affiliates of certain underwriters are counterparties to our interest rate swap agreements.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underwriters or their affiliates has a lending relationship with us, certain of those underwriters or their affiliates routinely hedge, certain other of those underwriters or their affiliates are likely to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 company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Offering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(EEA)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paragraph 15 of Schedule 1 to the Public Offers and Admissions to Trading Regulations 2024.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and any other document or materials relating to the issue of the notes offered hereby is not being made, and such documents and/or materials have not been approved, by an authorized person for the purposes of Section 21 of the Financial Services and Markets Act 2000 (as amended, the “FSMA”). Accordingly, such documents and/or materials are not being distributed to, and must not be passed on to, the general public in the UK. This prospectus supplement and the accompanying prospectus are only being distributed to, and are directed only at, and any offer subsequently made may only be directed at, (A) persons outside the UK, or (B) persons in the UK (i) who have professional experience in matters relating to investments falling within Article 19(5) of the Financial Services and Markets Act 2000 (Financial Promotion) Order 2005 (as amended, the “Financial Promotion Order”) or (ii) who are high net worth companies (or persons to whom they may otherwise be lawfully communicated) falling within Article 49(2)(a) to (d) of the Financial Promotion Order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relates is only available to,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the accompanying prospectus nor any other offering or marketing material relating to the notes or the offering has been registered as a prospectus with the Monetary Authority of Singapore. Accordingly, neither this prospectus supplement, the accompanying prospectus nor any other offering or marketing material relating to the notes or the offering may be circulated or distributed, nor may the notes be offered or sold, or be made the subject of an invitation for subscription or purchase, whether directly or indirectly, to persons in Singapore, other than (a) to an institutional investor under Section 274 of the Securities and Futures Act, Chapter 289 of Singapore (the “SFA”), (b) to a relevant person, or any person pursuant to Section 275(1A), and in accordance with the conditions specified in Section 275 of the SFA or (c)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(i) a corporation (which is not an accredited investor) the sole business of which is to hold investments and the entire share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or Section 276(4)(i)(B),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sz w:val="20"/>
        </w:rPr>
      </w:pPr>
      <w:r>
        <w:rPr>
          <w:rFonts w:ascii="Times New Roman" w:hAnsi="Times New Roman"/>
          <w:b/>
          <w:i/>
          <w:sz w:val="20"/>
        </w:rPr>
        <w:t>Notice to prospective investors in Japan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Law of Japan (the “Financial Instruments and Exchange Law”) and each underwriter has agreed that it will not offer or sell the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x101514_16"/>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and certain legal matters will be passed upon for us by Norton Rose Fulbright US LLP, New York, New York and Matthew D. Klein, Senior Vice President and General Counsel of UHS. Warren J. Nimetz, a director of ours who owns less than 1% of our outstanding capital stock, is an of counsel of Norton Rose Fulbright US LLP. Mr. Nimetz also serves as trustee of certain trusts for the benefit of our Chief Executive Officer and his family. Certain legal matters will be passed upon for the underwriters by Simpson Thacher &amp; Bartlett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upptx101514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supptx101514_18"/>
      <w:bookmarkEnd w:id="20"/>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Our filings with the SEC are available to the public on the SEC’s website at http://www.sec.gov. Those filings are also available to the public on, or accessible through, our website under the heading “For Investors.” However, we are not incorporating these documents into this prospectus supplement, except to the extent set forth below under “Incorporation of certain documents by reference.” You should rely only on the information contained in this prospectus supplement or specifically incorporated herein in making a decision to purchase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in the accompanying prospectus or in any free writing prospectus filed by us with the SEC. If information in this prospectus supplement is inconsistent with the accompanying prospectus, you should rely on this prospectus supplement. We have not, and the underwriters have not, authorized any other person to provide you with additional or different information. If anyone provides you with additional, different or inconsistent information, you should not rely on it. You should not assume that the information contained or incorporated by reference in this prospectus supplement and the accompanying prospectus or in any such free writing prospectus is accurate as of any date other than the respective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summaries of certain agreements, including the indentures governing each series of notes offered hereby, our senior secured credit facilities and certain other agreements. The descriptions of these agreements contained in this prospectus supplement do not purport to be complete and are subject to, or qualified in their entirety by reference to, the definitive agreements. Copies of the definitive agreements will be made available without charge to you by writing or telephoning our secretary at the address and telephone number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supptx101514_19"/>
      <w:bookmarkEnd w:id="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specified information contained in documents that we have filed with the SEC, which means that we are disclosing important information to you by referring you to these documents. The information incorporated by reference is an important part of this prospectus supplement. The information incorporated by reference from a specified report is as of the date of such report, or the date specified in such report, and such information may have changed subsequent to such date. Information in this prospectus supplement automatically updates and supersedes information in documents that are incorporated by reference in this prospectus supplement. Information in a document incorporated by reference in this prospectus supplement automatically updates and supersedes information in earlier documents that are incorporated by reference in this prospectus supplement. Any statement contained in the filings (or portions of filings) incorporated by reference in this prospectus supplement will be deemed to be modified or superseded for purposes of this prospectus supplement to the extent that a statement contained in this prospectus supplement or in any filing by us with the SEC prior to the completion of this offering modifies, conflicts with or supersedes such statement. Any statement so modified or superseded will not be deemed, except as so modified or superseded, to constitute a part of this prospectus supplement. We are not, however, incorporating by reference any documents or portions thereof that are not deemed “filed” with the SEC or any information furnished pursuant to Item 2.02 or 7.01 of Form 8-K or exhibits related thereto furnished pursuant to Item 9.01 of Form 8-K. 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25, 2026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9, 2026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period ended </w:t>
            </w:r>
            <w:hyperlink r:id="rId6">
              <w:r>
                <w:rPr>
                  <w:rStyle w:val="InternetLink"/>
                  <w:rFonts w:ascii="Times New Roman" w:hAnsi="Times New Roman"/>
                  <w:sz w:val="20"/>
                </w:rPr>
                <w:t>March 31, 2026, filed with the SEC on May 7, 2026</w:t>
              </w:r>
            </w:hyperlink>
            <w:r>
              <w:rPr>
                <w:rFonts w:ascii="Times New Roman" w:hAnsi="Times New Roman"/>
                <w:sz w:val="20"/>
              </w:rPr>
              <w:t xml:space="preserve"> and for the period ended </w:t>
            </w:r>
            <w:hyperlink r:id="rId7">
              <w:r>
                <w:rPr>
                  <w:rStyle w:val="InternetLink"/>
                  <w:rFonts w:ascii="Times New Roman" w:hAnsi="Times New Roman"/>
                  <w:sz w:val="20"/>
                </w:rPr>
                <w:t>June  30, 2026</w:t>
              </w:r>
            </w:hyperlink>
            <w:r>
              <w:rPr>
                <w:rFonts w:ascii="Times New Roman" w:hAnsi="Times New Roman"/>
                <w:sz w:val="20"/>
              </w:rPr>
              <w:t xml:space="preserve"> filed with the SEC on </w:t>
            </w:r>
            <w:hyperlink r:id="rId8">
              <w:r>
                <w:rPr>
                  <w:rStyle w:val="InternetLink"/>
                  <w:rFonts w:ascii="Times New Roman" w:hAnsi="Times New Roman"/>
                  <w:sz w:val="20"/>
                </w:rPr>
                <w:t>August 7, 2026</w:t>
              </w:r>
            </w:hyperlink>
            <w:r>
              <w:rPr>
                <w:rFonts w:ascii="Times New Roman" w:hAnsi="Times New Roman"/>
                <w:sz w:val="20"/>
              </w:rPr>
              <w:t xml:space="preserve">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February  26, 2026</w:t>
              </w:r>
            </w:hyperlink>
            <w:r>
              <w:rPr>
                <w:rFonts w:ascii="Times New Roman" w:hAnsi="Times New Roman"/>
                <w:sz w:val="20"/>
              </w:rPr>
              <w:t xml:space="preserve"> (Item 8.01 only), </w:t>
            </w:r>
            <w:hyperlink r:id="rId10">
              <w:r>
                <w:rPr>
                  <w:rStyle w:val="InternetLink"/>
                  <w:rFonts w:ascii="Times New Roman" w:hAnsi="Times New Roman"/>
                  <w:sz w:val="20"/>
                </w:rPr>
                <w:t>March  9, 2026</w:t>
              </w:r>
            </w:hyperlink>
            <w:r>
              <w:rPr>
                <w:rFonts w:ascii="Times New Roman" w:hAnsi="Times New Roman"/>
                <w:sz w:val="20"/>
              </w:rPr>
              <w:t xml:space="preserve">, </w:t>
            </w:r>
            <w:hyperlink r:id="rId11">
              <w:r>
                <w:rPr>
                  <w:rStyle w:val="InternetLink"/>
                  <w:rFonts w:ascii="Times New Roman" w:hAnsi="Times New Roman"/>
                  <w:sz w:val="20"/>
                </w:rPr>
                <w:t>March 30, 2026</w:t>
              </w:r>
            </w:hyperlink>
            <w:r>
              <w:rPr>
                <w:rFonts w:ascii="Times New Roman" w:hAnsi="Times New Roman"/>
                <w:sz w:val="20"/>
              </w:rPr>
              <w:t xml:space="preserve">, </w:t>
            </w:r>
            <w:hyperlink r:id="rId12">
              <w:r>
                <w:rPr>
                  <w:rStyle w:val="InternetLink"/>
                  <w:rFonts w:ascii="Times New Roman" w:hAnsi="Times New Roman"/>
                  <w:sz w:val="20"/>
                </w:rPr>
                <w:t>April  24, 2026</w:t>
              </w:r>
            </w:hyperlink>
            <w:r>
              <w:rPr>
                <w:rFonts w:ascii="Times New Roman" w:hAnsi="Times New Roman"/>
                <w:sz w:val="20"/>
              </w:rPr>
              <w:t xml:space="preserve">, </w:t>
            </w:r>
            <w:hyperlink r:id="rId13">
              <w:r>
                <w:rPr>
                  <w:rStyle w:val="InternetLink"/>
                  <w:rFonts w:ascii="Times New Roman" w:hAnsi="Times New Roman"/>
                  <w:sz w:val="20"/>
                </w:rPr>
                <w:t>May 21, 2026</w:t>
              </w:r>
            </w:hyperlink>
            <w:r>
              <w:rPr>
                <w:rFonts w:ascii="Times New Roman" w:hAnsi="Times New Roman"/>
                <w:sz w:val="20"/>
              </w:rPr>
              <w:t xml:space="preserve">, </w:t>
            </w:r>
            <w:hyperlink r:id="rId14">
              <w:r>
                <w:rPr>
                  <w:rStyle w:val="InternetLink"/>
                  <w:rFonts w:ascii="Times New Roman" w:hAnsi="Times New Roman"/>
                  <w:sz w:val="20"/>
                </w:rPr>
                <w:t>May  22, 2026</w:t>
              </w:r>
            </w:hyperlink>
            <w:r>
              <w:rPr>
                <w:rFonts w:ascii="Times New Roman" w:hAnsi="Times New Roman"/>
                <w:sz w:val="20"/>
              </w:rPr>
              <w:t xml:space="preserve"> and </w:t>
            </w:r>
            <w:hyperlink r:id="rId15">
              <w:r>
                <w:rPr>
                  <w:rStyle w:val="InternetLink"/>
                  <w:rFonts w:ascii="Times New Roman" w:hAnsi="Times New Roman"/>
                  <w:sz w:val="20"/>
                </w:rPr>
                <w:t>July 21, 2026</w:t>
              </w:r>
            </w:hyperlink>
            <w:r>
              <w:rPr>
                <w:rFonts w:ascii="Times New Roman" w:hAnsi="Times New Roman"/>
                <w:sz w:val="20"/>
              </w:rPr>
              <w:t xml:space="preserve"> (SEC File No. 001-10765);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under Sections 13(a), 13(c), 14 or 15(d) of the Exchange Act after the date of this prospectus supplement and before the termination of any offering to which this prospectus supplement relates (other than information furnished pursuant to Item 2.02 or Item 7.01 of any Current Report on Form 8-K, unless expressly stated otherwise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that they are included to provide you with information regarding the terms of such agreements and are not intended to provide any other factual or disclosure information about Universal Health Services, Inc. The agreements may contain representations and warranties by Universal Health Services, Inc.,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 beneficial owner, to whom this prospectus supplement is delivered, upon his or her written or oral request, a copy of any or all documents referred to above which have been or may be incorporated by reference into this prospectus supplement, excluding exhibits to those documents unless they are specifically incorporated by reference into those documents. You may request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copy of these filings at no cost, by writing or telephoning our secretary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Universal Corporate Center 367 </w:t>
      </w:r>
    </w:p>
    <w:p>
      <w:pPr>
        <w:pStyle w:val="TextBody"/>
        <w:bidi w:val="0"/>
        <w:spacing w:before="0" w:after="0"/>
        <w:jc w:val="center"/>
        <w:rPr>
          <w:rFonts w:ascii="Times New Roman" w:hAnsi="Times New Roman"/>
          <w:sz w:val="20"/>
        </w:rPr>
      </w:pPr>
      <w:r>
        <w:rPr>
          <w:rFonts w:ascii="Times New Roman" w:hAnsi="Times New Roman"/>
          <w:sz w:val="20"/>
        </w:rPr>
        <w:t xml:space="preserve">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P.O. Box 61558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Pennsylvania </w:t>
      </w:r>
    </w:p>
    <w:p>
      <w:pPr>
        <w:pStyle w:val="TextBody"/>
        <w:bidi w:val="0"/>
        <w:spacing w:before="0" w:after="0"/>
        <w:jc w:val="center"/>
        <w:rPr>
          <w:rFonts w:ascii="Times New Roman" w:hAnsi="Times New Roman"/>
          <w:sz w:val="20"/>
        </w:rPr>
      </w:pPr>
      <w:r>
        <w:rPr>
          <w:rFonts w:ascii="Times New Roman" w:hAnsi="Times New Roman"/>
          <w:sz w:val="20"/>
        </w:rPr>
        <w:t xml:space="preserve">19406-0958 Attention: Secretary </w:t>
      </w:r>
    </w:p>
    <w:p>
      <w:pPr>
        <w:pStyle w:val="TextBody"/>
        <w:bidi w:val="0"/>
        <w:spacing w:before="0" w:after="0"/>
        <w:jc w:val="center"/>
        <w:rPr>
          <w:rFonts w:ascii="Times New Roman" w:hAnsi="Times New Roman"/>
          <w:sz w:val="20"/>
        </w:rPr>
      </w:pPr>
      <w:r>
        <w:rPr>
          <w:rFonts w:ascii="Times New Roman" w:hAnsi="Times New Roman"/>
          <w:sz w:val="20"/>
        </w:rPr>
        <w:t xml:space="preserve">(610) 786-3300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02385" cy="518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302385" cy="5181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Universal Health Services,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may offer and sell shares of our common stock from time to time in amounts, at prices and on terms that will be determined at the time of any such offering.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may, from time to time, offer to sell debt securities (together with our common stock described in this prospectus, the “securities”), including debt securities guaranteed by certain of our direct and indirect subsidiaries and which may be secured by certain of our assets and assets of our subsidiaries and senior, pari passu or subordinate to our other outstanding debt.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We will provide the specific terms of these securities, including their offering prices, in supplements to this prospectus. Each prospectus supplement will also describe the specific manner in which we will offer the applicable securities. Each prospectus supplement may also add, update or change information contained in this prospectus. You should carefully read both this prospectus and any applicable prospectus supplement before you invest. This prospectus may not be used to sell securities unless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Inc.’s Class B common stock is listed on the New York Stock Exchange under the symbol “UHS.” On September 13, 2024, the reported last sale price on the New York Stock Exchange for our Class B common stock was $232.56 per share. We will provide information in any applicable prospectus supplement regarding the trading market, if any, for any debt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may be offered and sold to or through one or more underwriters, dealers and agents or directly to purchasers or through a combination of these methods, on a continuous or delayed basis. You can find additional information about our plan of distribution for the securities under the heading “Plan of Distribution” beginning on page 25 of this prospectus. We will also describe the plan of distribution for any particular offering of these securities in the applicable prospectus supplement. This prospectus may not be used to sell our securities unless it is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securities involves risks. You should consider the </w:t>
      </w:r>
      <w:hyperlink w:anchor="toc101514_6">
        <w:r>
          <w:rPr>
            <w:rStyle w:val="InternetLink"/>
            <w:rFonts w:ascii="Times New Roman" w:hAnsi="Times New Roman"/>
            <w:b/>
            <w:sz w:val="24"/>
          </w:rPr>
          <w:t>risk factors</w:t>
        </w:r>
      </w:hyperlink>
      <w:r>
        <w:rPr>
          <w:rFonts w:ascii="Times New Roman" w:hAnsi="Times New Roman"/>
          <w:b/>
          <w:sz w:val="24"/>
        </w:rPr>
        <w:t xml:space="preserve"> described in any accompanying prospectus supplement or any documents we incorporate by reference herein or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This prospectus is dated September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
      <w:bookmarkEnd w:id="2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3">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4">
              <w:r>
                <w:rPr>
                  <w:rStyle w:val="InternetLink"/>
                  <w:rFonts w:ascii="Times New Roman" w:hAnsi="Times New Roman"/>
                  <w:sz w:val="20"/>
                </w:rPr>
                <w:t>FORWARD-LOOKING AND CAUTIONARY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5">
              <w:r>
                <w:rPr>
                  <w:rStyle w:val="InternetLink"/>
                  <w:rFonts w:ascii="Times New Roman" w:hAnsi="Times New Roman"/>
                  <w:sz w:val="20"/>
                </w:rPr>
                <w:t>OUR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9">
              <w:r>
                <w:rPr>
                  <w:rStyle w:val="InternetLink"/>
                  <w:rFonts w:ascii="Times New Roman" w:hAnsi="Times New Roman"/>
                  <w:sz w:val="20"/>
                </w:rPr>
                <w:t>DESCRIPTION OF DEBT SECURITIES AND GUARANTEES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1514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in any accompanying prospectus supplement or in any related free writing prospectus filed by us with the Securities and Exchange Commission (the “SEC”). We have not authorized any other person to provide you with different information, or to make any representations other than those contained in, or incorporated by reference into, this prospectus, any applicable prospectus supplement or any related free writing prospectuses. If anyone provides you with different, inconsistent or additional information, you should not rely on it. You should not assume that the information contained or incorporated by reference in this prospectus and any prospectus supplement or in any such free writing prospectus is accurate as of any date other than the respective dates thereof. Our business, financial condition, results of operations and prospects may have changed since those dates.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an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01514_1"/>
      <w:bookmarkEnd w:id="2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any information incorporated by reference herein, is part of a registration statement that we filed with the SEC under the Securities Act of 1933, as amended (the “Securities Act”), utilizing an automatic “shelf” registration process. Under this shelf registration process, we may, from time to time, sell in one or more offerings any of our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 You should read carefully the section entitled “Forward-Looking and Cautionary Statements” beginning on page 4. If any information in this prospectus is inconsistent with the applicable prospectus supplement,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Before purchasing any securities, you should carefully read both this prospectus and any applicable prospectus supplement, together with additional information described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unless otherwise stated or indicated by context, references to “Universal Health Services, Inc.,” the “Company,” “UHS,” “we,” “our” or “us” refer to Universal Health Services, Inc. and its affiliates. The term “affiliates” means direct and indirect subsidiaries and certain partnerships and joint ventures in which such subsidiaries are partners. The terms “facilities” or “hospitals” refer to entities owned and operated by affiliates of UHS and the term “employees” refers to employees of affiliates of UHS. With respect to debt securities, the term “issuer” means Universal Health Services, Inc. </w:t>
      </w:r>
    </w:p>
    <w:p>
      <w:pPr>
        <w:pStyle w:val="TextBody"/>
        <w:bidi w:val="0"/>
        <w:spacing w:before="480" w:after="0"/>
        <w:jc w:val="center"/>
        <w:rPr>
          <w:rFonts w:ascii="Times New Roman" w:hAnsi="Times New Roman"/>
          <w:b/>
          <w:sz w:val="20"/>
        </w:rPr>
      </w:pPr>
      <w:bookmarkStart w:id="24" w:name="toc101514_2"/>
      <w:bookmarkEnd w:id="2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files certain reports with the SEC, including annual reports on Form 10-K, quarterly reports on Form 10-Q and current reports on Form 8-K. Universal Health Services, Inc. is an electronic filer, and the SEC maintains an Internet website at http://www.sec.gov that contains the reports and other information filed electronically. Our website address is www.uhs.com. Please note that the SEC’s and our website addresses are provided as inactive textual references only. We make available free of charge, through our website, Universal Health Services, Inc.’s annual reports on Form 10-K, quarterly reports on Form 10-Q, current reports on Form 8-K, and all amendments to those reports, together with all other materials Universal Health Services, Inc. files with or furnishes to the SEC, as soon as reasonably practicable after such material is electronically filed with or furnished to the SEC. The information provided on or accessible through the SEC’s and our website is not part of this prospectus, and is therefore not incorporated by reference unless such information is specifically referenced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Whenever a reference is made in this prospectus or any prospectus supplement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through the SEC’s Internet web site referenced above.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01514_3"/>
      <w:bookmarkEnd w:id="2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listed below that Universal Health Services, Inc. has previously filed with the SEC. These documents contain important information about us. Any information referred to in this way is considered part of this prospectus from the date Universal Health Services, Inc. filed that document.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(SEC File No. 001-10765);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information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2023 from our Definitive Proxy Statement on </w:t>
            </w:r>
            <w:hyperlink r:id="rId19">
              <w:r>
                <w:rPr>
                  <w:rStyle w:val="InternetLink"/>
                  <w:rFonts w:ascii="Times New Roman" w:hAnsi="Times New Roman"/>
                  <w:sz w:val="20"/>
                </w:rPr>
                <w:t>Schedule 14A</w:t>
              </w:r>
            </w:hyperlink>
            <w:r>
              <w:rPr>
                <w:rFonts w:ascii="Times New Roman" w:hAnsi="Times New Roman"/>
                <w:sz w:val="20"/>
              </w:rPr>
              <w:t xml:space="preserve"> filed with the SEC on April 4, 2024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Quarterly Reports on Form 10-Q for the period ended March 31, 2023, filed with the SEC on </w:t>
            </w:r>
            <w:hyperlink r:id="rId20">
              <w:r>
                <w:rPr>
                  <w:rStyle w:val="InternetLink"/>
                  <w:rFonts w:ascii="Times New Roman" w:hAnsi="Times New Roman"/>
                  <w:sz w:val="20"/>
                </w:rPr>
                <w:t>May 8, 2024</w:t>
              </w:r>
            </w:hyperlink>
            <w:r>
              <w:rPr>
                <w:rFonts w:ascii="Times New Roman" w:hAnsi="Times New Roman"/>
                <w:sz w:val="20"/>
              </w:rPr>
              <w:t xml:space="preserve">, and for the period ended June  30, 2024 filed with the SEC on </w:t>
            </w:r>
            <w:hyperlink r:id="rId21">
              <w:r>
                <w:rPr>
                  <w:rStyle w:val="InternetLink"/>
                  <w:rFonts w:ascii="Times New Roman" w:hAnsi="Times New Roman"/>
                  <w:sz w:val="20"/>
                </w:rPr>
                <w:t>August 8, 2024</w:t>
              </w:r>
            </w:hyperlink>
            <w:r>
              <w:rPr>
                <w:rFonts w:ascii="Times New Roman" w:hAnsi="Times New Roman"/>
                <w:sz w:val="20"/>
              </w:rPr>
              <w:t xml:space="preserve"> (SEC File No. 001-10765);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Universal Health Services, Inc.’s Current Reports on Form 8-K filed with the SEC on </w:t>
            </w:r>
            <w:hyperlink r:id="rId22">
              <w:r>
                <w:rPr>
                  <w:rStyle w:val="InternetLink"/>
                  <w:rFonts w:ascii="Times New Roman" w:hAnsi="Times New Roman"/>
                  <w:sz w:val="20"/>
                </w:rPr>
                <w:t>January 2, 2024</w:t>
              </w:r>
            </w:hyperlink>
            <w:r>
              <w:rPr>
                <w:rFonts w:ascii="Times New Roman" w:hAnsi="Times New Roman"/>
                <w:sz w:val="20"/>
              </w:rPr>
              <w:t xml:space="preserve">, </w:t>
            </w:r>
            <w:hyperlink r:id="rId23">
              <w:r>
                <w:rPr>
                  <w:rStyle w:val="InternetLink"/>
                  <w:rFonts w:ascii="Times New Roman" w:hAnsi="Times New Roman"/>
                  <w:sz w:val="20"/>
                </w:rPr>
                <w:t>March 25, 2024</w:t>
              </w:r>
            </w:hyperlink>
            <w:r>
              <w:rPr>
                <w:rFonts w:ascii="Times New Roman" w:hAnsi="Times New Roman"/>
                <w:sz w:val="20"/>
              </w:rPr>
              <w:t xml:space="preserve">, </w:t>
            </w:r>
            <w:hyperlink r:id="rId24">
              <w:r>
                <w:rPr>
                  <w:rStyle w:val="InternetLink"/>
                  <w:rFonts w:ascii="Times New Roman" w:hAnsi="Times New Roman"/>
                  <w:sz w:val="20"/>
                </w:rPr>
                <w:t>April 1, 2024</w:t>
              </w:r>
            </w:hyperlink>
            <w:r>
              <w:rPr>
                <w:rFonts w:ascii="Times New Roman" w:hAnsi="Times New Roman"/>
                <w:sz w:val="20"/>
              </w:rPr>
              <w:t xml:space="preserve"> and </w:t>
            </w:r>
            <w:hyperlink r:id="rId25">
              <w:r>
                <w:rPr>
                  <w:rStyle w:val="InternetLink"/>
                  <w:rFonts w:ascii="Times New Roman" w:hAnsi="Times New Roman"/>
                  <w:sz w:val="20"/>
                </w:rPr>
                <w:t>May 16, 2024</w:t>
              </w:r>
            </w:hyperlink>
            <w:r>
              <w:rPr>
                <w:rFonts w:ascii="Times New Roman" w:hAnsi="Times New Roman"/>
                <w:sz w:val="20"/>
              </w:rPr>
              <w:t xml:space="preserve"> (SEC File No. 001-10765);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Universal Health Services, Inc.’s Class B common stock, par value $0.01 per share, contained in and previously filed as </w:t>
            </w:r>
            <w:hyperlink r:id="rId26">
              <w:r>
                <w:rPr>
                  <w:rStyle w:val="InternetLink"/>
                  <w:rFonts w:ascii="Times New Roman" w:hAnsi="Times New Roman"/>
                  <w:sz w:val="20"/>
                </w:rPr>
                <w:t>Exhibit 4.5</w:t>
              </w:r>
            </w:hyperlink>
            <w:r>
              <w:rPr>
                <w:rFonts w:ascii="Times New Roman" w:hAnsi="Times New Roman"/>
                <w:sz w:val="20"/>
              </w:rPr>
              <w:t xml:space="preserve"> to the Company’s Annual Report on Form 10-K for the year ended December 31, 2019 filed with the SEC on </w:t>
            </w:r>
            <w:hyperlink r:id="rId27">
              <w:r>
                <w:rPr>
                  <w:rStyle w:val="InternetLink"/>
                  <w:rFonts w:ascii="Times New Roman" w:hAnsi="Times New Roman"/>
                  <w:sz w:val="20"/>
                </w:rPr>
                <w:t>February 26, 2020</w:t>
              </w:r>
            </w:hyperlink>
            <w:r>
              <w:rPr>
                <w:rFonts w:ascii="Times New Roman" w:hAnsi="Times New Roman"/>
                <w:sz w:val="20"/>
              </w:rPr>
              <w:t xml:space="preserve"> (SEC File No. 001-10765);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Universal Health Services, Inc. under Sections 13(a), 13(c), 14 or 15(d) of the Securities Exchange Act of 1934, as amended (the “Exchange Act”) after the date of this prospectus and before the termination of any offering to which this prospectus relates (other than information furnished pursuant to Item 2.02 or Item 7.01 of any Current Report on Form 8-K, unless expressly stated otherwise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that they are included to provide you with information regarding the terms of such agreements and are not intended to provide any other factual or disclosure information about Universal Health Services, Inc. The agreements may contain representations and warranties by Universal Health Services, Inc.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this prospectus is delivered, upon his or her written or oral request, a copy of any or all documents referred to above which have been or may be incorporated by reference into this prospectus, excluding exhibits to those documents unless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specifically incorporated by reference into those documents. You may request copies of those documents,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Universal Corporate Center </w:t>
      </w:r>
    </w:p>
    <w:p>
      <w:pPr>
        <w:pStyle w:val="TextBody"/>
        <w:bidi w:val="0"/>
        <w:spacing w:before="0" w:after="0"/>
        <w:jc w:val="center"/>
        <w:rPr>
          <w:rFonts w:ascii="Times New Roman" w:hAnsi="Times New Roman"/>
          <w:sz w:val="20"/>
        </w:rPr>
      </w:pPr>
      <w:r>
        <w:rPr>
          <w:rFonts w:ascii="Times New Roman" w:hAnsi="Times New Roman"/>
          <w:sz w:val="20"/>
        </w:rPr>
        <w:t xml:space="preserve">367 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Pennsylvania 19406 </w:t>
      </w:r>
    </w:p>
    <w:p>
      <w:pPr>
        <w:pStyle w:val="TextBody"/>
        <w:bidi w:val="0"/>
        <w:spacing w:before="0" w:after="0"/>
        <w:jc w:val="center"/>
        <w:rPr>
          <w:rFonts w:ascii="Times New Roman" w:hAnsi="Times New Roman"/>
          <w:sz w:val="20"/>
        </w:rPr>
      </w:pPr>
      <w:r>
        <w:rPr>
          <w:rFonts w:ascii="Times New Roman" w:hAnsi="Times New Roman"/>
          <w:sz w:val="20"/>
        </w:rPr>
        <w:t xml:space="preserve">(610) 768-3300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01514_4"/>
      <w:bookmarkEnd w:id="26"/>
      <w:r>
        <w:rPr>
          <w:rFonts w:ascii="Times New Roman" w:hAnsi="Times New Roman"/>
          <w:b/>
          <w:sz w:val="20"/>
        </w:rPr>
        <w:t xml:space="preserve">FORWARD-LOOKING AND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the documents incorporated by reference in this prospectus and our other public statements contain “forward-looking statements” within the meaning of the Private Securities Litigation Reform Act of 1995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In evaluating those statements, you should specifically consider the following important factors, along with the risk factors identified under “Risk Factors” and the risk factors incorporated by reference herein, which could affect future results and cause those results to differ materially from those expressed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 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acute care segment, we have experienced a significant increase in hospital based physician related expenses, especially in the areas of emergency room care and anesthesiology.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operations, financial condition and cash flows. We cannot predict future changes to interest rates, however, significant increases in our borrowing rates could have a material unfavorable impact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President Biden signed into law fiscal year 2024 appropriations to federal agencies for continuing projects and activities through September 30, 2024. We cannot predict whether or not there will be future legislation averting a federal government shutdown, however, our operating cash flows and results of operations could be materially unfavorably impacted by a federal government shutdown;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29, 2022, the Consolidated Appropriations Act, 2023, was signed into law phasing out the enhanced federal medical assistance percentage rate that states received during the COVID-19 public health emergency and fully eliminated the increase on December 31, 2023. States were also permitted to begin Medicaid eligibility redeterminations on March 31, 2023, which has resulted in a decrease in Medicaid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existing laws and government regulations, and/or changes in laws and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Patient Protection and Affordable Care Act, as amended by the Health and Education Reconciliation Act (collectively, the “Legislation”) as part of the Tax Cuts and Jobs Act.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 Legislation exchange, which the IRA continued through 2025, is anticipated to increase exchange enrollment. However, if the subsidies are not extended beyond 2025, exchange enrollment may be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held in </w:t>
            </w:r>
            <w:r>
              <w:rPr>
                <w:rFonts w:ascii="Times New Roman" w:hAnsi="Times New Roman"/>
                <w:i/>
                <w:sz w:val="20"/>
              </w:rPr>
              <w:t>California v. Texas</w:t>
            </w:r>
            <w:r>
              <w:rPr>
                <w:rFonts w:ascii="Times New Roman" w:hAnsi="Times New Roman"/>
                <w:sz w:val="20"/>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Times New Roman" w:hAnsi="Times New Roman"/>
                <w:i/>
                <w:sz w:val="20"/>
              </w:rPr>
              <w:t>Braidwood Management v. Becerra</w:t>
            </w:r>
            <w:r>
              <w:rPr>
                <w:rFonts w:ascii="Times New Roman" w:hAnsi="Times New Roman"/>
                <w:sz w:val="20"/>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appealed to the U.S. Court of Appeals for the Fifth Circuit, which on June 21, 2024, affirmed the District Court’s ruling regarding preventive services recommended by United States Preventive Services Task Force being unconstitutional. However, the Fifth Circuit overturned the nationwide injunction imposed by the District Court, preserving access to the majority of preventive services in dispute for now. The matter is expected to be the subject of additional litigation, having been remanded in part to the District Court. The outcome and impacts of this litigation cannot be predicted. Any future efforts to challenge, replace or replace the Legislation or expand or substantially amend its provision is unknown;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part of the Consolidated Appropriations Act of 2021 (the “CAA”), Congress passed legislation aimed at preventing or limiting patient balance billing in certain circumstances. The CAA addresses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 level;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2024, the U.S. Supreme Court issued its decision in </w:t>
            </w:r>
            <w:r>
              <w:rPr>
                <w:rFonts w:ascii="Times New Roman" w:hAnsi="Times New Roman"/>
                <w:i/>
                <w:sz w:val="20"/>
              </w:rPr>
              <w:t xml:space="preserve">Loper Bright Enters. v. Raimondo </w:t>
            </w:r>
            <w:r>
              <w:rPr>
                <w:rFonts w:ascii="Times New Roman" w:hAnsi="Times New Roman"/>
                <w:sz w:val="20"/>
              </w:rPr>
              <w:t xml:space="preserve">and </w:t>
            </w:r>
            <w:r>
              <w:rPr>
                <w:rFonts w:ascii="Times New Roman" w:hAnsi="Times New Roman"/>
                <w:i/>
                <w:sz w:val="20"/>
              </w:rPr>
              <w:t>Relentless, Inc. v. Department of Commerce</w:t>
            </w:r>
            <w:r>
              <w:rPr>
                <w:rFonts w:ascii="Times New Roman" w:hAnsi="Times New Roman"/>
                <w:sz w:val="20"/>
              </w:rPr>
              <w:t xml:space="preserve">, which modified the regulatory interpretation standard established 40 years ago by </w:t>
            </w:r>
            <w:r>
              <w:rPr>
                <w:rFonts w:ascii="Times New Roman" w:hAnsi="Times New Roman"/>
                <w:i/>
                <w:sz w:val="20"/>
              </w:rPr>
              <w:t>Chevron v. National Resources Defense Council</w:t>
            </w:r>
            <w:r>
              <w:rPr>
                <w:rFonts w:ascii="Times New Roman" w:hAnsi="Times New Roman"/>
                <w:sz w:val="20"/>
              </w:rPr>
              <w:t xml:space="preserve">. </w:t>
            </w:r>
            <w:r>
              <w:rPr>
                <w:rFonts w:ascii="Times New Roman" w:hAnsi="Times New Roman"/>
                <w:i/>
                <w:sz w:val="20"/>
              </w:rPr>
              <w:t>Chevron</w:t>
            </w:r>
            <w:r>
              <w:rPr>
                <w:rFonts w:ascii="Times New Roman" w:hAnsi="Times New Roman"/>
                <w:sz w:val="20"/>
              </w:rPr>
              <w:t xml:space="preserve"> doctrine generally required courts to defer to federal agencies in their interpretation of federal statutes when a statute was silent or ambiguous with respect to a specific issue. In </w:t>
            </w:r>
            <w:r>
              <w:rPr>
                <w:rFonts w:ascii="Times New Roman" w:hAnsi="Times New Roman"/>
                <w:i/>
                <w:sz w:val="20"/>
              </w:rPr>
              <w:t>Loper Bright</w:t>
            </w:r>
            <w:r>
              <w:rPr>
                <w:rFonts w:ascii="Times New Roman" w:hAnsi="Times New Roman"/>
                <w:sz w:val="20"/>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hAnsi="Times New Roman"/>
                <w:i/>
                <w:sz w:val="20"/>
              </w:rPr>
              <w:t>Loper Bright</w:t>
            </w:r>
            <w:r>
              <w:rPr>
                <w:rFonts w:ascii="Times New Roman" w:hAnsi="Times New Roman"/>
                <w:sz w:val="20"/>
              </w:rPr>
              <w:t xml:space="preserve"> decision, particularly in the areas of Medicare reimbursement, decision making by the Food &amp; Drug Administration and health care fraud and abuse compliance, where parties may no longer be able to rely on federal agencies’ policies, rules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unfavorable changes in the levels and terms of reimbursement for our charges by third party payers or government based payers, including Medicare or Medicaid in the United States, and government based payers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managed care provider agreements on acceptable terms and the ability of our competitors to do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known and unknown litigation, government investigations, inquiries, false claims act allegations, and liabilities and other claims asserted against us and other matters, and the effects of adverse publicity relating to such matters, including, but not limited to, the March 28, 2024, jury verdict (of compensatory damages of $60 million and punitive damages of $475 million) returned against The Pavilion Behavioral Health System (the “Pavilion”), one of our indirect subsidiaries, as disclosed in </w:t>
            </w:r>
            <w:r>
              <w:rPr>
                <w:rFonts w:ascii="Times New Roman" w:hAnsi="Times New Roman"/>
                <w:i/>
                <w:sz w:val="20"/>
              </w:rPr>
              <w:t>Note 6 to the Condensed Consolidated Financial Statements—Commitments and Contingencies—Legal Proceedings</w:t>
            </w:r>
            <w:r>
              <w:rPr>
                <w:rFonts w:ascii="Times New Roman" w:hAnsi="Times New Roman"/>
                <w:sz w:val="20"/>
              </w:rPr>
              <w:t xml:space="preserve"> in our Quarterly Report on Form 10-Q for the period ended June 30, 2024</w:t>
            </w:r>
            <w:r>
              <w:rPr>
                <w:rFonts w:ascii="Times New Roman" w:hAnsi="Times New Roman"/>
                <w:i/>
                <w:sz w:val="20"/>
              </w:rPr>
              <w:t xml:space="preserve">. </w:t>
            </w:r>
            <w:r>
              <w:rPr>
                <w:rFonts w:ascii="Times New Roman" w:hAnsi="Times New Roman"/>
                <w:sz w:val="20"/>
              </w:rPr>
              <w:t xml:space="preserve">The Pavilion has filed post-trial motions, which were heard on August 1, 2024 and August 23, 2024. The Pavilion will pursue an appeal as appropriate depending on the court’s resolution of post-trial motions. We are uncertain as to the ultimate financial exposure related to the Pavilion matter (which relates to an occurrence in 2020) and we can make no assurances regarding timing or substance of its outcome, or the amount of damages that may be ultimately held recoverable after post-judgment proceedings and appeal. While the Pavilion has professional liability insurance to cover a portion of these amounts, the resolution of this matter may have a material adverse effect on the Company. As of June 30, 2024, without reduction for any potential amounts related to the above-mentioned Pavilion matter, the Company and its subsidiaries have aggregate insurance coverage of approximately $221 million remaining under commercial policies for matters applicable to the 2020 policy year (in excess of the applicable self-insured retention amounts of $10 million per occurrence for professional liability claims and $3 million per occurrence for general liability claims). In the event the resolution of the Pavilion matter exhausts all or a significant portion of the remaining commercial insurance coverage available to the Company and its subsidiaries related to other matters that occurred in 2020, or the Pavilion matter causes the posting of a large bond or other collateral during an appeal process, our future results of operations and capital resources could be materially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healthcare providers (including physician owned facilities) in certain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and pharmaceutical improvements that increase the cost of providing, or reduce the demand for healthcare;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personnel, nurses, physicians and other healthcare professionals and the impact on our labor and related expenses resulting from a shortage of nurses, physicians and other healthcare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demographic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severe weather conditions, including the effects of hurricanes and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results of operations, financial condition, or stock price may be adversely affected if we are not able to achieve our environmental, social and governance (“ESG”) goals or comply with emerging ESG regulations, or otherwise meet the expectations of our stakeholders with respect to ESG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receive revenues from various state and county-based programs, including Medicaid in all the states in which we operate. We receive annual Medicaid revenues of approximately $100 million, or greater, from each of Texas, Nevada, California, Illinois, Pennsylvania, Washington, D.C., Kentucky, Massachusetts, Mississippi, Virginia and Florida. We also receive Medicaid disproportionate share hospital (DSH) payments in certain states including, most significantly, Texas. We are therefore particularly sensitive to potential reductions in Medicaid and other state-based revenue programs as well as regulatory, economic, environmental and competitive changes in those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obtain capital on acceptable terms, including borrowed funds, to fund the future growth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inpatient acute care and behavioral health care facilities may experience decreasing admission and length of stay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statements reflect large amounts due from various commercial and private payers and there can be no assurance that failure of the payers to remit amounts due to us will not have a material adverse effect on our future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uninsured and self-pay patients treated at our acute care facilities unfavorably impact our ability to satisfactorily and timely collect our self-pay patient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strategies or development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shift of care from inpatient to lower cost outpatient settings and controls designed to reduce inpatient services on our revenue,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referenced herein or in our other filings with the Securities and Exchange Commission.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01514_5"/>
      <w:bookmarkEnd w:id="27"/>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Our principal business is owning and operating, through our subsidiaries, acute care hospitals and outpatient facilities and behavioral health care facilities. As of June 30, 2024, we owned and/or operated 359 inpatient facilities and 48 outpatient and other facilities located in 39 states, Washington, D.C., the United Kingdom and Puerto Rico. </w:t>
      </w:r>
    </w:p>
    <w:p>
      <w:pPr>
        <w:pStyle w:val="TextBody"/>
        <w:bidi w:val="0"/>
        <w:spacing w:before="240" w:after="0"/>
        <w:jc w:val="left"/>
        <w:rPr>
          <w:rFonts w:ascii="Times New Roman" w:hAnsi="Times New Roman"/>
          <w:sz w:val="20"/>
        </w:rPr>
      </w:pPr>
      <w:r>
        <w:rPr>
          <w:rFonts w:ascii="Times New Roman" w:hAnsi="Times New Roman"/>
          <w:sz w:val="20"/>
        </w:rPr>
        <w:t xml:space="preserve">Services provided by our hospitals include general and specialty surgery, internal medicine, obstetrics, emergency room care, radiology, oncology, diagnostic care, coronary care, pediatric services, pharmacy services and/or and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We are a Delaware corporation that was organized in 1979. Our principal executive offices are located at Universal Corporate Center, 367 South Gulph Road, P.O. Box 61558, King of Prussia, PA 19406. Our telephone number is (610) 768-3300.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01514_6"/>
      <w:bookmarkEnd w:id="2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subject to numerous risks, including those that are generally associated with operating in the health care industry. You should carefully consider and evaluate all of the information included and incorporated by reference in this prospectus, including the risk factors incorporated by reference to our Annual Report on Form 10-K for the year ended December 31, 2023 and each subsequently filed Quarterly Report, as well as any risk factors we may describe in any subsequent periodic reports or information we file with the SEC. In addition, when we offer and sell any securities pursuant to a prospectus supplement, we may include additional risk factors relevant to such securities in such prospectus supplement. This prospectus also contains forward-looking statements that involve risks and uncertainties. If any of these risks occur, our business, financial condition or results of operation could be adversely affected. Please read “Forward-Looking and Cautionary Statements.” It is possible that our business, financial condition, liquidity or results of operations could be materially adversely affected by any of these risks. The risks and uncertainties we have described are not the only ones we face. Additional risks and uncertainties not presently known to us or that we currently deem immaterial may also affect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01514_7"/>
      <w:bookmarkEnd w:id="2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sales of the securities for general corporate purposes, which may include the following: refunding, repurchasing, retiring upon maturity or redeeming existing debt; funding for working capital; capital expenditures; repurchases of our capital stock; strategic investments and acquisitions; and for other general corporate purposes. The exact amounts to be used and when the net proceeds will be applied will depend on a number of factors, including our funding requirements and the availability of alternative funding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01514_8"/>
      <w:bookmarkEnd w:id="3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our Restated Certificate of Incorporation and amendments thereto and Amended and Restated Bylaws as currently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12,000,000 shares of Class A common stock, $0.01 par value per share, 150,000,000 shares of Class B common stock, $0.01 par value per share, 1,200,000 shares of Class C common stock, $0.01 par value per share, and 5,000,000 shares of Class D common stock, $0.01 par value per share. Shares of Class A, C and D common stock may be converted into Class B common stock on a share-for-share basis.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Class A common stock, Class B common stock, Class C common stock and Class D common stock are substantially similar except that each Class has different voting rights. Each share of Class A common stock has one vote per share; each share of Class B common stock has one-tenth vote per share; each share of Class C common stock has one hundred votes per share; and each share of Class D common stock has ten votes per share. Notwithstanding the foregoing, if a holder of Class C or Class D common stock holds a number of shares of Class A or Class B common stock, respectively, which is less than ten times the number of shares of Class C or Class D common stock, respectively, that such holder holds, then such holder will only be entitled to one vote per share of Class C common stock and one-tenth vote per share of Class D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B and Class D common stock, voting together as a separate class, with each share of Class B and Class D common stock having one vote per share, are entitled to elect the greater of 20% of our Board of Directors or one director. The holders of Class B and Class D common stock are also permitted to vote together as a separate Class with respect to certain other matters or as required by applicable law. Holders of Class A and Class C common stock, voting together as a separate class, with each share of Class A and Class C common stock having one vote per share, are entitled to elect the remaining directors and vote together with the holders of Class B and Class D common stock on all 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provides for a Board of Directors of not fewer than three members nor more than nine members, the exact number to be determined by the Board of Directors. The Board of Directors is currently comprised of seven members, and is divided into three classes, with members of each class serving for a three-year term. At each annual meeting of stockholders, directors are chosen to succeed those in the class the term of which expires at such annual meeting. Holders of shares of our outstanding Class B and Class D Common Stock (voting together as a single class) are entitled to elect two directors, currently one in Class II and one in Class III, and the holders of Class A and Class C Common Stock (voting together as a single class) are entitled to elect the remaining directors, currently three in Class I, one in Class II, and one in Class III.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All common shares participate equally in distributions payable to shareholders when and as declared by our Board of Directors. We have a history of paying quarterly cash dividends to our stockholders and it is our current intention to pay comparable dividends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Directors’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General Corporation Law of the State of Delaware (the “DGCL”) grants each corporation organized thereunder the power to indemnify any person who was or is a party or is threatened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that were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grants each corporation organized thereunder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pursuant to Section 145(b) of the DGCL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paragraphs,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shall have the power to purchase and maintain insurance on behalf of any person who is or was a director, officer, employee or agent of the corporation against any liability asserted against the person in any such capacity, or arising out of the person’s status as such, regardless of whether the corporation would have the power to indemnify the person against such liability under the provisions of the DGCL. We maintain a directors’ and officers’ insurance policy that insures our directors and officers against liabilities incurred in their capacity as such for which they are not otherwise indemnified, subject to certain exclusions.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enables a corporation in its certificate of incorporation, or an amendment thereto, to eliminate or limit the personal liability of a director or officer to the corporation or its stockholders of monetary damages for violations of the directors’ or officers’ fiduciary duty of care as a director or officer, except (i) for any breach of the director’s or officer’s duty of loyalty to the corporation or its stockholders, (ii) for acts or omissions not in good faith or that involve intentional misconduct or a knowing violation of law, (iii) pursuant to Section 174 of the DGCL (providing for director liability in the event of unlawful payment of dividends or unlawful stock purchases or redemptions) or (iv) for any transaction from which a director or officer derived an improper personal benefit or (v) any action against an officer by or in the right of the corporation. Our Restated Certificate of Incorporation limits director liability for monetary damages arising from a breach of fiduciary duty to the fullest extent permitted by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Restated Certificate of Incorporation indemnifies the directors and officers to the full extent of the DGCL and also allows the Board of Directors to indemnify all other employees. Such right of indemnification is not exclusive of any right to which such officer or director may be entitled as a matter of law and shall extend and apply to the heirs, executors and administrators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are subject to the complete text of our Restated Certificate of Incorporation and Amended and Restated Bylaws and the DGCL and are qualified in their entirety by 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Restated Certificate of Incorporation, Amended and Restated Bylaws and insurance policies are necessary to attract and retain qualified persons to serve as directors and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Amended and Restated Bylaws may discourage stockholders from bringing a lawsuit against directors for breach of their fiduciary duty. They may also reduce the likelihood of derivative litigation against directors and officers, even though an action, if successful, might benefit us and other stockholders. Furthermore, a stockholder’s investment may be adversely affected to the extent we pay the costs of settlement and damage awards against directors and officers as required or allowed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or any other provisions described in this prospectus, we have been informed that in the opinion of the Securities and Exchange Commission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Anti-Takeover Statutes </w:t>
      </w:r>
    </w:p>
    <w:p>
      <w:pPr>
        <w:pStyle w:val="TextBody"/>
        <w:bidi w:val="0"/>
        <w:spacing w:before="120" w:after="0"/>
        <w:jc w:val="left"/>
        <w:rPr>
          <w:rFonts w:ascii="Times New Roman" w:hAnsi="Times New Roman"/>
          <w:sz w:val="20"/>
        </w:rPr>
      </w:pPr>
      <w:r>
        <w:rPr>
          <w:rFonts w:ascii="Times New Roman" w:hAnsi="Times New Roman"/>
          <w:sz w:val="20"/>
        </w:rPr>
        <w:t xml:space="preserve">Certain Delaware law provisions may make it more difficult for someone to acquire us through a tender offer, proxy contest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provides that, subject to certain stated exceptions,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A corporation may not engage in a business combination with any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the corporation approved either the business combination or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 of these provisions may make a change in control of our business more difficult by delaying, deferring or preventing a tender offer or other takeover attempt that a stockholder might consider in its best interest. This includes attempts that might result in the payment of a premium to stockholders over the market price for their shares. These provisions also may promote the continuity of our management by making it more difficult for a person to remove or change the incumbent members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is the transfer agent and registrar for our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B common stock currently trades on the New York Stock Exchange under the symbol “UHS.”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01514_9"/>
      <w:bookmarkEnd w:id="31"/>
      <w:r>
        <w:rPr>
          <w:rFonts w:ascii="Times New Roman" w:hAnsi="Times New Roman"/>
          <w:b/>
          <w:sz w:val="20"/>
        </w:rPr>
        <w:t xml:space="preserve">DESCRIPTION OF DEBT SECURITIES AND GUARANTEES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certain general terms and provisions of our debt securities. When we offer to sell a particular series of debt securities, we will describe the specific terms of the series in a supplement to this prospectus. We will also indicate in the applicable prospectus supplement whether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among us and U.S. Bank Trust Company, National Association, as trustee, or another trustee chosen by us, qualified to act as such under the Trust Indenture Act of 1939, as amended (the “Trust Indenture Act”), and appointed in a supplemental indenture with respect to a particular series, and JPMorgan Chase Bank, N.A., as collateral agent. The indenture is governed by the Trust Indenture Act. We have summarized select portions of the indenture below. This summary is not complete. The indenture has been filed as an exhibit to the registration statement and we urge you to read the indenture. Capitalized terms used in the summary have the meaning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“we,” “our,” “us,” the “Company” and “UHS” in this section, we mean Universal Health Services, Inc. unless the context otherwise requires or as otherwise expressly stated.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an officers’ certificate or by a supplemental indenture. The particular terms of each series of debt securities will be described in a prospectus supplement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supplement to this prospectus, the debt securities will be the direct, unsecured obligations of UHS and will rank equally with all of its other unsecured and unsubordinated indebtedness. UHS’ payment obligations under any series of debt securities may be guaranteed by one or more co-registrants.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 unlimited amount of debt securities under the indenture that may be in one or more series with the same or various maturities, at par, at a premium or at a discount. We will set forth in a prospectus supplement relating to any series of debt securities being offered the aggregate principal amount and the following terms of such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whether the debt securities rank as senior debt securities, senior subordinated debt securities or subordinated debt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and 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on the debt securities will be payable and the amount of principal that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debt securities will bear interest, if any, as well as the dates from which interest will accrue, the dates on which interest will be payable and the record date for the interest payable on any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and terms of any guarantee, including the terms of subordination, if any,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depositories, interest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holders of the debt securities to convert them into our common stock or other securities, including any provisions intended to prevent dilution of such conversion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premium, if any, and interest, if any, on the debt securities will be payable and where debt securities which are in registered form can be presented for registration of transfer or exchange and the identification of any depositary or depositaries for any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regarding our right to redeem, repay or purchase the debt securities or the right of holders to require us to redeem, repay or purchase the debt securities,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requiring or permitting us to make payments to a sinking fund to be used to redeem the debt securities or a purchase fund to be used to 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debt securities will be issued and, if other than the full principal amount thereof, the percentage of the principal amount of the debt securities which is payable if maturity of the debt securities is accelerated because of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principal, premium, if any, and interest,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collateral provided 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with respect to the debt securities and any change in the right of the trustee or the requisite holders of the debt securities to declare the principal amount thereof due and payable upon the occurrence of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change in or deletion from,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registrar or paying agent for the debt securities, if different than U.S. Bank Trust Company, National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collateral agent, if any, for the debt securities, if different than JPMorgan Chase Bank, 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that the debt securities, in whole or in specific part, shall be defeasible and, if other than by a board resolution, the manner in which any election by the Company to defease such debt securities shall be evidenced;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which may modify, supplement or delete any provision of the indenture as it applies to that series; provided, however, that no such term may modify or delete any provision thereof if imposed by the Trust Indenture Act; and provided, further, that any modification or deletion of the rights, duties and immunities of the trustee under the indenture shall have been consented to in writing by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limit our ability to issue subordinated debt securities. Any subordination provisions of a particular series of debt securities will be set forth in the officers’ certificate or supplemental indenture related to that series of debt securities and will be described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information on the material United States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will be able to transfer or exchange debt securities only in accordance with the indenture. The registrar may require a holder, among other things, to furnish appropriate endorsements and transfer documents and to pay taxes and fees required by law or permitted by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undergo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contain certain covenants that require us and our subsidiaries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cause to be paid the principal, premium, if any, and interest on the debt securities on the dates and in the manner provided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 office or agency where the debt securities may be surrendered for registration of transfer or for exchange and where notices and demands to or upon the us and, any guarantors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copies of the annual reports, information, documents, and other reports required to be filed with the SEC pursuant to Section 13 or 15(d) of the Exchange Act and comply with the other provisions Section 314(a) of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prior to delinquency, all material taxes, assessments and governmental levies except such as are contested in good faith and by appropriate negotiations or proceedings or where the failure to affect such payment is not adverse in any material respect to the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corporate existence.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unless provided otherwise in the applicable prospectus supplement, the indenture will contain certain covenants that limit: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subsidiaries’ ability to issue, assume or guarantee indebtedness or obligations secured by mortgages (other than permitted liens) on, or enter into sale and lease-back transactions with respect to, our principal properties;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in “—Consolidation, Merger and Sale of Assets” below, our ability to consolidate with or merge into, or transfer or lease all or substantially all of our assets to, another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any additional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into, or transfer or lease all or substantially all of our assets to another person, which we refer to as a successor person, without the consent of the holders of the debt securities of such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surviving entity is a corporation, partnership, limited partnership, limited liability corporation or trust organized or existing under the laws of the United States, any state thereof, the District of Columbia, or any territory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transaction, no event of default, and no event which, after notice or lapse of time, or both, would become an event of default, shall have occurred and be continuing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satisfied, including any that may be set forth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stated in the applicable prospectus supplement, an event of default with respect to any series of debt securities will be defined in the indenture or applicable supplemental indenture as being: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or any premium on any of the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interest upon any debt security of such series when due, and that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of our other agreements in the indenture with respect to such series, and such default continues for a period of 60 days after we receive written notice by holders of at least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involving bankruptcy, insolvency or reorganization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which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resulting from certain events of bankruptcy, insolvency or reorganization) with respect to debt securities of any series at the time outstanding occurs and is continuing, then the trustee or the holders of at least 25% in aggregate principal amount of the outstanding debt securities of that series may, by a notice in writing to us, declare the principal amount of, premium, if any, and accrued and unpaid interest, if any, on all the debt securities of such series to be due and payable immediately. In the case of an event of default resulting from certain events of bankruptcy, insolvency or reorganization, the principal of, premium, if any, and accrued and unpaid interest, if any, on all outstanding debt securities of that series will become and be immediately due and payable without any declaration or other act on the part of the trustee or any holder of outstanding debt securities of that series. At any time after a declaration of acceleration with respect to debt securities of any series has been made, the holders of a majority in principal amount of the then outstanding debt securities of that series may rescind the acceleration and its consequences if the rescission would not conflict with any judgement or decree, all events of default, other than the non-payment of accelerated principal of, premium, if any, and interest on the debt securities of that series that have become due solely by such declaration of acceleration, have been cured or waived as provided in the indenture, and all amounts due to the trustee in each of its capacities under the indenture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at the request of any holder of outstanding debt securities, unless the trustee receives indemnity and/or security satisfactory to it against any loss, liability or expense. Subject to certain rights of the trustee and certain other limitations,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in the applicable prospectus supplement, 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debt securities of that series have made written request, and offered indemnity and/or security satisfactory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right of any holder of any debt security to receive payment of principal of, premium, if any, and interest on that debt security on or after the due dates expressed in that debt security, or to bring suit for the enforcement of payment on or after such respective dates, will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90 days after the end of our fiscal year (which fiscal year currently ends December 31 of each year), to furnish to the trustee a statement as to compliance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or any series of debt securities without notice to or the consent of the 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the Company and the assumption by such successor of the covenants of the Company in compliance with the requirements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for the benefit of the holders or to surrender any right or power conferred upon the Company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provided that any such change or elimination shall become effective only when there are no outstanding debt securities of such series created prior to the execution of such supplemental indenture that are entitled to the benefit of such provision and as to which such supplemental indenture would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to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necessary to permit or facilitate the defeasance and discharge of the debt securities of such series; provided that any such action does not adversely affect the interests of the holders of the debt securities of such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indenture by a successor trustee or collateral agent and to add to or change any of the provisions of the indenture necessary to provide for or facilitate the administration of the trusts by more than one trustee or for the trustee to act as collateral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of the indenture which may be defective or inconsistent with any other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indenture, the debt securities of such series, the guarantees or the security documents to any provision of the “Description of the notes” section of the applicable prospectus supplement to the extent that such provision in such “Description of the notes” section was intended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 verbatim recitation of a provision of the indenture, the debt securities of such series, the guarantees or the security documents; provided that, in each instance, the Company delivers to the trustee an officers’ certificate to such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place or places where the principal of and premium, if any, and interest, if any, on the debt securities of such series shall be payable, the debt securities of such series may be surrendered for registration or transfer, the debt securities of such series may be surrendered for exchange, and notices and demands to or upon the Company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mortgage, pledge, hypothecate or grant any other lien in favor of the collateral agent for the benefit of the trustee and the holders of the debt securities of such series, as additional security for the payment and performance of all or any portion of the obligations under the indenture, in any property or assets, including any which are required to be mortgaged, pledged or hypothecated, or in which a lien is required to be granted in favor of the collateral agent for the benefit of the trustee and the holders of the debt securities of such series pursuant to the indenture, any of the security documents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release collateral from the lien of the indenture and the security documents when permitted or required by the security documents or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such series of debt securities, to add additional first lien secured parties to any security documents in accordance with such security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any required qualification of the indenture under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additional series of Notes as permitted by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we may amend the indenture or any series with the consent (which may include consents obtained in connection with a tender offer or exchange offer for that series of securities) of the holders of at least a majority in aggregate principal amount of the series of the securities then outstanding, and any existing default under, or compliance with any provision of, the indenture may be waived (other than any continuing default in the payment of the principal of or interest on the securities) with the consent (which may include consents obtained in connection with a tender offer or exchange offer for that series of securities) of the holders of a majority in principal amount of the securities of that series then outstanding; provided that without the consent of each holder affected,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installment of interest, if any, on, such debt securities of such series, or reduce the principal amount thereof or the interest thereon or any premium payable upon redemption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(and premium, if any) or interest on such debt securities of such series are denominated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or event of default in the payment of principal of, premium, if any, or interest on the debt securities of such series (except a rescission of acceleration of the debt securities of such series by the holders of at least a majority in aggregate principal amount of the then outstanding debt securities of such series with respect to a nonpayment default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premium payable upon the redemption or repurchase of any debt securities of such series or change the time at which any debt securities of such series may be redeemed or repurchased, whether through an amendment or waiver of provisions in the covenants, definitions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premium, if any, or interest on such holder’s debt securities of such series on or after the due dates therefor or impair the right to institute suit for the enforcement of any payment on or after the stated maturity thereof (or, in the case of redemption, on or after the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that require holder consent to modify or amend the indenture or that permit holders to waive compliance with certain provisions of the indenture or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or modify the ranking of such debt securities of such series or, if applicable to the debt securities of such series, the ranking of the liens with respect to such debt securities of such series that would adversely affect the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permitted by the indenture, modify the guarantees of any guarantor in any manner adverse to the holders of the debt securities of such series.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applicable to the debt securities of such series, without the consent of at least 75% in aggregate principal amount of the debt securities of such series then outstanding, an amendment, supplement or waiver may not modify any security document or the provisions of the indenture dealing with the security documents or application of trust moneys, or otherwise release any collateral, in any manner materially adverse to the holders of the debt securities other than in accordance with the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aggregate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continuing default in the payment of the principal of or any interest on any debt security of that series or in respect of a covenant or provision which cannot be modified or amended without the consent of the holder of each outstanding debt security of the series affected; provided, however, that, subject to certain limitations, the holders of a majority in aggregate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if so provided by the terms of the applicable series of debt securities, we may be discharged from any and all obligations in respect of the debt securities of any series (except for certain obligations, including obligations to register the transfer or exchange of debt securities of such series, to replace stolen, lost or mutilated debt securities of such series, and to maintain paying agencies and certain provisions relating to the treatment of funds held by paying agents and the rights, duties, indemnities and immunities of and obligations to the trustee). We will be so discharged upon the deposit with the trustee, in trust, of money and/or non-callable U.S. government obligations, that, through the payment of interest and principal in accordance with their terms, will provide money in an amount sufficient in the opinion of a nationally recognized firm of independent public accountants to pay the principal, premium and interest on the debt securities of that series on the stated date of payment thereof or the applicable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applicable issue date,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if so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certain covenants set forth in the indenture, as well as any additional covenants which may be set forth in the applicable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depositing with the trustee, in trust, for the benefit of the holders, money and/or non-callable U.S. government obligations that, through the payment of interest and principal in accordance with their terms, will provide money in an amount in an amount sufficient in the opinion of a nationally recognized firm of independent public accountants to pay the principal, premium and interest on the outstanding debt securities of that series on the stated date of payment thereof or the applicable redemption date,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guaranteed by one or more of the co-registrants. The terms of any such guarantee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Collateral and Security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secured by assets of UHS or one or more of the co-registrants. The terms of any such security interest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Some or all of the debt securities of any series may be represented, in whole or in part, by one or more global securities, which will have an aggregate principal amount equal to that of the debt securities they represent. We will register each global security in the name of a depositary or nominee identified in a prospectus supplement and deposit the global security with the depositary or nominee. Each global security will bear a legend regarding the restrictions on exchanges and registration of transfer referred to below and other matters specified in the indenture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for debt securities registered, and no transfer of a global security may be registered, in the name of any person other than the depositary for the global security or any nominee of the depositary,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notified us that it is unwilling or unable to continue as depositary for the global security or has ceased to be a clearing agency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execute and deliver to the trustee an officer’s certificate to the effect that the global security shall be so exchangeable;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circumstances exist that may be described in the indenture or supplemental indenture and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register all securities issued in exchange for a global security or any portion of a global security in the names specified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As long as the depositary or its nominee is the registered holder of a global security, the depositary or nominee will be considered the sole owner and holder of the global security and the debt securities that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represents. Except in the limited circumstances referred to above, owners of beneficial interests in a global security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entitled to have the global security or debt securities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or be entitled to receive physical delivery of certificated debt securities in exchange for a global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considered to be the owners or holders of the global security or any debt securities for any purpose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make all payments of principal, premium, and interest on a global security to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authorize the Company, the trustee and the paying agent to act in accordance with the applicable procedures of the Depository Trust Company (“DTC”) or such other depositary for the debt securities. Ownership of beneficial interests in a global security will be limited to institutions that have accounts with the depositary or its nominee, referred to as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only be shown on records maintained by the depositary or the participant. Likewise, the transfer of ownership interests will be effected only through the same records. Payments, transfers, exchanges, and other matters relating to beneficial interests in a global security may be subject to various policies and procedures adopted by the depositary from time to time. Neither we, the trustee, nor any of our agents will have responsibility or liability for any aspect of the depositary’s or any participant’s records relating to, or for payments made on account of, beneficial interests in a global security, or for maintaining, supervising, or reviewing any records relating to the beneficial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U.S. Bank Trust Company, National Association, the trustee, may in the future provide, investment banking, commercial lending, financial advisory and other services for us. The indenture contains, or will contain, limitations on the right of the trustee, should it become our creditor, to obtain payment of claims in specified cases or to realize on property received in respect of any such claim as security or otherwise. The indenture permits, or will permit, the trustee to engage in other transactions; however, if it acquires any conflicting interest,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or will provide, that in case an event of default occurs and is not cured, the trustee will be required, in the exercise of its power, to use the degree of skill and care of a prudent person under the circumstances in the conduct of such person’s own affairs. The trustee may refuse to perform any duty or exercise any right or power under the indenture, unless it receives indemnity and/or security satisfactory to it against any loss, liability or expense.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govern, or will govern, the indenture, the debt securities and the guarantees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101514_10"/>
      <w:bookmarkEnd w:id="3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to or through one or more underwriters or dealers, and also may sell our securities directly to other purchasers or through agents. These firms may also act as our agents in the sale of our securities. Only underwriters named in the applicable prospectus supplement will be considered as underwriters of our securities offered by such prospectus supplement. We may distribute our securities at different times in one or more transactions. We may sell our securities at fixed prices, which may change, at market prices prevailing at the time of sale, at prices related to such prevailing market prices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 We will identify any such underwriter or agent, and we will describe any such compensation, together with the terms of the offering of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underwriters, dealers and agents who participate in the distribution of our securities against certain liabilities, including liabilities under the Securities Act. We may also agree to contribute to payments which the underwriters, dealers or agents may be required to make in respect of such liabilities. We may authorize dealers or other persons who act as our agents to solicit offers by certain institutions to purchase our securities from us under contracts which provide for payment and delivery on a future date. We may enter into these contracts with commercial and savings banks, insurance companies, pension funds, investment companies, educational and charitable institutions and others. If we enter into these agreements concerning any class or series of our securities, we will indicate that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01514_11"/>
      <w:bookmarkEnd w:id="3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hereby and tax matters will be passed upon for us by Norton Rose Fulbright US LLP, New York, New York. </w:t>
      </w:r>
    </w:p>
    <w:p>
      <w:pPr>
        <w:pStyle w:val="TextBody"/>
        <w:bidi w:val="0"/>
        <w:spacing w:before="480" w:after="0"/>
        <w:jc w:val="center"/>
        <w:rPr>
          <w:rFonts w:ascii="Times New Roman" w:hAnsi="Times New Roman"/>
          <w:b/>
          <w:sz w:val="20"/>
        </w:rPr>
      </w:pPr>
      <w:bookmarkStart w:id="34" w:name="toc101514_12"/>
      <w:bookmarkEnd w:id="3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6835"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1346835" cy="609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52915/000119312526071676/uhs-20251231.htm" TargetMode="External"/><Relationship Id="rId4" Type="http://schemas.openxmlformats.org/officeDocument/2006/relationships/hyperlink" Target="http://www.sec.gov/Archives/edgar/data/352915/000119312526071676/uhs-20251231.htm" TargetMode="External"/><Relationship Id="rId5" Type="http://schemas.openxmlformats.org/officeDocument/2006/relationships/hyperlink" Target="http://www.sec.gov/Archives/edgar/data/352915/000119312526148814/uhs-20260403.htm" TargetMode="External"/><Relationship Id="rId6" Type="http://schemas.openxmlformats.org/officeDocument/2006/relationships/hyperlink" Target="http://www.sec.gov/Archives/edgar/data/352915/000119312526211992/uhs-20260331.htm" TargetMode="External"/><Relationship Id="rId7" Type="http://schemas.openxmlformats.org/officeDocument/2006/relationships/hyperlink" Target="http://www.sec.gov/Archives/edgar/data/352915/000119312526340278/uhs-20260630.htm" TargetMode="External"/><Relationship Id="rId8" Type="http://schemas.openxmlformats.org/officeDocument/2006/relationships/hyperlink" Target="http://www.sec.gov/Archives/edgar/data/352915/000119312526340278/uhs-20260630.htm" TargetMode="External"/><Relationship Id="rId9" Type="http://schemas.openxmlformats.org/officeDocument/2006/relationships/hyperlink" Target="http://www.sec.gov/Archives/edgar/data/352915/000119312526073545/uhs-20260225.htm" TargetMode="External"/><Relationship Id="rId10" Type="http://schemas.openxmlformats.org/officeDocument/2006/relationships/hyperlink" Target="http://www.sec.gov/Archives/edgar/data/352915/000119312526097674/uhs-20260309.htm" TargetMode="External"/><Relationship Id="rId11" Type="http://schemas.openxmlformats.org/officeDocument/2006/relationships/hyperlink" Target="http://www.sec.gov/Archives/edgar/data/352915/000119312526131809/uhs-20260326.htm" TargetMode="External"/><Relationship Id="rId12" Type="http://schemas.openxmlformats.org/officeDocument/2006/relationships/hyperlink" Target="http://www.sec.gov/Archives/edgar/data/352915/000119312526175197/uhs-20260422.htm" TargetMode="External"/><Relationship Id="rId13" Type="http://schemas.openxmlformats.org/officeDocument/2006/relationships/hyperlink" Target="http://www.sec.gov/Archives/edgar/data/352915/000119312526233402/uhs-20260518.htm" TargetMode="External"/><Relationship Id="rId14" Type="http://schemas.openxmlformats.org/officeDocument/2006/relationships/hyperlink" Target="http://www.sec.gov/Archives/edgar/data/352915/000119312526235480/uhs-20260520.htm" TargetMode="External"/><Relationship Id="rId15" Type="http://schemas.openxmlformats.org/officeDocument/2006/relationships/hyperlink" Target="http://www.sec.gov/Archives/edgar/data/352915/000119312526310330/uhs-20260720.htm" TargetMode="External"/><Relationship Id="rId16" Type="http://schemas.openxmlformats.org/officeDocument/2006/relationships/image" Target="media/image2.jpeg"/><Relationship Id="rId17" Type="http://schemas.openxmlformats.org/officeDocument/2006/relationships/hyperlink" Target="http://www.sec.gov/Archives/edgar/data/352915/000095017024021175/uhs-20231231.htm" TargetMode="External"/><Relationship Id="rId18" Type="http://schemas.openxmlformats.org/officeDocument/2006/relationships/hyperlink" Target="http://www.sec.gov/Archives/edgar/data/352915/000095017024021175/uhs-20231231.htm" TargetMode="External"/><Relationship Id="rId19" Type="http://schemas.openxmlformats.org/officeDocument/2006/relationships/hyperlink" Target="http://www.sec.gov/Archives/edgar/data/352915/000119312524086555/d631163ddef14a.htm" TargetMode="External"/><Relationship Id="rId20" Type="http://schemas.openxmlformats.org/officeDocument/2006/relationships/hyperlink" Target="http://www.sec.gov/Archives/edgar/data/352915/000095017024055683/uhs-20240331.htm" TargetMode="External"/><Relationship Id="rId21" Type="http://schemas.openxmlformats.org/officeDocument/2006/relationships/hyperlink" Target="http://www.sec.gov/Archives/edgar/data/352915/000095017024094006/uhs-20240630.htm" TargetMode="External"/><Relationship Id="rId22" Type="http://schemas.openxmlformats.org/officeDocument/2006/relationships/hyperlink" Target="http://www.sec.gov/Archives/edgar/data/352915/000095017024000014/uhs-20231227.htm" TargetMode="External"/><Relationship Id="rId23" Type="http://schemas.openxmlformats.org/officeDocument/2006/relationships/hyperlink" Target="http://www.sec.gov/Archives/edgar/data/352915/000095017024035902/uhs-20240321.htm" TargetMode="External"/><Relationship Id="rId24" Type="http://schemas.openxmlformats.org/officeDocument/2006/relationships/hyperlink" Target="http://www.sec.gov/Archives/edgar/data/352915/000095017024038889/uhs-20240328.htm" TargetMode="External"/><Relationship Id="rId25" Type="http://schemas.openxmlformats.org/officeDocument/2006/relationships/hyperlink" Target="http://www.sec.gov/Archives/edgar/data/352915/000095017024060793/uhs-20240515.htm" TargetMode="External"/><Relationship Id="rId26" Type="http://schemas.openxmlformats.org/officeDocument/2006/relationships/hyperlink" Target="http://www.sec.gov/Archives/edgar/data/352915/000156459020006793/uhs-ex45_148.htm" TargetMode="External"/><Relationship Id="rId27" Type="http://schemas.openxmlformats.org/officeDocument/2006/relationships/hyperlink" Target="http://www.sec.gov/Archives/edgar/data/352915/000156459020006793/uhs-10k_20191231.htm" TargetMode="External"/><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135</Pages>
  <Words>77161</Words>
  <Characters>410103</Characters>
  <CharactersWithSpaces>489369</CharactersWithSpaces>
  <Paragraphs>5383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