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Universal Health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Eagle Investment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4,223,910.24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4,674,801.24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4,674,801.24</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EAGLE GLOBAL FUND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3,108,317.00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3,108,317.00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3,108,317.00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Health Services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367 South Gulph Road, King of Prussia, US-PA, 19406, US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Eagle Investment Management, LLC, FIRST EAGLE GLOBAL FUND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1345 Avenue of the Americas, New York, 10105, New York, United States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4,674,801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4,223,910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4,674,801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Securities reported on this Schedule 13G as being beneficially owned by First Eagle Investment Management, LLC are held by or at the direction of First Eagle Investment Management, LLC and/or one or more of its investment adviser subsidiaries, which may include First Eagle Separate Account Management, LLC, principally on behalf of investment advisory clients, which may include investment companies registered under the Investment Company Act, employee benefit plans, pension funds, other institutional clients, or separate accounts, but sometimes for its own account. First Eagle Investment Management, LLC (FEIM), an investment adviser registered under Section 203 of the Investment Advisers Act of 1940, is deemed to be the beneficial owner of 4,674,801.24 shares, or 8.77% of the common stock believed to be outstanding as a result of acting as investment adviser to various clients. Clients of FEIM have the right to receive and the ultimate power to direct the receipt of dividends from, or the proceeds of the sale of, such securities. The First Eagle Global Fund, a registered investment company for which FEIM acts as investment adviser, may be deemed to beneficially own 3,108,317 of these 4,674,801.24 shares, or 5.83% of the Company's Common Stock.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First Eagle Investment Management,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David O'Connor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Counsel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FIRST EAGLE GLOBAL FUND</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David O'Connor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Counsel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1146</Words>
  <Characters>5954</Characters>
  <CharactersWithSpaces>7072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