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sz w:val="20"/>
          <w:szCs w:val="20"/>
          <w:color w:val="auto"/>
        </w:rPr>
      </w:pPr>
      <w:r>
        <w:rPr>
          <w:rFonts w:ascii="Courier New" w:cs="Courier New" w:eastAsia="Courier New" w:hAnsi="Courier New"/>
          <w:sz w:val="16"/>
          <w:szCs w:val="16"/>
          <w:color w:val="auto"/>
        </w:rPr>
        <w:t>PROSPECTUS</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4,200,000 SHARES</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[LOGO]</w:t>
      </w:r>
    </w:p>
    <w:p>
      <w:pPr>
        <w:spacing w:after="0" w:line="2"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UNIVERSAL HEALTH SERVICES, INC.</w:t>
      </w:r>
    </w:p>
    <w:p>
      <w:pPr>
        <w:spacing w:after="0" w:line="186"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CLASS B COMMON STOCK</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 w:right="2599" w:firstLine="382"/>
        <w:spacing w:after="0" w:line="261" w:lineRule="auto"/>
        <w:rPr>
          <w:sz w:val="20"/>
          <w:szCs w:val="20"/>
          <w:color w:val="auto"/>
        </w:rPr>
      </w:pPr>
      <w:r>
        <w:rPr>
          <w:rFonts w:ascii="Courier New" w:cs="Courier New" w:eastAsia="Courier New" w:hAnsi="Courier New"/>
          <w:sz w:val="15"/>
          <w:szCs w:val="15"/>
          <w:color w:val="auto"/>
        </w:rPr>
        <w:t>Of the 4,200,000 shares of Class B Common Stock, $.01 par value per share ("Class B Common Stock" or the "Shares") offered hereby (the "Offering"), 4,000,000 are being sold by Universal Health Services, Inc. ("UHS" or the "Company") and 200,000 are being sold by Alan B. Miller (the "Selling Stockholder"). The Company will not receive any of the proceeds from the sale of Shares by the Selling Stockholder. The Class B Common Stock has limited voting rights with respect to the election of directors and certain other matters.</w:t>
      </w:r>
    </w:p>
    <w:p>
      <w:pPr>
        <w:spacing w:after="0" w:line="174" w:lineRule="exact"/>
        <w:rPr>
          <w:sz w:val="24"/>
          <w:szCs w:val="24"/>
          <w:color w:val="auto"/>
        </w:rPr>
      </w:pPr>
    </w:p>
    <w:p>
      <w:pPr>
        <w:jc w:val="both"/>
        <w:ind w:left="2" w:right="3159" w:firstLine="382"/>
        <w:spacing w:after="0"/>
        <w:rPr>
          <w:sz w:val="20"/>
          <w:szCs w:val="20"/>
          <w:color w:val="auto"/>
        </w:rPr>
      </w:pPr>
      <w:r>
        <w:rPr>
          <w:rFonts w:ascii="Courier New" w:cs="Courier New" w:eastAsia="Courier New" w:hAnsi="Courier New"/>
          <w:sz w:val="16"/>
          <w:szCs w:val="16"/>
          <w:color w:val="auto"/>
        </w:rPr>
        <w:t>The Class B Common Stock is traded on the New York Stock Exchange (the "NYSE") under the symbol "UHS." On June 20, 1996, the closing price of the Company's Class B Common Stock on the NYSE was $26 1/4 per share.</w:t>
      </w:r>
    </w:p>
    <w:p>
      <w:pPr>
        <w:spacing w:after="0" w:line="190" w:lineRule="exact"/>
        <w:rPr>
          <w:sz w:val="24"/>
          <w:szCs w:val="24"/>
          <w:color w:val="auto"/>
        </w:rPr>
      </w:pPr>
    </w:p>
    <w:p>
      <w:pPr>
        <w:ind w:left="2" w:right="2679" w:firstLine="382"/>
        <w:spacing w:after="0" w:line="259" w:lineRule="auto"/>
        <w:rPr>
          <w:sz w:val="20"/>
          <w:szCs w:val="20"/>
          <w:color w:val="auto"/>
        </w:rPr>
      </w:pPr>
      <w:r>
        <w:rPr>
          <w:rFonts w:ascii="Courier New" w:cs="Courier New" w:eastAsia="Courier New" w:hAnsi="Courier New"/>
          <w:sz w:val="15"/>
          <w:szCs w:val="15"/>
          <w:color w:val="auto"/>
        </w:rPr>
        <w:t>SEE "RISK FACTORS" ON PAGE 7 FOR CERTAIN FACTORS THAT SHOULD BE CONSIDERED BY PROSPECTIVE PURCHASERS OF THE SHARES OF CLASS B COMMON STOCK OFFERED HEREBY.</w:t>
      </w:r>
    </w:p>
    <w:p>
      <w:pPr>
        <w:ind w:left="2862"/>
        <w:spacing w:after="0" w:line="236" w:lineRule="auto"/>
        <w:rPr>
          <w:sz w:val="20"/>
          <w:szCs w:val="20"/>
          <w:color w:val="auto"/>
        </w:rPr>
      </w:pPr>
      <w:r>
        <w:rPr>
          <w:rFonts w:ascii="Courier New" w:cs="Courier New" w:eastAsia="Courier New" w:hAnsi="Courier New"/>
          <w:sz w:val="16"/>
          <w:szCs w:val="16"/>
          <w:color w:val="auto"/>
        </w:rPr>
        <w:t>-------------------</w:t>
      </w:r>
    </w:p>
    <w:p>
      <w:pPr>
        <w:spacing w:after="0" w:line="189" w:lineRule="exact"/>
        <w:rPr>
          <w:sz w:val="24"/>
          <w:szCs w:val="24"/>
          <w:color w:val="auto"/>
        </w:rPr>
      </w:pPr>
    </w:p>
    <w:p>
      <w:pPr>
        <w:ind w:left="182" w:right="2979" w:hanging="190"/>
        <w:spacing w:after="0" w:line="239"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w:t>
      </w:r>
    </w:p>
    <w:p>
      <w:pPr>
        <w:spacing w:after="0" w:line="6" w:lineRule="exact"/>
        <w:rPr>
          <w:sz w:val="24"/>
          <w:szCs w:val="24"/>
          <w:color w:val="auto"/>
        </w:rPr>
      </w:pPr>
    </w:p>
    <w:p>
      <w:pPr>
        <w:ind w:left="382" w:right="3359" w:hanging="94"/>
        <w:spacing w:after="0" w:line="259"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 THIS PROSPECTUS. ANY</w:t>
      </w:r>
    </w:p>
    <w:p>
      <w:pPr>
        <w:ind w:left="1522"/>
        <w:spacing w:after="0" w:line="236" w:lineRule="auto"/>
        <w:rPr>
          <w:sz w:val="20"/>
          <w:szCs w:val="20"/>
          <w:color w:val="auto"/>
        </w:rPr>
      </w:pPr>
      <w:r>
        <w:rPr>
          <w:rFonts w:ascii="Courier New" w:cs="Courier New" w:eastAsia="Courier New" w:hAnsi="Courier New"/>
          <w:sz w:val="16"/>
          <w:szCs w:val="16"/>
          <w:color w:val="auto"/>
        </w:rPr>
        <w:t>REPRESENTATION TO THE CONTRARY IS A CRIMINAL OFFENSE.</w:t>
      </w:r>
    </w:p>
    <w:p>
      <w:pPr>
        <w:spacing w:after="0" w:line="186"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1720" w:type="dxa"/>
            <w:vAlign w:val="bottom"/>
          </w:tcPr>
          <w:p>
            <w:pPr>
              <w:spacing w:after="0"/>
              <w:rPr>
                <w:sz w:val="20"/>
                <w:szCs w:val="20"/>
                <w:color w:val="auto"/>
              </w:rPr>
            </w:pPr>
            <w:r>
              <w:rPr>
                <w:rFonts w:ascii="Courier New" w:cs="Courier New" w:eastAsia="Courier New" w:hAnsi="Courier New"/>
                <w:sz w:val="16"/>
                <w:szCs w:val="16"/>
                <w:color w:val="auto"/>
              </w:rPr>
              <w:t>[CAPTION]</w:t>
            </w:r>
          </w:p>
        </w:tc>
        <w:tc>
          <w:tcPr>
            <w:tcW w:w="2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67"/>
        </w:trPr>
        <w:tc>
          <w:tcPr>
            <w:tcW w:w="1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UNDERWRITING</w:t>
            </w:r>
          </w:p>
        </w:tc>
        <w:tc>
          <w:tcPr>
            <w:tcW w:w="1620" w:type="dxa"/>
            <w:vAlign w:val="bottom"/>
          </w:tcPr>
          <w:p>
            <w:pPr>
              <w:spacing w:after="0"/>
              <w:rPr>
                <w:sz w:val="24"/>
                <w:szCs w:val="24"/>
                <w:color w:val="auto"/>
              </w:rPr>
            </w:pPr>
          </w:p>
        </w:tc>
        <w:tc>
          <w:tcPr>
            <w:tcW w:w="1400" w:type="dxa"/>
            <w:vAlign w:val="bottom"/>
          </w:tcPr>
          <w:p>
            <w:pPr>
              <w:jc w:val="center"/>
              <w:ind w:left="261"/>
              <w:spacing w:after="0"/>
              <w:rPr>
                <w:sz w:val="20"/>
                <w:szCs w:val="20"/>
                <w:color w:val="auto"/>
              </w:rPr>
            </w:pPr>
            <w:r>
              <w:rPr>
                <w:rFonts w:ascii="Courier New" w:cs="Courier New" w:eastAsia="Courier New" w:hAnsi="Courier New"/>
                <w:sz w:val="16"/>
                <w:szCs w:val="16"/>
                <w:color w:val="auto"/>
              </w:rPr>
              <w:t>PROCEEDS TO</w:t>
            </w:r>
          </w:p>
        </w:tc>
      </w:tr>
      <w:tr>
        <w:trPr>
          <w:trHeight w:val="183"/>
        </w:trPr>
        <w:tc>
          <w:tcPr>
            <w:tcW w:w="1720" w:type="dxa"/>
            <w:vAlign w:val="bottom"/>
          </w:tcPr>
          <w:p>
            <w:pPr>
              <w:spacing w:after="0"/>
              <w:rPr>
                <w:sz w:val="15"/>
                <w:szCs w:val="15"/>
                <w:color w:val="auto"/>
              </w:rPr>
            </w:pPr>
          </w:p>
        </w:tc>
        <w:tc>
          <w:tcPr>
            <w:tcW w:w="2240" w:type="dxa"/>
            <w:vAlign w:val="bottom"/>
          </w:tcPr>
          <w:p>
            <w:pPr>
              <w:jc w:val="center"/>
              <w:ind w:left="521"/>
              <w:spacing w:after="0"/>
              <w:rPr>
                <w:sz w:val="20"/>
                <w:szCs w:val="20"/>
                <w:color w:val="auto"/>
              </w:rPr>
            </w:pPr>
            <w:r>
              <w:rPr>
                <w:rFonts w:ascii="Courier New" w:cs="Courier New" w:eastAsia="Courier New" w:hAnsi="Courier New"/>
                <w:sz w:val="16"/>
                <w:szCs w:val="16"/>
                <w:color w:val="auto"/>
                <w:w w:val="98"/>
              </w:rPr>
              <w:t>PRICE TO</w:t>
            </w:r>
          </w:p>
        </w:tc>
        <w:tc>
          <w:tcPr>
            <w:tcW w:w="1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DISCOUNTS AND</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PROCEEDS TO</w:t>
            </w:r>
          </w:p>
        </w:tc>
        <w:tc>
          <w:tcPr>
            <w:tcW w:w="1400" w:type="dxa"/>
            <w:vAlign w:val="bottom"/>
          </w:tcPr>
          <w:p>
            <w:pPr>
              <w:jc w:val="center"/>
              <w:ind w:left="261"/>
              <w:spacing w:after="0"/>
              <w:rPr>
                <w:sz w:val="20"/>
                <w:szCs w:val="20"/>
                <w:color w:val="auto"/>
              </w:rPr>
            </w:pPr>
            <w:r>
              <w:rPr>
                <w:rFonts w:ascii="Courier New" w:cs="Courier New" w:eastAsia="Courier New" w:hAnsi="Courier New"/>
                <w:sz w:val="16"/>
                <w:szCs w:val="16"/>
                <w:color w:val="auto"/>
                <w:w w:val="98"/>
              </w:rPr>
              <w:t>SELLING</w:t>
            </w:r>
          </w:p>
        </w:tc>
      </w:tr>
      <w:tr>
        <w:trPr>
          <w:trHeight w:val="183"/>
        </w:trPr>
        <w:tc>
          <w:tcPr>
            <w:tcW w:w="1720" w:type="dxa"/>
            <w:vAlign w:val="bottom"/>
          </w:tcPr>
          <w:p>
            <w:pPr>
              <w:spacing w:after="0"/>
              <w:rPr>
                <w:sz w:val="15"/>
                <w:szCs w:val="15"/>
                <w:color w:val="auto"/>
              </w:rPr>
            </w:pPr>
          </w:p>
        </w:tc>
        <w:tc>
          <w:tcPr>
            <w:tcW w:w="2240" w:type="dxa"/>
            <w:vAlign w:val="bottom"/>
          </w:tcPr>
          <w:p>
            <w:pPr>
              <w:jc w:val="center"/>
              <w:ind w:left="541"/>
              <w:spacing w:after="0"/>
              <w:rPr>
                <w:sz w:val="20"/>
                <w:szCs w:val="20"/>
                <w:color w:val="auto"/>
              </w:rPr>
            </w:pPr>
            <w:r>
              <w:rPr>
                <w:rFonts w:ascii="Courier New" w:cs="Courier New" w:eastAsia="Courier New" w:hAnsi="Courier New"/>
                <w:sz w:val="16"/>
                <w:szCs w:val="16"/>
                <w:color w:val="auto"/>
              </w:rPr>
              <w:t>PUBLIC</w:t>
            </w: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w w:val="98"/>
              </w:rPr>
              <w:t>COMMISSIONS(1)</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COMPANY (2)</w:t>
            </w:r>
          </w:p>
        </w:tc>
        <w:tc>
          <w:tcPr>
            <w:tcW w:w="1400" w:type="dxa"/>
            <w:vAlign w:val="bottom"/>
          </w:tcPr>
          <w:p>
            <w:pPr>
              <w:jc w:val="center"/>
              <w:ind w:left="261"/>
              <w:spacing w:after="0"/>
              <w:rPr>
                <w:sz w:val="20"/>
                <w:szCs w:val="20"/>
                <w:color w:val="auto"/>
              </w:rPr>
            </w:pPr>
            <w:r>
              <w:rPr>
                <w:rFonts w:ascii="Courier New" w:cs="Courier New" w:eastAsia="Courier New" w:hAnsi="Courier New"/>
                <w:sz w:val="16"/>
                <w:szCs w:val="16"/>
                <w:color w:val="auto"/>
              </w:rPr>
              <w:t>STOCKHOLDER</w:t>
            </w:r>
          </w:p>
        </w:tc>
      </w:tr>
      <w:tr>
        <w:trPr>
          <w:trHeight w:val="367"/>
        </w:trPr>
        <w:tc>
          <w:tcPr>
            <w:tcW w:w="172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2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$26.00</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$1.14</w:t>
            </w: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$24.86</w:t>
            </w:r>
          </w:p>
        </w:tc>
        <w:tc>
          <w:tcPr>
            <w:tcW w:w="14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$24.86</w:t>
            </w:r>
          </w:p>
        </w:tc>
      </w:tr>
      <w:tr>
        <w:trPr>
          <w:trHeight w:val="183"/>
        </w:trPr>
        <w:tc>
          <w:tcPr>
            <w:tcW w:w="1720" w:type="dxa"/>
            <w:vAlign w:val="bottom"/>
          </w:tcPr>
          <w:p>
            <w:pPr>
              <w:spacing w:after="0"/>
              <w:rPr>
                <w:sz w:val="20"/>
                <w:szCs w:val="20"/>
                <w:color w:val="auto"/>
              </w:rPr>
            </w:pPr>
            <w:r>
              <w:rPr>
                <w:rFonts w:ascii="Courier New" w:cs="Courier New" w:eastAsia="Courier New" w:hAnsi="Courier New"/>
                <w:sz w:val="16"/>
                <w:szCs w:val="16"/>
                <w:color w:val="auto"/>
              </w:rPr>
              <w:t>Total(3)</w:t>
            </w:r>
          </w:p>
        </w:tc>
        <w:tc>
          <w:tcPr>
            <w:tcW w:w="2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$109,200,000</w:t>
            </w:r>
          </w:p>
        </w:tc>
        <w:tc>
          <w:tcPr>
            <w:tcW w:w="1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$4,788,000</w:t>
            </w:r>
          </w:p>
        </w:tc>
        <w:tc>
          <w:tcPr>
            <w:tcW w:w="1620" w:type="dxa"/>
            <w:vAlign w:val="bottom"/>
          </w:tcPr>
          <w:p>
            <w:pPr>
              <w:ind w:left="240"/>
              <w:spacing w:after="0"/>
              <w:rPr>
                <w:sz w:val="20"/>
                <w:szCs w:val="20"/>
                <w:color w:val="auto"/>
              </w:rPr>
            </w:pPr>
            <w:r>
              <w:rPr>
                <w:rFonts w:ascii="Courier New" w:cs="Courier New" w:eastAsia="Courier New" w:hAnsi="Courier New"/>
                <w:sz w:val="16"/>
                <w:szCs w:val="16"/>
                <w:color w:val="auto"/>
              </w:rPr>
              <w:t>$99,440,000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$4,972,000</w:t>
            </w:r>
          </w:p>
        </w:tc>
      </w:tr>
    </w:tbl>
    <w:p>
      <w:pPr>
        <w:spacing w:after="0" w:line="372" w:lineRule="exact"/>
        <w:rPr>
          <w:sz w:val="24"/>
          <w:szCs w:val="24"/>
          <w:color w:val="auto"/>
        </w:rPr>
      </w:pPr>
    </w:p>
    <w:p>
      <w:pPr>
        <w:ind w:left="382" w:right="2879" w:hanging="382"/>
        <w:spacing w:after="0"/>
        <w:tabs>
          <w:tab w:leader="none" w:pos="3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Selling Stockholder have agreed to indemnify the Underwriters against certain liabilities, including liabilities under the Securities Act of 1933, as amended. See "Underwriting."</w:t>
      </w:r>
    </w:p>
    <w:p>
      <w:pPr>
        <w:spacing w:after="0" w:line="189" w:lineRule="exact"/>
        <w:rPr>
          <w:rFonts w:ascii="Courier New" w:cs="Courier New" w:eastAsia="Courier New" w:hAnsi="Courier New"/>
          <w:sz w:val="16"/>
          <w:szCs w:val="16"/>
          <w:color w:val="auto"/>
        </w:rPr>
      </w:pPr>
    </w:p>
    <w:p>
      <w:pPr>
        <w:ind w:left="382" w:right="2679" w:hanging="382"/>
        <w:spacing w:after="0" w:line="239" w:lineRule="auto"/>
        <w:tabs>
          <w:tab w:leader="none" w:pos="3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deducting estimated expenses of this Offering of $390,000 payable by the Company.</w:t>
      </w:r>
    </w:p>
    <w:p>
      <w:pPr>
        <w:spacing w:after="0" w:line="189" w:lineRule="exact"/>
        <w:rPr>
          <w:rFonts w:ascii="Courier New" w:cs="Courier New" w:eastAsia="Courier New" w:hAnsi="Courier New"/>
          <w:sz w:val="16"/>
          <w:szCs w:val="16"/>
          <w:color w:val="auto"/>
        </w:rPr>
      </w:pPr>
    </w:p>
    <w:p>
      <w:pPr>
        <w:ind w:left="382" w:right="2599" w:hanging="382"/>
        <w:spacing w:after="0" w:line="242" w:lineRule="auto"/>
        <w:tabs>
          <w:tab w:leader="none" w:pos="3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granted the Underwriters a 30-day option to purchase up to 630,000 additional shares of Class B Common Stock solely to cover overallotments, if any. If such option is exercised in full, the total Price to Public, Underwriting Discounts and Commissions and Proceeds to Company will be $125,580,000, $5,506,200 and $115,101,800, respectively. See "Underwriting."</w:t>
      </w:r>
    </w:p>
    <w:p>
      <w:pPr>
        <w:spacing w:after="0" w:line="184"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 w:right="2779" w:firstLine="382"/>
        <w:spacing w:after="0" w:line="242" w:lineRule="auto"/>
        <w:rPr>
          <w:sz w:val="20"/>
          <w:szCs w:val="20"/>
          <w:color w:val="auto"/>
        </w:rPr>
      </w:pPr>
      <w:r>
        <w:rPr>
          <w:rFonts w:ascii="Courier New" w:cs="Courier New" w:eastAsia="Courier New" w:hAnsi="Courier New"/>
          <w:sz w:val="16"/>
          <w:szCs w:val="16"/>
          <w:color w:val="auto"/>
        </w:rPr>
        <w:t>The shares of Class B Common Stock are offered by the several Underwriters named herein, subject to prior sale, when, as and if accepted by them and subject to certain conditions. It is expected that certificates for the shares of Class B Common Stock offered hereby will be available for delivery on or about June 26, 1996 at the offices of Smith Barney Inc., 333 West 34th Street, New York, New York 10001.</w:t>
      </w:r>
    </w:p>
    <w:p>
      <w:pPr>
        <w:spacing w:after="0" w:line="1"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SMITH BARNEY INC.</w:t>
      </w:r>
    </w:p>
    <w:p>
      <w:pPr>
        <w:spacing w:after="0" w:line="2" w:lineRule="exact"/>
        <w:rPr>
          <w:sz w:val="24"/>
          <w:szCs w:val="24"/>
          <w:color w:val="auto"/>
        </w:rPr>
      </w:pPr>
    </w:p>
    <w:p>
      <w:pPr>
        <w:ind w:left="1242"/>
        <w:spacing w:after="0"/>
        <w:rPr>
          <w:sz w:val="20"/>
          <w:szCs w:val="20"/>
          <w:color w:val="auto"/>
        </w:rPr>
      </w:pPr>
      <w:r>
        <w:rPr>
          <w:rFonts w:ascii="Courier New" w:cs="Courier New" w:eastAsia="Courier New" w:hAnsi="Courier New"/>
          <w:sz w:val="16"/>
          <w:szCs w:val="16"/>
          <w:color w:val="auto"/>
        </w:rPr>
        <w:t>BEAR, STEARNS &amp; CO. INC.</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DILLON, READ &amp; CO. INC.</w:t>
      </w:r>
    </w:p>
    <w:p>
      <w:pPr>
        <w:spacing w:after="0" w:line="2" w:lineRule="exact"/>
        <w:rPr>
          <w:sz w:val="24"/>
          <w:szCs w:val="24"/>
          <w:color w:val="auto"/>
        </w:rPr>
      </w:pPr>
    </w:p>
    <w:p>
      <w:pPr>
        <w:ind w:left="3822"/>
        <w:spacing w:after="0"/>
        <w:rPr>
          <w:sz w:val="20"/>
          <w:szCs w:val="20"/>
          <w:color w:val="auto"/>
        </w:rPr>
      </w:pPr>
      <w:r>
        <w:rPr>
          <w:rFonts w:ascii="Courier New" w:cs="Courier New" w:eastAsia="Courier New" w:hAnsi="Courier New"/>
          <w:sz w:val="16"/>
          <w:szCs w:val="16"/>
          <w:color w:val="auto"/>
        </w:rPr>
        <w:t>DONALDSON, LUFKIN &amp; JENRETTE</w:t>
      </w:r>
    </w:p>
    <w:p>
      <w:pPr>
        <w:spacing w:after="0" w:line="2" w:lineRule="exact"/>
        <w:rPr>
          <w:sz w:val="24"/>
          <w:szCs w:val="24"/>
          <w:color w:val="auto"/>
        </w:rPr>
      </w:pPr>
    </w:p>
    <w:p>
      <w:pPr>
        <w:ind w:left="4282"/>
        <w:spacing w:after="0"/>
        <w:rPr>
          <w:sz w:val="20"/>
          <w:szCs w:val="20"/>
          <w:color w:val="auto"/>
        </w:rPr>
      </w:pPr>
      <w:r>
        <w:rPr>
          <w:rFonts w:ascii="Courier New" w:cs="Courier New" w:eastAsia="Courier New" w:hAnsi="Courier New"/>
          <w:sz w:val="16"/>
          <w:szCs w:val="16"/>
          <w:color w:val="auto"/>
        </w:rPr>
        <w:t>SECURITIES CORPORATION</w:t>
      </w:r>
    </w:p>
    <w:p>
      <w:pPr>
        <w:spacing w:after="0" w:line="2" w:lineRule="exact"/>
        <w:rPr>
          <w:sz w:val="24"/>
          <w:szCs w:val="24"/>
          <w:color w:val="auto"/>
        </w:rPr>
      </w:pPr>
    </w:p>
    <w:p>
      <w:pPr>
        <w:ind w:left="5722"/>
        <w:spacing w:after="0"/>
        <w:rPr>
          <w:sz w:val="20"/>
          <w:szCs w:val="20"/>
          <w:color w:val="auto"/>
        </w:rPr>
      </w:pPr>
      <w:r>
        <w:rPr>
          <w:rFonts w:ascii="Courier New" w:cs="Courier New" w:eastAsia="Courier New" w:hAnsi="Courier New"/>
          <w:sz w:val="16"/>
          <w:szCs w:val="16"/>
          <w:color w:val="auto"/>
        </w:rPr>
        <w:t>J.P. MORGAN &amp; CO.</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June 20, 1996</w:t>
      </w:r>
    </w:p>
    <w:p>
      <w:pPr>
        <w:spacing w:after="0" w:line="347" w:lineRule="exact"/>
        <w:rPr>
          <w:sz w:val="24"/>
          <w:szCs w:val="24"/>
          <w:color w:val="auto"/>
        </w:rPr>
      </w:pPr>
    </w:p>
    <w:p>
      <w:pPr>
        <w:ind w:left="2" w:right="2599" w:firstLine="382"/>
        <w:spacing w:after="0" w:line="242" w:lineRule="auto"/>
        <w:rPr>
          <w:sz w:val="20"/>
          <w:szCs w:val="20"/>
          <w:color w:val="auto"/>
        </w:rPr>
      </w:pPr>
      <w:r>
        <w:rPr>
          <w:rFonts w:ascii="Courier New" w:cs="Courier New" w:eastAsia="Courier New" w:hAnsi="Courier New"/>
          <w:sz w:val="16"/>
          <w:szCs w:val="16"/>
          <w:color w:val="auto"/>
        </w:rPr>
        <w:t>IN CONNECTION WITH THIS OFFERING, THE UNDERWRITERS MAY OVER-ALLOT OR EFFECT TRANSACTIONS WHICH STABILIZE OR MAINTAIN THE MARKET PRICE OF THE COMMON STOCK OF THE COMPANY AT A LEVEL ABOVE THAT WHICH MIGHT OTHERWISE PREVAIL IN THE OPEN MARKET. SUCH TRANSACTIONS MAY BE EFFECTED ON THE NEW YORK EXCHANGE, IN THE OVER-THE-COUNTER MARKET OR OTHERWISE. SUCH STABILIZING, IF COMMENCED, MAY BE DISCONTINUED AT ANY TIME.</w:t>
      </w:r>
    </w:p>
    <w:p>
      <w:pPr>
        <w:spacing w:after="0" w:line="184"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AVAILABLE INFORMATION</w:t>
      </w:r>
    </w:p>
    <w:p>
      <w:pPr>
        <w:spacing w:after="0" w:line="188" w:lineRule="exact"/>
        <w:rPr>
          <w:sz w:val="24"/>
          <w:szCs w:val="24"/>
          <w:color w:val="auto"/>
        </w:rPr>
      </w:pPr>
    </w:p>
    <w:p>
      <w:pPr>
        <w:ind w:left="2" w:right="2599" w:firstLine="382"/>
        <w:spacing w:after="0" w:line="265" w:lineRule="auto"/>
        <w:rPr>
          <w:sz w:val="20"/>
          <w:szCs w:val="20"/>
          <w:color w:val="auto"/>
        </w:rPr>
      </w:pPr>
      <w:r>
        <w:rPr>
          <w:rFonts w:ascii="Courier New" w:cs="Courier New" w:eastAsia="Courier New" w:hAnsi="Courier New"/>
          <w:sz w:val="15"/>
          <w:szCs w:val="15"/>
          <w:color w:val="auto"/>
        </w:rPr>
        <w:t>UHS is subject to the informational requirements of the Securities Exchange Act of 1934, as amended (the "Exchange Act"), and in accordance therewith files reports, proxy statements and other information with the Securities and Exchange</w:t>
      </w:r>
    </w:p>
    <w:p>
      <w:pPr>
        <w:sectPr>
          <w:pgSz w:w="11900" w:h="16838" w:orient="portrait"/>
          <w:cols w:equalWidth="0" w:num="1">
            <w:col w:w="10221"/>
          </w:cols>
          <w:pgMar w:left="238" w:top="603" w:right="1440" w:bottom="0" w:gutter="0" w:footer="0" w:header="0"/>
        </w:sectPr>
      </w:pPr>
    </w:p>
    <w:bookmarkStart w:id="1" w:name="page2"/>
    <w:bookmarkEnd w:id="1"/>
    <w:p>
      <w:pPr>
        <w:ind w:right="2679"/>
        <w:spacing w:after="0" w:line="242" w:lineRule="auto"/>
        <w:rPr>
          <w:sz w:val="20"/>
          <w:szCs w:val="20"/>
          <w:color w:val="auto"/>
        </w:rPr>
      </w:pPr>
      <w:r>
        <w:rPr>
          <w:rFonts w:ascii="Courier New" w:cs="Courier New" w:eastAsia="Courier New" w:hAnsi="Courier New"/>
          <w:sz w:val="16"/>
          <w:szCs w:val="16"/>
          <w:color w:val="auto"/>
        </w:rPr>
        <w:t>Commission (the "Commission"). Reports, proxy statements and other information filed by UHS may be inspected and copied at the public reference facilities maintained by the Commission, 450 Fifth Street, N.W., Judiciary Plaza, Room 1024, Washington, D.C. 20549; and at regional offices of the Commission at Northwestern Atrium Center, 500 West Madison, Suite 1400, Chicago, Illinois 60661 and at 7 World Trade Center, New York, New York 10048. Copies of such material may be obtained by mail from the Public Reference Section of the Commission at 450 Fifth Street, N.W., Washington, D.C. 20549 at prescribed rates. Such material may also be inspected and copied at the offices of the New York Stock Exchange, Inc., 20 Broad Street, New York, New York 10005.</w:t>
      </w:r>
    </w:p>
    <w:p>
      <w:pPr>
        <w:spacing w:after="0" w:line="190"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Commission maintains a World Wide Web site on the Internet at http://www.sec.gov. that contains reports, proxy and information statements and other information regarding registrants that file electronically with the Commission.</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As permitted by the rules and regulations of the Commission, this Prospectus omits certain information contained in the Registration Statement on Form S-3 (the "Registration Statement") of which this Prospectus is a part. For such information, reference is made to the Registration Statement and the exhibits thereto. Statements made in this Prospectus as to the contents of any contract, agreement or other document are not necessarily complete; with respect to each such contract, agreement or other document filed as an exhibit to the Registration Statement or incorporated by reference herein, reference is made to such contract, agreement or other document for a more complete description of the matter involved, and each such statement is qualified in its entirety by such reference.</w:t>
      </w:r>
    </w:p>
    <w:p>
      <w:pPr>
        <w:spacing w:after="0" w:line="188"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UHS hereby incorporates by reference in this Prospectus the following documents previously filed with the Commission pursuant to the Exchange Act: (i) the Company's Prospectus, dated July 18, 1995 as supplemented by a Supplement dated August 1, 1995, filed pursuant to Rule 424 under the Securities Act of 1933, as amended (the "Act") relating to securities registered on Form S-3, File No. 33-60287, declared effective on July 18, 1995; (ii) the Company's Annual Report on Form 10-K for the year ended December 31, 1995; and (iii) the Company's Quarterly Report on Form 10-Q for the quarter ended March 31, 1996.</w:t>
      </w:r>
    </w:p>
    <w:p>
      <w:pPr>
        <w:spacing w:after="0" w:line="17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Each document filed by UHS pursuant to Section 13(a), 13(c), 14 or 15(d) of the Exchange Act subsequent to the date of this Prospectus and prior to the termination of the offering of the Class B Common Stock pursuant hereto shall be deemed to be incorporated by reference in this Prospectus and to be a part of this Prospectus from the date of filing of such document. Any statement contained in this Prospectus or in a document incorporated or deemed to be incorporated by reference in this Prospectus shall be deemed to be modified or superseded for purposes of the Registration Statement and this Prospectus to the extent that a statement contained in this Prospectus or in any subsequently filed document that also is or deemed to be incorporated by reference in this Prospectus modifies or supersedes such statement. Any such statement so modified or superseded shall not be deemed, except as so modified or superseded, to constitute a part of the Registration Statement or this Prospectus.</w:t>
      </w:r>
    </w:p>
    <w:p>
      <w:pPr>
        <w:spacing w:after="0" w:line="17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UHS will provide without charge to each person to whom this Prospectus is delivered, upon the written or oral request of any such person, a copy of any or all of the documents that are incorporated by reference in this Prospectus, other than exhibits to such documents (unless such exhibits are specifically incorporated by reference into such documents). Requests should be directed to Investor Relations, Universal Health Services, Inc., Universal Corporate Center, 367 South Gulph Road, P.O. Box 61558, King of Prussia, Pennsylvania 19406-0958, telephone (610) 768-3300.</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2599"/>
        <w:spacing w:after="0"/>
        <w:rPr>
          <w:sz w:val="20"/>
          <w:szCs w:val="20"/>
          <w:color w:val="auto"/>
        </w:rPr>
      </w:pPr>
      <w:r>
        <w:rPr>
          <w:rFonts w:ascii="Courier New" w:cs="Courier New" w:eastAsia="Courier New" w:hAnsi="Courier New"/>
          <w:sz w:val="16"/>
          <w:szCs w:val="16"/>
          <w:color w:val="auto"/>
        </w:rPr>
        <w:t>PROSPECTUS SUMMARY</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following summary is qualified in its entirety by the more detailed information appearing elsewhere in this Prospectus or incorporated by reference herein. Unless otherwise indicated, all information in this Prospectus gives effect to a 2-for-1 stock split effected on May 17, 1996.</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THE COMPANY</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principal business of Universal Health Services, Inc. (together with its subsidiaries, "UHS" or the "Company") is owning and operating acute care hospitals, behavioral health centers, ambulatory surgery centers and radiation oncology centers. The Company's strategy to enhance its profitability and to continue to provide high quality, cost-effective healthcare services includes the following key elements: (i) establish and maintain market leadership positions in small and medium-sized markets with favorable demographics; (ii) develop or participate in the leading integrated healthcare delivery system in each of its hospital's markets; (iii) develop and maintain strong relationships with physicians; (iv) maintain a low cost structure while providing high quality care; and (v) attract managed care contracts. Consistent with its strategy, the Company recently acquired three acute care hospitals which are market leaders. In July 1995, the Company acquired Aiken Regional Medical Centers ("Aiken"), a 225-bed medical complex, located in Aiken, South Carolina. In August 1995, the Company acquired Manatee Memorial Hospital ("Manatee"), a 512-bed acute care hospital, located in Bradenton, Florida. In May 1996, the Company acquired Northwest Texas Healthcare System ("Northwest Texas Health"), a 360-bed medical complex, located in Amarillo, Texas. See "Pro Forma Financial Information" and "Management's Discussion and Analysis of Financial Condition and Results of Operations-- Liquidity and Capital Resources."</w:t>
      </w:r>
    </w:p>
    <w:p>
      <w:pPr>
        <w:spacing w:after="0" w:line="196" w:lineRule="exact"/>
        <w:rPr>
          <w:sz w:val="20"/>
          <w:szCs w:val="20"/>
          <w:color w:val="auto"/>
        </w:rPr>
      </w:pPr>
    </w:p>
    <w:p>
      <w:pPr>
        <w:ind w:right="2879" w:firstLine="382"/>
        <w:spacing w:after="0" w:line="242" w:lineRule="auto"/>
        <w:rPr>
          <w:sz w:val="20"/>
          <w:szCs w:val="20"/>
          <w:color w:val="auto"/>
        </w:rPr>
      </w:pPr>
      <w:r>
        <w:rPr>
          <w:rFonts w:ascii="Courier New" w:cs="Courier New" w:eastAsia="Courier New" w:hAnsi="Courier New"/>
          <w:sz w:val="16"/>
          <w:szCs w:val="16"/>
          <w:color w:val="auto"/>
        </w:rPr>
        <w:t>Currently, the Company operates 35 hospitals, consisting of 16 acute care hospitals and 19 behavioral health centers, in Arkansas, California, Florida, Georgia, Illinois, Louisiana, Massachusetts, Michigan, Missouri, Nevada, Oklahoma, Pennsylvania, South Carolina, Texas and Washington. The Company, as part of its Ambulatory Treatment Centers Division, owns outright, or in partnership with physicians, and operates or manages 26 surgery and radiation oncology centers located in 15 states.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Services provided by the Company's hospitals include general surgery, internal medicine, obstetrics, emergency room care, radiology, oncology, diagnostic care, coronary care, pediatric services and psychiatric services. The Company provides capital resources as well as a variety of management services to its facilities, including central purchasing, data processing, finance and control systems, facilities planning, physician recruitment services, administrative personnel management, marketing and public relations.</w:t>
      </w:r>
    </w:p>
    <w:p>
      <w:pPr>
        <w:spacing w:after="0" w:line="18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RECENT EVENTS</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The Company has recently acquired and plans to acquire or develop a number of additional hospitals. In June 1996, the Company acquired four behavioral health centers, all located in Pennsylvania (the "First Hospital Facilities"), as well as management contracts for seven other behavioral health centers, subject to the facilities' approval, four of which are located in Pennsylvania, and 33 acres of land adjacent to the Company's Wellington Regional Medical Center (collectively, the "First Hospital Properties") for $39.5 million and up to $5 million which is contingent on future operating performance. See "Pro Forma Financial Information" and "Management's Discussion and Analysis of Financial Condition and Results of Operations--Liquidity and Capital Resources." Each of the First Hospital Facilities is the leading provider of behavioral health services in its market. The combination of the First Hospital Facilities and their related outpatient activities plus the four managed units in</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1" w:right="1440" w:bottom="1440" w:gutter="0" w:footer="0" w:header="0"/>
        </w:sectPr>
      </w:pPr>
    </w:p>
    <w:bookmarkStart w:id="3" w:name="page4"/>
    <w:bookmarkEnd w:id="3"/>
    <w:p>
      <w:pPr>
        <w:ind w:left="2" w:right="2599"/>
        <w:spacing w:after="0" w:line="262" w:lineRule="auto"/>
        <w:rPr>
          <w:sz w:val="20"/>
          <w:szCs w:val="20"/>
          <w:color w:val="auto"/>
        </w:rPr>
      </w:pPr>
      <w:r>
        <w:rPr>
          <w:rFonts w:ascii="Courier New" w:cs="Courier New" w:eastAsia="Courier New" w:hAnsi="Courier New"/>
          <w:sz w:val="15"/>
          <w:szCs w:val="15"/>
          <w:color w:val="auto"/>
        </w:rPr>
        <w:t>Pennsylvania create the largest comprehensive behavioral health network in Pennsylvania. The Company believes its historical success in operating behavioral health facilities, when coupled with the acquired contract management business as part of the First Hospital Properties, will make it an effective competitor for new contracts to manage behavioral health units of hospitals.</w:t>
      </w:r>
    </w:p>
    <w:p>
      <w:pPr>
        <w:spacing w:after="0" w:line="173" w:lineRule="exact"/>
        <w:rPr>
          <w:sz w:val="20"/>
          <w:szCs w:val="20"/>
          <w:color w:val="auto"/>
        </w:rPr>
      </w:pPr>
    </w:p>
    <w:p>
      <w:pPr>
        <w:ind w:left="2" w:right="2679" w:firstLine="382"/>
        <w:spacing w:after="0" w:line="261" w:lineRule="auto"/>
        <w:rPr>
          <w:sz w:val="20"/>
          <w:szCs w:val="20"/>
          <w:color w:val="auto"/>
        </w:rPr>
      </w:pPr>
      <w:r>
        <w:rPr>
          <w:rFonts w:ascii="Courier New" w:cs="Courier New" w:eastAsia="Courier New" w:hAnsi="Courier New"/>
          <w:sz w:val="15"/>
          <w:szCs w:val="15"/>
          <w:color w:val="auto"/>
        </w:rPr>
        <w:t>The Company is developing, with the participation of Howard Hughes Corporation, a medical complex including a 148-bed acute care hospital, an ambulatory surgery center, a medical office building and a diagnostic center in the community of Summerlin, Nevada, in western Las Vegas. When completed, this facility will enhance the Company's market presence in Las Vegas, which is located in the fastest growing MSA in the nation. (Source: Claritas Business Information Systems ("Claritas"), a market research firm, Forecast 1995-2000).</w:t>
      </w:r>
    </w:p>
    <w:p>
      <w:pPr>
        <w:spacing w:after="0" w:line="174" w:lineRule="exact"/>
        <w:rPr>
          <w:sz w:val="20"/>
          <w:szCs w:val="20"/>
          <w:color w:val="auto"/>
        </w:rPr>
      </w:pPr>
    </w:p>
    <w:p>
      <w:pPr>
        <w:ind w:left="2" w:right="2599" w:firstLine="382"/>
        <w:spacing w:after="0" w:line="259" w:lineRule="auto"/>
        <w:rPr>
          <w:sz w:val="20"/>
          <w:szCs w:val="20"/>
          <w:color w:val="auto"/>
        </w:rPr>
      </w:pPr>
      <w:r>
        <w:rPr>
          <w:rFonts w:ascii="Courier New" w:cs="Courier New" w:eastAsia="Courier New" w:hAnsi="Courier New"/>
          <w:sz w:val="15"/>
          <w:szCs w:val="15"/>
          <w:color w:val="auto"/>
        </w:rPr>
        <w:t>In January 1996, the Company broke ground on a 124-bed acute care hospital in Edinburg, Texas. Edinburg, located in close proximity to McAllen, Texas, will</w:t>
      </w:r>
    </w:p>
    <w:tbl>
      <w:tblPr>
        <w:tblLayout w:type="fixed"/>
        <w:tblInd w:w="2" w:type="dxa"/>
        <w:tblCellMar>
          <w:top w:w="0" w:type="dxa"/>
          <w:left w:w="0" w:type="dxa"/>
          <w:bottom w:w="0" w:type="dxa"/>
          <w:right w:w="0" w:type="dxa"/>
        </w:tblCellMar>
      </w:tblPr>
      <w:tr>
        <w:trPr>
          <w:trHeight w:val="178"/>
        </w:trPr>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enhance</w:t>
            </w:r>
          </w:p>
        </w:tc>
        <w:tc>
          <w:tcPr>
            <w:tcW w:w="668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the Company's market leadership in McAllen, which is located in the</w:t>
            </w:r>
          </w:p>
        </w:tc>
      </w:tr>
      <w:tr>
        <w:trPr>
          <w:trHeight w:val="183"/>
        </w:trPr>
        <w:tc>
          <w:tcPr>
            <w:tcW w:w="7340" w:type="dxa"/>
            <w:vAlign w:val="bottom"/>
            <w:gridSpan w:val="3"/>
          </w:tcPr>
          <w:p>
            <w:pPr>
              <w:spacing w:after="0"/>
              <w:rPr>
                <w:sz w:val="20"/>
                <w:szCs w:val="20"/>
                <w:color w:val="auto"/>
              </w:rPr>
            </w:pPr>
            <w:r>
              <w:rPr>
                <w:rFonts w:ascii="Courier New" w:cs="Courier New" w:eastAsia="Courier New" w:hAnsi="Courier New"/>
                <w:sz w:val="16"/>
                <w:szCs w:val="16"/>
                <w:color w:val="auto"/>
              </w:rPr>
              <w:t>fourth fastest growing MSA in the nation. (Source: Claritas).</w:t>
            </w:r>
          </w:p>
        </w:tc>
      </w:tr>
      <w:tr>
        <w:trPr>
          <w:trHeight w:val="367"/>
        </w:trPr>
        <w:tc>
          <w:tcPr>
            <w:tcW w:w="660" w:type="dxa"/>
            <w:vAlign w:val="bottom"/>
          </w:tcPr>
          <w:p>
            <w:pPr>
              <w:spacing w:after="0"/>
              <w:rPr>
                <w:sz w:val="24"/>
                <w:szCs w:val="24"/>
                <w:color w:val="auto"/>
              </w:rPr>
            </w:pPr>
          </w:p>
        </w:tc>
        <w:tc>
          <w:tcPr>
            <w:tcW w:w="3780" w:type="dxa"/>
            <w:vAlign w:val="bottom"/>
          </w:tcPr>
          <w:p>
            <w:pPr>
              <w:ind w:left="2580"/>
              <w:spacing w:after="0"/>
              <w:rPr>
                <w:sz w:val="20"/>
                <w:szCs w:val="20"/>
                <w:color w:val="auto"/>
              </w:rPr>
            </w:pPr>
            <w:r>
              <w:rPr>
                <w:rFonts w:ascii="Courier New" w:cs="Courier New" w:eastAsia="Courier New" w:hAnsi="Courier New"/>
                <w:sz w:val="16"/>
                <w:szCs w:val="16"/>
                <w:color w:val="auto"/>
              </w:rPr>
              <w:t>THE OFFERING</w:t>
            </w:r>
          </w:p>
        </w:tc>
        <w:tc>
          <w:tcPr>
            <w:tcW w:w="2900" w:type="dxa"/>
            <w:vAlign w:val="bottom"/>
          </w:tcPr>
          <w:p>
            <w:pPr>
              <w:spacing w:after="0"/>
              <w:rPr>
                <w:sz w:val="24"/>
                <w:szCs w:val="24"/>
                <w:color w:val="auto"/>
              </w:rPr>
            </w:pPr>
          </w:p>
        </w:tc>
      </w:tr>
      <w:tr>
        <w:trPr>
          <w:trHeight w:val="367"/>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Class B</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Common Stock to be offered by the</w:t>
            </w:r>
          </w:p>
        </w:tc>
        <w:tc>
          <w:tcPr>
            <w:tcW w:w="2900" w:type="dxa"/>
            <w:vAlign w:val="bottom"/>
          </w:tcPr>
          <w:p>
            <w:pPr>
              <w:spacing w:after="0"/>
              <w:rPr>
                <w:sz w:val="24"/>
                <w:szCs w:val="24"/>
                <w:color w:val="auto"/>
              </w:rPr>
            </w:pP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Company</w:t>
            </w:r>
          </w:p>
        </w:tc>
        <w:tc>
          <w:tcPr>
            <w:tcW w:w="37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4,000,000 shares</w:t>
            </w:r>
          </w:p>
        </w:tc>
      </w:tr>
      <w:tr>
        <w:trPr>
          <w:trHeight w:val="367"/>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Class B</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Common Stock to be offered by the</w:t>
            </w:r>
          </w:p>
        </w:tc>
        <w:tc>
          <w:tcPr>
            <w:tcW w:w="2900" w:type="dxa"/>
            <w:vAlign w:val="bottom"/>
          </w:tcPr>
          <w:p>
            <w:pPr>
              <w:spacing w:after="0"/>
              <w:rPr>
                <w:sz w:val="24"/>
                <w:szCs w:val="24"/>
                <w:color w:val="auto"/>
              </w:rPr>
            </w:pP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Selling</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Stockholder..........................</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200,000 shares</w:t>
            </w:r>
          </w:p>
        </w:tc>
      </w:tr>
      <w:tr>
        <w:trPr>
          <w:trHeight w:val="367"/>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Class B</w:t>
            </w:r>
          </w:p>
        </w:tc>
        <w:tc>
          <w:tcPr>
            <w:tcW w:w="3780" w:type="dxa"/>
            <w:vAlign w:val="bottom"/>
          </w:tcPr>
          <w:p>
            <w:pPr>
              <w:ind w:left="100"/>
              <w:spacing w:after="0"/>
              <w:rPr>
                <w:sz w:val="20"/>
                <w:szCs w:val="20"/>
                <w:color w:val="auto"/>
              </w:rPr>
            </w:pPr>
            <w:r>
              <w:rPr>
                <w:rFonts w:ascii="Courier New" w:cs="Courier New" w:eastAsia="Courier New" w:hAnsi="Courier New"/>
                <w:sz w:val="16"/>
                <w:szCs w:val="16"/>
                <w:color w:val="auto"/>
              </w:rPr>
              <w:t>Common Stock to be outstanding after</w:t>
            </w:r>
          </w:p>
        </w:tc>
        <w:tc>
          <w:tcPr>
            <w:tcW w:w="2900" w:type="dxa"/>
            <w:vAlign w:val="bottom"/>
          </w:tcPr>
          <w:p>
            <w:pPr>
              <w:spacing w:after="0"/>
              <w:rPr>
                <w:sz w:val="24"/>
                <w:szCs w:val="24"/>
                <w:color w:val="auto"/>
              </w:rPr>
            </w:pPr>
          </w:p>
        </w:tc>
      </w:tr>
      <w:tr>
        <w:trPr>
          <w:trHeight w:val="183"/>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the Offering.................................</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29,669,824 shares(1)</w:t>
            </w:r>
          </w:p>
        </w:tc>
      </w:tr>
      <w:tr>
        <w:trPr>
          <w:trHeight w:val="367"/>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Use of proceeds..............................</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w w:val="98"/>
              </w:rPr>
              <w:t>For repayment of debt incurred</w:t>
            </w:r>
          </w:p>
        </w:tc>
      </w:tr>
      <w:tr>
        <w:trPr>
          <w:trHeight w:val="183"/>
        </w:trPr>
        <w:tc>
          <w:tcPr>
            <w:tcW w:w="6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to fund acquisitions.</w:t>
            </w:r>
          </w:p>
        </w:tc>
      </w:tr>
      <w:tr>
        <w:trPr>
          <w:trHeight w:val="367"/>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NYSE symbol..................................</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UHS</w:t>
            </w:r>
          </w:p>
        </w:tc>
      </w:tr>
      <w:tr>
        <w:trPr>
          <w:trHeight w:val="367"/>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900" w:type="dxa"/>
            <w:vAlign w:val="bottom"/>
          </w:tcPr>
          <w:p>
            <w:pPr>
              <w:spacing w:after="0"/>
              <w:rPr>
                <w:sz w:val="24"/>
                <w:szCs w:val="24"/>
                <w:color w:val="auto"/>
              </w:rPr>
            </w:pPr>
          </w:p>
        </w:tc>
      </w:tr>
    </w:tbl>
    <w:p>
      <w:pPr>
        <w:spacing w:after="0" w:line="188" w:lineRule="exact"/>
        <w:rPr>
          <w:sz w:val="20"/>
          <w:szCs w:val="20"/>
          <w:color w:val="auto"/>
        </w:rPr>
      </w:pPr>
    </w:p>
    <w:p>
      <w:pPr>
        <w:ind w:left="382" w:right="2599" w:hanging="382"/>
        <w:spacing w:after="0" w:line="242" w:lineRule="auto"/>
        <w:tabs>
          <w:tab w:leader="none" w:pos="3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number of shares of Class B Common Stock outstanding as of June 20, 1996. Does not include 1,551,298 shares issuable upon exercise of outstanding options. Also does not include 2,155,927 shares of Class A Common Stock, 216,732 shares of Class C Common Stock and 40,020 shares of Class D Common Stock, all of which were outstanding on June 20, 1996. All of such shares are convertible, on a share-for-share basis, into Class B Common Stock. See "Description of Common Stock."</w:t>
      </w:r>
    </w:p>
    <w:p>
      <w:pPr>
        <w:spacing w:after="0" w:line="18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8" w:top="484" w:right="1440" w:bottom="1440" w:gutter="0" w:footer="0" w:header="0"/>
        </w:sectPr>
      </w:pPr>
    </w:p>
    <w:bookmarkStart w:id="4" w:name="page5"/>
    <w:bookmarkEnd w:id="4"/>
    <w:tbl>
      <w:tblPr>
        <w:tblLayout w:type="fixed"/>
        <w:tblInd w:w="2"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344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rPr>
              <w:t>SUMMARY INCOME STATEMENT DATA</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550"/>
        </w:trPr>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(UNAUDITED)</w:t>
            </w:r>
          </w:p>
        </w:tc>
        <w:tc>
          <w:tcPr>
            <w:tcW w:w="900" w:type="dxa"/>
            <w:vAlign w:val="bottom"/>
          </w:tcPr>
          <w:p>
            <w:pPr>
              <w:spacing w:after="0"/>
              <w:rPr>
                <w:sz w:val="24"/>
                <w:szCs w:val="24"/>
                <w:color w:val="auto"/>
              </w:rPr>
            </w:pPr>
          </w:p>
        </w:tc>
      </w:tr>
      <w:tr>
        <w:trPr>
          <w:trHeight w:val="183"/>
        </w:trPr>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4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0" w:type="dxa"/>
            <w:vAlign w:val="bottom"/>
            <w:gridSpan w:val="3"/>
          </w:tcPr>
          <w:p>
            <w:pPr>
              <w:jc w:val="right"/>
              <w:ind w:right="441"/>
              <w:spacing w:after="0"/>
              <w:rPr>
                <w:sz w:val="20"/>
                <w:szCs w:val="20"/>
                <w:color w:val="auto"/>
              </w:rPr>
            </w:pPr>
            <w:r>
              <w:rPr>
                <w:rFonts w:ascii="Courier New" w:cs="Courier New" w:eastAsia="Courier New" w:hAnsi="Courier New"/>
                <w:sz w:val="16"/>
                <w:szCs w:val="16"/>
                <w:color w:val="auto"/>
              </w:rPr>
              <w:t>YEARS ENDED DECEMBER 31,</w:t>
            </w: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MARCH 31,</w:t>
            </w:r>
          </w:p>
        </w:tc>
        <w:tc>
          <w:tcPr>
            <w:tcW w:w="900" w:type="dxa"/>
            <w:vAlign w:val="bottom"/>
          </w:tcPr>
          <w:p>
            <w:pPr>
              <w:spacing w:after="0"/>
              <w:rPr>
                <w:sz w:val="15"/>
                <w:szCs w:val="15"/>
                <w:color w:val="auto"/>
              </w:rPr>
            </w:pPr>
          </w:p>
        </w:tc>
      </w:tr>
      <w:tr>
        <w:trPr>
          <w:trHeight w:val="183"/>
        </w:trPr>
        <w:tc>
          <w:tcPr>
            <w:tcW w:w="228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PRO</w:t>
            </w: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PRO</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1992</w:t>
            </w: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w w:val="98"/>
              </w:rPr>
              <w:t>FORMA(1)</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FORMA(1)</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58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(DOLLARS IN THOUSANDS, EXCEPT PER SHARE DATA)</w:t>
            </w: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7"/>
        </w:trPr>
        <w:tc>
          <w:tcPr>
            <w:tcW w:w="2280" w:type="dxa"/>
            <w:vAlign w:val="bottom"/>
          </w:tcPr>
          <w:p>
            <w:pPr>
              <w:spacing w:after="0"/>
              <w:rPr>
                <w:sz w:val="20"/>
                <w:szCs w:val="20"/>
                <w:color w:val="auto"/>
              </w:rPr>
            </w:pPr>
            <w:r>
              <w:rPr>
                <w:rFonts w:ascii="Courier New" w:cs="Courier New" w:eastAsia="Courier New" w:hAnsi="Courier New"/>
                <w:sz w:val="16"/>
                <w:szCs w:val="16"/>
                <w:color w:val="auto"/>
              </w:rPr>
              <w:t>Statement of Income</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Data:</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Net revenues..........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$731,227</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$761,544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$782,199</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$931,126</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$1,200,234</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$220,715</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$271,616</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$320,200</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Operating expenses....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285,922</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299,645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298,108</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361,049</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472,749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84,469</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102,335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122,815</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Salaries and wages....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265,017</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280,041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286,297</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329,939</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419,136</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78,021</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94,500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112,199</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Provision for doubtful</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accounts...............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45,008</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55,409</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58,347</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76,905</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96,821</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17,185</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21,767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24,860</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49,059</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39,599</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42,383</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51,371</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67,887</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11,310</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14,783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17,263</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Lease and rental</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expense................</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33,854</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34,281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34,097</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36,068</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37,029</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8,772</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9,405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9,666</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11,414</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8,645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6,275</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11,195</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24,394</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1,614</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4,648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5,605</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Nonrecurring</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charges................</w:t>
            </w:r>
          </w:p>
        </w:tc>
        <w:tc>
          <w:tcPr>
            <w:tcW w:w="13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8,828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9,763</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11,610</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14,200</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ind w:left="280"/>
              <w:spacing w:after="0"/>
              <w:rPr>
                <w:sz w:val="20"/>
                <w:szCs w:val="20"/>
                <w:color w:val="auto"/>
              </w:rPr>
            </w:pPr>
            <w:r>
              <w:rPr>
                <w:rFonts w:ascii="Courier New" w:cs="Courier New" w:eastAsia="Courier New" w:hAnsi="Courier New"/>
                <w:sz w:val="16"/>
                <w:szCs w:val="16"/>
                <w:color w:val="auto"/>
              </w:rPr>
              <w:t>Total operating</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charges................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690,274</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726,448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735,270</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878,137</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1,132,216</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201,371</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247,438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292,408</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before income</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40,953</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35,096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46,929</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52,989</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68,018</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19,344</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24,178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27,792</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Provision for income</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20,933</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11,085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18,209</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17,505</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25,204</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7,503</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8,677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10,059</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$20,020</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$24,011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$28,720</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$35,484</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42,814</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$11,841</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$15,501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$17,733</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15"/>
                <w:szCs w:val="15"/>
                <w:color w:val="auto"/>
              </w:rPr>
            </w:pP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$1.33</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2280" w:type="dxa"/>
            <w:vAlign w:val="bottom"/>
          </w:tcPr>
          <w:p>
            <w:pPr>
              <w:ind w:left="100"/>
              <w:spacing w:after="0"/>
              <w:rPr>
                <w:sz w:val="20"/>
                <w:szCs w:val="20"/>
                <w:color w:val="auto"/>
              </w:rPr>
            </w:pPr>
            <w:r>
              <w:rPr>
                <w:rFonts w:ascii="Courier New" w:cs="Courier New" w:eastAsia="Courier New" w:hAnsi="Courier New"/>
                <w:sz w:val="16"/>
                <w:szCs w:val="16"/>
                <w:color w:val="auto"/>
              </w:rPr>
              <w:t>Average number of</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ind w:left="280"/>
              <w:spacing w:after="0"/>
              <w:rPr>
                <w:sz w:val="20"/>
                <w:szCs w:val="20"/>
                <w:color w:val="auto"/>
              </w:rPr>
            </w:pPr>
            <w:r>
              <w:rPr>
                <w:rFonts w:ascii="Courier New" w:cs="Courier New" w:eastAsia="Courier New" w:hAnsi="Courier New"/>
                <w:sz w:val="16"/>
                <w:szCs w:val="16"/>
                <w:color w:val="auto"/>
              </w:rPr>
              <w:t>shares</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outstanding............</w:t>
            </w:r>
          </w:p>
        </w:tc>
        <w:tc>
          <w:tcPr>
            <w:tcW w:w="1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29,940</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29,638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28,778</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28,158</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32,158</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27,884</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28,712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32,712</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3720" w:hanging="382"/>
        <w:spacing w:after="0" w:line="242" w:lineRule="auto"/>
        <w:tabs>
          <w:tab w:leader="none" w:pos="3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financial data for the indicated periods reflects (i) the acquisitions of the First Hospital Properties, Aiken, Manatee and Northwest Texas Health; (ii) the dispositions of Westlake Medical Center, Dallas Family Hospital and Universal Medical Center; and (iii) the issuance of the shares of Class B Common Stock offered by the Company hereby and the application of the net proceeds thereof to repay debt incurred to fund the acquisitions of Northwest Texas Health and the First Hospital Properties as described under "Use of Proceeds." Pro forma Statement of Income Data and Per Share Data were prepared as if the acquisitions and related transactions occurred on the first day of the period presented. Prior to the issuance of the Shares offered hereby and the application of the net proceeds from this Offering to repay debt incurred to fund the 1996 acquisitions, pro forma earnings per share for the year ended December 31, 1995 and the quarter ended March 31, 1996 were $1.38 and $.59, respectively. See "Pro Forma Financial Information."</w:t>
      </w:r>
    </w:p>
    <w:p>
      <w:pPr>
        <w:spacing w:after="0" w:line="190"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580" w:type="dxa"/>
            <w:vAlign w:val="bottom"/>
          </w:tcPr>
          <w:p>
            <w:pPr>
              <w:spacing w:after="0"/>
              <w:rPr>
                <w:sz w:val="15"/>
                <w:szCs w:val="15"/>
                <w:color w:val="auto"/>
              </w:rPr>
            </w:pPr>
          </w:p>
        </w:tc>
        <w:tc>
          <w:tcPr>
            <w:tcW w:w="3720" w:type="dxa"/>
            <w:vAlign w:val="bottom"/>
          </w:tcPr>
          <w:p>
            <w:pPr>
              <w:jc w:val="right"/>
              <w:ind w:right="1161"/>
              <w:spacing w:after="0"/>
              <w:rPr>
                <w:sz w:val="20"/>
                <w:szCs w:val="20"/>
                <w:color w:val="auto"/>
              </w:rPr>
            </w:pPr>
            <w:r>
              <w:rPr>
                <w:rFonts w:ascii="Courier New" w:cs="Courier New" w:eastAsia="Courier New" w:hAnsi="Courier New"/>
                <w:sz w:val="16"/>
                <w:szCs w:val="16"/>
                <w:color w:val="auto"/>
                <w:w w:val="98"/>
              </w:rPr>
              <w:t>SUMMARY BALANCE SHEET DATA</w:t>
            </w:r>
          </w:p>
        </w:tc>
        <w:tc>
          <w:tcPr>
            <w:tcW w:w="1320" w:type="dxa"/>
            <w:vAlign w:val="bottom"/>
          </w:tcPr>
          <w:p>
            <w:pPr>
              <w:spacing w:after="0"/>
              <w:rPr>
                <w:sz w:val="15"/>
                <w:szCs w:val="15"/>
                <w:color w:val="auto"/>
              </w:rPr>
            </w:pPr>
          </w:p>
        </w:tc>
      </w:tr>
      <w:tr>
        <w:trPr>
          <w:trHeight w:val="183"/>
        </w:trPr>
        <w:tc>
          <w:tcPr>
            <w:tcW w:w="2580" w:type="dxa"/>
            <w:vAlign w:val="bottom"/>
          </w:tcPr>
          <w:p>
            <w:pPr>
              <w:spacing w:after="0"/>
              <w:rPr>
                <w:sz w:val="15"/>
                <w:szCs w:val="15"/>
                <w:color w:val="auto"/>
              </w:rPr>
            </w:pPr>
          </w:p>
        </w:tc>
        <w:tc>
          <w:tcPr>
            <w:tcW w:w="5040" w:type="dxa"/>
            <w:vAlign w:val="bottom"/>
            <w:gridSpan w:val="2"/>
          </w:tcPr>
          <w:p>
            <w:pPr>
              <w:ind w:left="3340"/>
              <w:spacing w:after="0"/>
              <w:rPr>
                <w:sz w:val="20"/>
                <w:szCs w:val="20"/>
                <w:color w:val="auto"/>
              </w:rPr>
            </w:pPr>
            <w:r>
              <w:rPr>
                <w:rFonts w:ascii="Courier New" w:cs="Courier New" w:eastAsia="Courier New" w:hAnsi="Courier New"/>
                <w:sz w:val="16"/>
                <w:szCs w:val="16"/>
                <w:color w:val="auto"/>
              </w:rPr>
              <w:t>(UNAUDITED)</w:t>
            </w:r>
          </w:p>
        </w:tc>
      </w:tr>
      <w:tr>
        <w:trPr>
          <w:trHeight w:val="183"/>
        </w:trPr>
        <w:tc>
          <w:tcPr>
            <w:tcW w:w="2580" w:type="dxa"/>
            <w:vAlign w:val="bottom"/>
          </w:tcPr>
          <w:p>
            <w:pPr>
              <w:spacing w:after="0"/>
              <w:rPr>
                <w:sz w:val="15"/>
                <w:szCs w:val="15"/>
                <w:color w:val="auto"/>
              </w:rPr>
            </w:pPr>
          </w:p>
        </w:tc>
        <w:tc>
          <w:tcPr>
            <w:tcW w:w="5040" w:type="dxa"/>
            <w:vAlign w:val="bottom"/>
            <w:gridSpan w:val="2"/>
          </w:tcPr>
          <w:p>
            <w:pPr>
              <w:ind w:left="3340"/>
              <w:spacing w:after="0"/>
              <w:rPr>
                <w:sz w:val="20"/>
                <w:szCs w:val="20"/>
                <w:color w:val="auto"/>
              </w:rPr>
            </w:pPr>
            <w:r>
              <w:rPr>
                <w:rFonts w:ascii="Courier New" w:cs="Courier New" w:eastAsia="Courier New" w:hAnsi="Courier New"/>
                <w:sz w:val="16"/>
                <w:szCs w:val="16"/>
                <w:color w:val="auto"/>
              </w:rPr>
              <w:t>AT MARCH 31,</w:t>
            </w:r>
          </w:p>
        </w:tc>
      </w:tr>
      <w:tr>
        <w:trPr>
          <w:trHeight w:val="183"/>
        </w:trPr>
        <w:tc>
          <w:tcPr>
            <w:tcW w:w="2580" w:type="dxa"/>
            <w:vAlign w:val="bottom"/>
          </w:tcPr>
          <w:p>
            <w:pPr>
              <w:spacing w:after="0"/>
              <w:rPr>
                <w:sz w:val="15"/>
                <w:szCs w:val="15"/>
                <w:color w:val="auto"/>
              </w:rPr>
            </w:pPr>
          </w:p>
        </w:tc>
        <w:tc>
          <w:tcPr>
            <w:tcW w:w="5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5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580" w:type="dxa"/>
            <w:vAlign w:val="bottom"/>
          </w:tcPr>
          <w:p>
            <w:pPr>
              <w:spacing w:after="0"/>
              <w:rPr>
                <w:sz w:val="15"/>
                <w:szCs w:val="15"/>
                <w:color w:val="auto"/>
              </w:rPr>
            </w:pPr>
          </w:p>
        </w:tc>
        <w:tc>
          <w:tcPr>
            <w:tcW w:w="3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PRO FORMA(1)</w:t>
            </w:r>
          </w:p>
        </w:tc>
      </w:tr>
      <w:tr>
        <w:trPr>
          <w:trHeight w:val="183"/>
        </w:trPr>
        <w:tc>
          <w:tcPr>
            <w:tcW w:w="2580" w:type="dxa"/>
            <w:vAlign w:val="bottom"/>
          </w:tcPr>
          <w:p>
            <w:pPr>
              <w:spacing w:after="0"/>
              <w:rPr>
                <w:sz w:val="15"/>
                <w:szCs w:val="15"/>
                <w:color w:val="auto"/>
              </w:rPr>
            </w:pP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580" w:type="dxa"/>
            <w:vAlign w:val="bottom"/>
          </w:tcPr>
          <w:p>
            <w:pPr>
              <w:spacing w:after="0"/>
              <w:rPr>
                <w:sz w:val="15"/>
                <w:szCs w:val="15"/>
                <w:color w:val="auto"/>
              </w:rPr>
            </w:pPr>
          </w:p>
        </w:tc>
        <w:tc>
          <w:tcPr>
            <w:tcW w:w="5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(DOLLARS IN THOUSANDS)</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1"/>
                <w:szCs w:val="11"/>
                <w:color w:val="auto"/>
                <w:w w:val="73"/>
              </w:rPr>
              <w:t>Working capital......................................</w:t>
            </w: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$ 16,125</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$ 39,543</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1"/>
                <w:szCs w:val="11"/>
                <w:color w:val="auto"/>
                <w:w w:val="73"/>
              </w:rPr>
              <w:t>Total assets.........................................</w:t>
            </w: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767,942</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953,028</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1"/>
                <w:szCs w:val="11"/>
                <w:color w:val="auto"/>
                <w:w w:val="73"/>
              </w:rPr>
              <w:t>Long-term borrowings.................................</w:t>
            </w: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230,401</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303,416</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1"/>
                <w:szCs w:val="11"/>
                <w:color w:val="auto"/>
                <w:w w:val="73"/>
              </w:rPr>
              <w:t>Total debt...........................................</w:t>
            </w: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237,381</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310,396</w:t>
            </w:r>
          </w:p>
        </w:tc>
      </w:tr>
      <w:tr>
        <w:trPr>
          <w:trHeight w:val="183"/>
        </w:trPr>
        <w:tc>
          <w:tcPr>
            <w:tcW w:w="2580" w:type="dxa"/>
            <w:vAlign w:val="bottom"/>
          </w:tcPr>
          <w:p>
            <w:pPr>
              <w:spacing w:after="0"/>
              <w:rPr>
                <w:sz w:val="20"/>
                <w:szCs w:val="20"/>
                <w:color w:val="auto"/>
              </w:rPr>
            </w:pPr>
            <w:r>
              <w:rPr>
                <w:rFonts w:ascii="Courier New" w:cs="Courier New" w:eastAsia="Courier New" w:hAnsi="Courier New"/>
                <w:sz w:val="11"/>
                <w:szCs w:val="11"/>
                <w:color w:val="auto"/>
                <w:w w:val="73"/>
              </w:rPr>
              <w:t>Total stockholders' equity...........................</w:t>
            </w:r>
          </w:p>
        </w:tc>
        <w:tc>
          <w:tcPr>
            <w:tcW w:w="3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315,826</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414,876</w:t>
            </w: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3720" w:hanging="382"/>
        <w:spacing w:after="0" w:line="261" w:lineRule="auto"/>
        <w:tabs>
          <w:tab w:leader="none" w:pos="3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balance sheet data for the indicated date reflects (i) the acquisitions of the First Hospital Properties and Northwest Texas Health; and (ii) the application of the net proceeds received by the Company from this Offering to repay debt incurred to fund the acquisitions of Northwest Texas Health and the First Hospital Properties. Pro forma balance sheet data were prepared as if the acquisitions and related transactions occurred as of</w:t>
      </w:r>
    </w:p>
    <w:p>
      <w:pPr>
        <w:sectPr>
          <w:pgSz w:w="11900" w:h="16838" w:orient="portrait"/>
          <w:cols w:equalWidth="0" w:num="1">
            <w:col w:w="11342"/>
          </w:cols>
          <w:pgMar w:left="238" w:top="481" w:right="319" w:bottom="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the balance sheet date. See "Pro Forma Financial Information."</w:t>
      </w:r>
    </w:p>
    <w:p>
      <w:pPr>
        <w:sectPr>
          <w:pgSz w:w="11900" w:h="16838" w:orient="portrait"/>
          <w:cols w:equalWidth="0" w:num="1">
            <w:col w:w="9839"/>
          </w:cols>
          <w:pgMar w:left="620" w:top="142" w:right="1440" w:bottom="1440" w:gutter="0" w:footer="0" w:header="0"/>
        </w:sectPr>
      </w:pPr>
    </w:p>
    <w:p>
      <w:pPr>
        <w:spacing w:after="0" w:line="19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839"/>
          </w:cols>
          <w:pgMar w:left="620" w:top="142" w:right="1440" w:bottom="1440" w:gutter="0" w:footer="0" w:header="0"/>
          <w:type w:val="continuous"/>
        </w:sectPr>
      </w:pPr>
    </w:p>
    <w:bookmarkStart w:id="6" w:name="page7"/>
    <w:bookmarkEnd w:id="6"/>
    <w:p>
      <w:pPr>
        <w:jc w:val="center"/>
        <w:ind w:right="3338"/>
        <w:spacing w:after="0"/>
        <w:rPr>
          <w:sz w:val="20"/>
          <w:szCs w:val="20"/>
          <w:color w:val="auto"/>
        </w:rPr>
      </w:pPr>
      <w:r>
        <w:rPr>
          <w:rFonts w:ascii="Courier New" w:cs="Courier New" w:eastAsia="Courier New" w:hAnsi="Courier New"/>
          <w:sz w:val="16"/>
          <w:szCs w:val="16"/>
          <w:color w:val="auto"/>
        </w:rPr>
        <w:t>SELECTED OPERATING DATA</w:t>
      </w:r>
    </w:p>
    <w:p>
      <w:pPr>
        <w:spacing w:after="0" w:line="188" w:lineRule="exact"/>
        <w:rPr>
          <w:sz w:val="20"/>
          <w:szCs w:val="20"/>
          <w:color w:val="auto"/>
        </w:rPr>
      </w:pPr>
    </w:p>
    <w:p>
      <w:pPr>
        <w:ind w:left="2" w:right="3340" w:firstLine="382"/>
        <w:spacing w:after="0" w:line="241" w:lineRule="auto"/>
        <w:rPr>
          <w:sz w:val="20"/>
          <w:szCs w:val="20"/>
          <w:color w:val="auto"/>
        </w:rPr>
      </w:pPr>
      <w:r>
        <w:rPr>
          <w:rFonts w:ascii="Courier New" w:cs="Courier New" w:eastAsia="Courier New" w:hAnsi="Courier New"/>
          <w:sz w:val="16"/>
          <w:szCs w:val="16"/>
          <w:color w:val="auto"/>
        </w:rPr>
        <w:t>The following table shows the bed utilization and occupancy rates for the hospitals operated by the Company as of March 31, 1996, for the periods indicated. Accordingly, the information is presented on a basis different from that used in preparing the historical financial information included herein and included or incorporated by reference in this Prospectus.</w:t>
      </w:r>
    </w:p>
    <w:p>
      <w:pPr>
        <w:spacing w:after="0" w:line="200" w:lineRule="exact"/>
        <w:rPr>
          <w:sz w:val="20"/>
          <w:szCs w:val="20"/>
          <w:color w:val="auto"/>
        </w:rPr>
      </w:pPr>
    </w:p>
    <w:p>
      <w:pPr>
        <w:spacing w:after="0" w:line="35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82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2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2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YEARS ENDED DECEMBER 31,</w:t>
            </w: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MARCH 31,</w:t>
            </w:r>
          </w:p>
        </w:tc>
        <w:tc>
          <w:tcPr>
            <w:tcW w:w="82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1995</w:t>
            </w: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PRO</w:t>
            </w: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PRO</w:t>
            </w:r>
          </w:p>
        </w:tc>
      </w:tr>
      <w:tr>
        <w:trPr>
          <w:trHeight w:val="183"/>
        </w:trPr>
        <w:tc>
          <w:tcPr>
            <w:tcW w:w="324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6"/>
                <w:szCs w:val="16"/>
                <w:color w:val="auto"/>
              </w:rPr>
              <w:t>1992</w:t>
            </w: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1994</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FORMA(1)</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1995</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FORMA(1)</w:t>
            </w:r>
          </w:p>
        </w:tc>
      </w:tr>
      <w:tr>
        <w:trPr>
          <w:trHeight w:val="183"/>
        </w:trPr>
        <w:tc>
          <w:tcPr>
            <w:tcW w:w="324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rPr>
              <w:t>Average Licensed Beds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2,645</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2,730</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2,788</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2,808</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3,168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2,789</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2,797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3,154</w:t>
            </w: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1,206</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1,227</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1,265</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1,631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1,265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1,267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1,633</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Hospital Admissions</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83,826</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87,174</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92,911</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100,004</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113,476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25,704</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27,551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30,887</w:t>
            </w: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13,505</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15,560</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16,804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17,888</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24,848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4,197</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4,298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6,019</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Average Length of Patient Stay</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(Days)</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5.8</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15.7</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Patient Days(2)</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485,015</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486,291</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496,462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511,487</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585,328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134,470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140,088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158,726</w:t>
            </w:r>
          </w:p>
        </w:tc>
      </w:tr>
      <w:tr>
        <w:trPr>
          <w:trHeight w:val="183"/>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10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211,390</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202,047</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195,004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200,857</w:t>
            </w:r>
          </w:p>
        </w:tc>
        <w:tc>
          <w:tcPr>
            <w:tcW w:w="10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304,800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50,553</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52,083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78,659</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3340" w:hanging="382"/>
        <w:spacing w:after="0" w:line="241" w:lineRule="auto"/>
        <w:tabs>
          <w:tab w:leader="none" w:pos="3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year ended December 31, 1995 (Pro forma) and the three months ended March 31, 1996 (Pro forma) assumes that the acquisitions of Northwest Texas Health and the First Hospital Facilities occurred on the first day of the period presented.</w:t>
      </w:r>
    </w:p>
    <w:p>
      <w:pPr>
        <w:spacing w:after="0" w:line="189" w:lineRule="exact"/>
        <w:rPr>
          <w:rFonts w:ascii="Courier New" w:cs="Courier New" w:eastAsia="Courier New" w:hAnsi="Courier New"/>
          <w:sz w:val="16"/>
          <w:szCs w:val="16"/>
          <w:color w:val="auto"/>
        </w:rPr>
      </w:pPr>
    </w:p>
    <w:p>
      <w:pPr>
        <w:ind w:left="382" w:right="3440" w:hanging="382"/>
        <w:spacing w:after="0" w:line="239" w:lineRule="auto"/>
        <w:tabs>
          <w:tab w:leader="none" w:pos="3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"Patient Days" is the aggregate sum for all patients of the number of days that hospital care is provided to each patient.</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882"/>
          </w:cols>
          <w:pgMar w:left="238" w:top="481" w:right="779" w:bottom="1440" w:gutter="0" w:footer="0" w:header="0"/>
        </w:sectPr>
      </w:pPr>
    </w:p>
    <w:bookmarkStart w:id="7" w:name="page8"/>
    <w:bookmarkEnd w:id="7"/>
    <w:p>
      <w:pPr>
        <w:ind w:left="3240"/>
        <w:spacing w:after="0"/>
        <w:rPr>
          <w:sz w:val="20"/>
          <w:szCs w:val="20"/>
          <w:color w:val="auto"/>
        </w:rPr>
      </w:pPr>
      <w:r>
        <w:rPr>
          <w:rFonts w:ascii="Courier New" w:cs="Courier New" w:eastAsia="Courier New" w:hAnsi="Courier New"/>
          <w:sz w:val="16"/>
          <w:szCs w:val="16"/>
          <w:color w:val="auto"/>
        </w:rPr>
        <w:t>RISK FACTORS</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This Prospectus contains, in addition to historical information, forward-looking statements that involve risks and uncertainties. The Company's actual results could differ materially. Factors that could cause or contribute to such differences include, but are not limited to, those discussed below, as well as those discussed elsewhere in the Prospectus.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CONCENTRATION OF EARNINGS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McAllen Medical Center contributed 20% and 21% of the Company's net revenues and 36% and 35% of the Company's earnings before interest, income taxes, depreciation, amortization, lease and rental expense and non-recurring transactions ("EBITDAR"), for the two years ended December 31, 1995 and 1994, respectively, excluding the effect of the special Medicaid reimbursements received at two of the Company's Texas acute care hospitals of $12.6 million and $12.7 million for the years ended December 31, 1995 and 1994, respectively (the "Indigent Care Reimbursements"). On a pro forma basis, assuming that the acquisitions of Northwest Texas Health (acquired in May 1996), the First Hospital Facilities (acquired in June 1996), Aiken (acquired in July 1995) and Manatee (acquired in August 1995), and the dispositions of Dallas Family Hospital, Westlake Medical Center (both disposed of in July 1995) and Universal Medical Center (disposed of in October 1995) occurred on January 1, 1995 (the "Adjustments"), and excluding the Indigent Care Reimbursements, McAllen Medical Center would have contributed 15% of the Company's net revenues for the year ended December 31, 1995 and 30% of the Company's EBITDAR for such period.</w:t>
      </w:r>
    </w:p>
    <w:p>
      <w:pPr>
        <w:spacing w:after="0" w:line="194"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Valley Hospital Medical Center ("Valley Hospital") contributed 18% and 19% of the Company's net revenues and 30% and 35% of the Company's EBITDAR, for the years ended December 31, 1995 and 1994, excluding the Indigent Care Reimbursements. On a pro forma basis, taking into account the Adjustments and excluding the Indigent Care Reimbursements, Valley Hospital would have contributed 14% of the Company's net revenues for the year ended December 31, 1995 and 24% of the Company's EBITDAR for such period.</w:t>
      </w:r>
    </w:p>
    <w:p>
      <w:pPr>
        <w:spacing w:after="0" w:line="188" w:lineRule="exact"/>
        <w:rPr>
          <w:sz w:val="20"/>
          <w:szCs w:val="20"/>
          <w:color w:val="auto"/>
        </w:rPr>
      </w:pPr>
    </w:p>
    <w:p>
      <w:pPr>
        <w:ind w:right="2879" w:firstLine="382"/>
        <w:spacing w:after="0" w:line="265" w:lineRule="auto"/>
        <w:rPr>
          <w:sz w:val="20"/>
          <w:szCs w:val="20"/>
          <w:color w:val="auto"/>
        </w:rPr>
      </w:pPr>
      <w:r>
        <w:rPr>
          <w:rFonts w:ascii="Courier New" w:cs="Courier New" w:eastAsia="Courier New" w:hAnsi="Courier New"/>
          <w:sz w:val="15"/>
          <w:szCs w:val="15"/>
          <w:color w:val="auto"/>
        </w:rPr>
        <w:t>Assuming the Adjustments and excluding the Indigent Care Reimbursements, Manatee would have contributed 11% of the Company's net revenues for the year ended December 31, 1995 and 12% of the Company's EBITDAR for such period.</w:t>
      </w:r>
    </w:p>
    <w:p>
      <w:pPr>
        <w:spacing w:after="0" w:line="171" w:lineRule="exact"/>
        <w:rPr>
          <w:sz w:val="20"/>
          <w:szCs w:val="20"/>
          <w:color w:val="auto"/>
        </w:rPr>
      </w:pPr>
    </w:p>
    <w:p>
      <w:pPr>
        <w:ind w:right="2599" w:firstLine="382"/>
        <w:spacing w:after="0" w:line="239" w:lineRule="auto"/>
        <w:rPr>
          <w:sz w:val="20"/>
          <w:szCs w:val="20"/>
          <w:color w:val="auto"/>
        </w:rPr>
      </w:pPr>
      <w:r>
        <w:rPr>
          <w:rFonts w:ascii="Courier New" w:cs="Courier New" w:eastAsia="Courier New" w:hAnsi="Courier New"/>
          <w:sz w:val="16"/>
          <w:szCs w:val="16"/>
          <w:color w:val="auto"/>
        </w:rPr>
        <w:t>Any adverse change in the condition or in the results of operations of these hospitals could have a material adverse effect on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healthcare industry has been characterized in recent years by increased competition for patients and staff physicians, excess capacity at general hospitals, a shift from inpatient to outpatient settings, a decrease in patients' average length of stay and increased consolidation. The principal factors contributing to these trends are advances in medical technology, cost-containment efforts by managed care payors, employers and traditional health insurers, changes in regulations and reimbursement policies, increases in the number and type of competing healthcare providers and changes in physician practice patterns. With a few exceptions, physicians are not employees of the Company's hospitals and members of the medical staffs of the Company's hospitals also serve on the medical staffs of hospitals not owned by the Company and may terminate their affiliation with the Company's hospitals at any time. The Company's future success will depend, in part, on the ability of the Company's hospitals to continue to attract and maintain staff physicians and to organize and structure integrated healthcare delivery systems with other healthcare providers and physician practice groups. There can be no assurance that the Company's hospitals will continue to be able, on terms favorable to the Company, to attract physicians to their staffs, or to organize and structure integrated healthcare delivery systems, for</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81" w:right="1440" w:bottom="1440" w:gutter="0" w:footer="0" w:header="0"/>
        </w:sectPr>
      </w:pPr>
    </w:p>
    <w:bookmarkStart w:id="8" w:name="page9"/>
    <w:bookmarkEnd w:id="8"/>
    <w:p>
      <w:pPr>
        <w:ind w:right="2979"/>
        <w:spacing w:after="0" w:line="239" w:lineRule="auto"/>
        <w:rPr>
          <w:sz w:val="20"/>
          <w:szCs w:val="20"/>
          <w:color w:val="auto"/>
        </w:rPr>
      </w:pPr>
      <w:r>
        <w:rPr>
          <w:rFonts w:ascii="Courier New" w:cs="Courier New" w:eastAsia="Courier New" w:hAnsi="Courier New"/>
          <w:sz w:val="16"/>
          <w:szCs w:val="16"/>
          <w:color w:val="auto"/>
        </w:rPr>
        <w:t>which other healthcare companies with greater financial resources or a wider range of services may be competing.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LIMITS ON REIMBURSEMENT</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derives a substantial portion of its net revenues from third-party payors, including the Medicare and Medicaid programs. Changes in government reimbursement programs have resulted in limitations on the growth rates of the reimbursement programs and, in some cases, in reduced levels of reimbursement for healthcare services, and additional changes are anticipated. Such changes are likely to result in further limitations on reimbursement levels. In addition, private payors, including managed care payors, increasingly are demanding discounted fee structures or the assumption by healthcare providers of all or a portion of the financial risk through prepaid capitation arrangements. Inpatient utilization, average lengths of stay and occupancy rates continue to be negatively affected by payor-required pre-admission authorization and utilization review and by payor pressure to maximize outpatient and alternative healthcare delivery services for less acutely ill patients. In addition, efforts to impose reduced allowances, greater discounts and more stringent cost controls by government and other payors are expected to continue. The Company is unable to predict the effect that these changes will have on its operations. Furthermore, limits on the scope of services reimbursed or on reimbursement rates and fees could have a material adverse effect on the financial results of the Company's operations. See "--Health Reform Legislation" and "Business--Sources of Revenue."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HEALTH REFORM LEGISLATION</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recent years, an increasing number of legislative initiatives have been introduced or proposed in Congress and in state legislatures that would effect major changes in the healthcare system, either nationally or at the state level. Among the proposals that have been introduced are price controls on hospitals, insurance market reforms to increase the availability of group health insurance to small businesses, requirements that all businesses offer health insurance coverage to their employees and the creation of a government health insurance plan or plans that would cover all citizens and increase payments by beneficiaries. The Company cannot predict whether any of the above proposals or any other proposals will be adopted, and if adopted, no assurance can be given that the implementation of such reforms will not have a material adverse effect on the Company's business. In Texas, a law has been passed which mandates that the State apply for a waiver from current Medicaid regulations to allow it to require that certain Medicaid participants be serviced through managed care providers. The Company is unable to predict whether Texas will be granted such a waiver or the effect on the Company's business of such law. Upon meeting certain conditions, and serving a disproportionately high share of Texas' low income patients, McAllen Medical Center, Edinburg Hospital and Northwest Texas Health received an aggregate of $25.8 million under the Texas Medical Assistance Program for the year ended December 31, 1995. The Texas Medical Assistance Program instituted lower reimbursement rates commencing September 1, 1995, and such Program is scheduled to terminate in August 1996. The Company cannot predict whether this Program will continue beyond the scheduled termination date.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INSURANCE</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Prior to January 1, 1996, most of the Company's subsidiaries were self-insured for general liability risks for claims limited to $5 million per occurrence and for professional liability risks for claims limited to $25 million per occurrence. Effective January 1, 1996, the Company's self-insured subsidiaries purchased general and professional liability insurance coverage for a three year term with a commercial insurer. These policies include coverage for claims in excess of $5 million and limited to $25 million per occurrence and have an unlimited aggregate. Coverage in excess of these limits up to $100 million is maintained with major insurance carriers.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8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CONTROL BY PRINCIPAL STOCKHOLDER</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Alan B. Miller, the Company's Chairman of the Board, President and Chief Executive Officer, controls approximately 88% and, upon consummation of this Offering, will control approximately 86% of the general voting power of UHS, including shares of Class A Common Stock and Class C Common Stock owned by two directors of the Company which Mr. Miller, pursuant to the Stockholders' Agreement among Mr. Miller and such directors, has the right to vote under certain circumstances. Mr. Miller also controls an aggregate of 99% of Class A Common Stock and 99% of Class C Common Stock and upon consummation of the Offering will control 99% of Class A Common Stock and 99% of Class C Common Stock. As such, Mr. Miller can elect 80% of the Board of Directors of UHS and accomplish a merger, sale, transfer of assets or other significant transaction without the approval of UHS' other stockholders.</w:t>
      </w:r>
    </w:p>
    <w:p>
      <w:pPr>
        <w:spacing w:after="0" w:line="188"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USE OF PROCEEDS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net proceeds to the Company from the sale of Shares being offered by it in this Offering, after deducting underwriting discounts and the estimated expenses of this Offering, are estimated to be $99.1 million ($114.7 million if the Underwriter's over-allotment option is exercised in full). Such proceeds will be used by the Company for the repayment of borrowings under the Company's revolving credit facility, which totaled approximately $169 million as of June 20, 1996, which were incurred to fund the purchases of Northwest Texas Health and the First Hospital Properties. Borrowings under the Company's revolving credit facility bear interest at either (i) the prime rate or the sum of the certificate of deposit rate and between 0.625% to 1.125%; or (ii) in the case of Eurodollar loans, the sum of the Eurodollar rate and between 0.500% to 1.000%. The revolving credit facility matures in March 2000. After application of the proceeds from this Offering, $155.1 million will be available to the Company under the revolving credit facility. The Company expects to borrow under the revolving credit facility as needed in connection with acquisitions, although the Company has no understandings or agreements with respect to any such acquisitions, and other corporate purposes. Morgan Guaranty Trust Company of New York, an affiliate of J.P. Morgan Securities Inc., is the lead lender under the Company's revolving credit facility. Approximately 18% of the net proceeds of this Offering will be used to repay Morgan Guaranty Trust Company of New York. See "Underwriting."</w:t>
      </w:r>
    </w:p>
    <w:p>
      <w:pPr>
        <w:spacing w:after="0" w:line="1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1" w:right="1440" w:bottom="1440" w:gutter="0" w:footer="0" w:header="0"/>
        </w:sectPr>
      </w:pPr>
    </w:p>
    <w:bookmarkStart w:id="10" w:name="page11"/>
    <w:bookmarkEnd w:id="10"/>
    <w:p>
      <w:pPr>
        <w:jc w:val="center"/>
        <w:ind w:right="2599"/>
        <w:spacing w:after="0"/>
        <w:rPr>
          <w:sz w:val="20"/>
          <w:szCs w:val="20"/>
          <w:color w:val="auto"/>
        </w:rPr>
      </w:pPr>
      <w:r>
        <w:rPr>
          <w:rFonts w:ascii="Courier New" w:cs="Courier New" w:eastAsia="Courier New" w:hAnsi="Courier New"/>
          <w:sz w:val="16"/>
          <w:szCs w:val="16"/>
          <w:color w:val="auto"/>
        </w:rPr>
        <w:t>CAPITALIZATION</w:t>
      </w:r>
    </w:p>
    <w:p>
      <w:pPr>
        <w:spacing w:after="0" w:line="188"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The following table sets forth the capitalization of the Company at March 31, 1996, and such capitalization, as adjusted to give effect to the acquisitions of Northwest Texas Health and the First Hospital Properties, the sale of the Shares offered hereby and the application of the net proceeds therefrom as described in "Use of Proceeds."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MARCH 31, 1996</w:t>
            </w:r>
          </w:p>
        </w:tc>
      </w:tr>
      <w:tr>
        <w:trPr>
          <w:trHeight w:val="183"/>
        </w:trPr>
        <w:tc>
          <w:tcPr>
            <w:tcW w:w="692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AS</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ACTUAL</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ADJUSTED</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(IN THOUSANDS)</w:t>
            </w:r>
          </w:p>
        </w:tc>
      </w:tr>
      <w:tr>
        <w:trPr>
          <w:trHeight w:val="367"/>
        </w:trPr>
        <w:tc>
          <w:tcPr>
            <w:tcW w:w="6920" w:type="dxa"/>
            <w:vAlign w:val="bottom"/>
          </w:tcPr>
          <w:p>
            <w:pPr>
              <w:spacing w:after="0"/>
              <w:rPr>
                <w:sz w:val="20"/>
                <w:szCs w:val="20"/>
                <w:color w:val="auto"/>
              </w:rPr>
            </w:pPr>
            <w:r>
              <w:rPr>
                <w:rFonts w:ascii="Courier New" w:cs="Courier New" w:eastAsia="Courier New" w:hAnsi="Courier New"/>
                <w:sz w:val="16"/>
                <w:szCs w:val="16"/>
                <w:color w:val="auto"/>
              </w:rPr>
              <w:t>Long-Term Debt, net of current portion: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Notes payable (including obligations under capitalized leases of</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$12,903 at March 31, 1996) with varying maturities through 2001......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18,575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$ 18,575</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Mortgages payable, with varying maturities through 2000................</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2,069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2,069</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Revolving credit and demand notes......................................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14,575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87,590</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Commercial paper.......................................................</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Revenue bonds: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with varying maturities through 2015...............................</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18,200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18,200</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8 3/4% Senior Notes due 2005, net of unamortized discount of $1,038....</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133,962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133,962</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ind w:left="580"/>
              <w:spacing w:after="0"/>
              <w:rPr>
                <w:sz w:val="20"/>
                <w:szCs w:val="20"/>
                <w:color w:val="auto"/>
              </w:rPr>
            </w:pPr>
            <w:r>
              <w:rPr>
                <w:rFonts w:ascii="Courier New" w:cs="Courier New" w:eastAsia="Courier New" w:hAnsi="Courier New"/>
                <w:sz w:val="16"/>
                <w:szCs w:val="16"/>
                <w:color w:val="auto"/>
              </w:rPr>
              <w:t>Total Long-Term Debt.............................................</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237,381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310,396</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Less: Amounts due within one year..............................</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6,980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6,980</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230,401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$303,416</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Common Stockholders' Equity:</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Class A Common Stock, voting, $.01 par value; authorized 12,000,000</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shares; issued and outstanding 2,181,054 shares at March 31, 1996;</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2,155,927 shares issued and oustanding, as adjusted....................</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Class B Common Stock, limited voting, $.01 par value; authorized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50,000,000 shares; issued and outstanding 25,480,886 shares at March</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31, 1996; 29,508,525 shares issued and outstanding, as adjusted........</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295</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Class C Common Stock, voting, $.01 par value; authorized 1,200,000</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shares; issued and outstanding 219,244 shares at March 31, 1996;</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216,732 shares issued and outstanding, as adjusted.....................</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Class D Common Stock, limited voting, $.01 par value; authorized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ind w:left="180"/>
              <w:spacing w:after="0"/>
              <w:rPr>
                <w:sz w:val="20"/>
                <w:szCs w:val="20"/>
                <w:color w:val="auto"/>
              </w:rPr>
            </w:pPr>
            <w:r>
              <w:rPr>
                <w:rFonts w:ascii="Courier New" w:cs="Courier New" w:eastAsia="Courier New" w:hAnsi="Courier New"/>
                <w:sz w:val="16"/>
                <w:szCs w:val="16"/>
                <w:color w:val="auto"/>
              </w:rPr>
              <w:t>5,000,000 shares; issued and outstanding 40,632 shares at March 31,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1996; 40,632 shares issued and oustanding, as adjusted.................</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Capital in excess of par value, net of deferred compensation of $516 at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March 31, 1996.........................................................</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92,366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191,376</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223,181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223,181</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ind w:left="580"/>
              <w:spacing w:after="0"/>
              <w:rPr>
                <w:sz w:val="20"/>
                <w:szCs w:val="20"/>
                <w:color w:val="auto"/>
              </w:rPr>
            </w:pPr>
            <w:r>
              <w:rPr>
                <w:rFonts w:ascii="Courier New" w:cs="Courier New" w:eastAsia="Courier New" w:hAnsi="Courier New"/>
                <w:sz w:val="16"/>
                <w:szCs w:val="16"/>
                <w:color w:val="auto"/>
              </w:rPr>
              <w:t>Total Stockholders' Equity</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315,826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414,876</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ind w:left="580"/>
              <w:spacing w:after="0"/>
              <w:rPr>
                <w:sz w:val="20"/>
                <w:szCs w:val="20"/>
                <w:color w:val="auto"/>
              </w:rPr>
            </w:pPr>
            <w:r>
              <w:rPr>
                <w:rFonts w:ascii="Courier New" w:cs="Courier New" w:eastAsia="Courier New" w:hAnsi="Courier New"/>
                <w:sz w:val="16"/>
                <w:szCs w:val="16"/>
                <w:color w:val="auto"/>
              </w:rPr>
              <w:t>Total Capitalization</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553,207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$725,272</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6920" w:type="dxa"/>
            <w:vAlign w:val="bottom"/>
          </w:tcPr>
          <w:p>
            <w:pPr>
              <w:ind w:left="3720"/>
              <w:spacing w:after="0"/>
              <w:rPr>
                <w:sz w:val="20"/>
                <w:szCs w:val="20"/>
                <w:color w:val="auto"/>
              </w:rPr>
            </w:pPr>
            <w:r>
              <w:rPr>
                <w:rFonts w:ascii="Courier New" w:cs="Courier New" w:eastAsia="Courier New" w:hAnsi="Courier New"/>
                <w:sz w:val="16"/>
                <w:szCs w:val="16"/>
                <w:color w:val="auto"/>
              </w:rPr>
              <w:t>10</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11" w:name="page12"/>
    <w:bookmarkEnd w:id="11"/>
    <w:p>
      <w:pPr>
        <w:ind w:left="2280"/>
        <w:spacing w:after="0"/>
        <w:rPr>
          <w:sz w:val="20"/>
          <w:szCs w:val="20"/>
          <w:color w:val="auto"/>
        </w:rPr>
      </w:pPr>
      <w:r>
        <w:rPr>
          <w:rFonts w:ascii="Courier New" w:cs="Courier New" w:eastAsia="Courier New" w:hAnsi="Courier New"/>
          <w:sz w:val="16"/>
          <w:szCs w:val="16"/>
          <w:color w:val="auto"/>
        </w:rPr>
        <w:t>PRO FORMA FINANCIAL INFORMATION</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has purchased (i) substantially all of the assets and operations of four behavioral health centers located in Pennsylvania; (ii) management contracts for seven other behavioral health centers, subject to the facilities' approval; and (iii) 33 acres of land adjacent to the Company's Wellington Regional Medical Center, for $39.5 million and up to an additional $5 million which is contingent upon the future operating performance of the acquired assets. In connection with this transaction, the Company entered into a $7 million loan agreement, as amended, which is secured by the stock of a subsidiary of the seller. The $7 million note is scheduled to mature September 18, 1997. See "Management's Discussion and Analysis of Financial Condition and Results of Operations-- Liquidity and Capital Resources."</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May 1996, the Company acquired substantially all of the assets and operations of Northwest Texas Healthcare Systems, a 360-bed medical complex located in Amarillo, Texas for $126 million in cash. The assets acquired include the real and personal property, working capital and tangible assets. The Company also will be required to pay additional amounts to the seller equal to 15% of any amount of the hospital's earnings before depreciation, interest and taxes in excess of $24 million in each year of the seven year period commencing April 1, 1996 and ending March 31, 2003. In addition, under terms of the agreement, the seller will pay the Company $8 million per year for the first four years and $6 million per year (subject to certain adjustments for inflation) for up to an additional 36 years to help support the cost of medical services to indigent patients.</w:t>
      </w:r>
    </w:p>
    <w:p>
      <w:pPr>
        <w:spacing w:after="0" w:line="191"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In August 1995, the Company acquired substantially all of the assets of Manatee Memorial Hospital, a 512-bed acute care hospital located in Bradenton, Florida for $139 million in cash and assumption of net liabilities of approximately $4 million. The assets acquired include the real and personal property, working capital and intangible assets.</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July, 1995, the Company acquired the operations and fixed assets of Aiken Regional Medical Centers, including Aiken Regional Medical Center, The Carolina Cancer Center and the Aurora Pavilion from a subsidiary of Columbia/HCA Healthcare Corporation ("Columbia"). The acquired assets included the real property and moveable equipment together with intangible assets and certain working capital accounts, excluding accounts receivable.</w:t>
      </w:r>
    </w:p>
    <w:p>
      <w:pPr>
        <w:spacing w:after="0" w:line="18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exchange for Aiken, the Company transferred to Columbia the assets and operations of Westlake Medical Center and Dallas Family Hospital and approximately $44 million in cash. In connection with the Aiken transaction, the Company acquired the property of Westlake Medical Center which it leased from Universal Health Realty Income Trust ("UHT"), in exchange for other property consisting of additional real estate assets owned by the Company but related to three acute care facilities owned by UHT and operated by the Company, which were transferred to and leased back from UHT. These additional real estate assets represent major additions and expansions made to the facilities since the purchase of the properties from the Company in 1986. The Westlake property was then transferred to Columbia. In addition to the Westlake property, the real and personal property of Dallas Family Hospital, and certain working capital accounts of both facilities, excluding accounts receivable, were acquired by Columbia.</w:t>
      </w:r>
    </w:p>
    <w:p>
      <w:pPr>
        <w:spacing w:after="0" w:line="192"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In October 1995, the Company sold the real and personal property and substantially all of the operating assets of Universal Medical Center, a 202-bed acute care hospital, located in Plantation, Florida for approximately $19.5 million in cash.</w:t>
      </w:r>
    </w:p>
    <w:p>
      <w:pPr>
        <w:spacing w:after="0" w:line="189" w:lineRule="exact"/>
        <w:rPr>
          <w:sz w:val="20"/>
          <w:szCs w:val="20"/>
          <w:color w:val="auto"/>
        </w:rPr>
      </w:pPr>
    </w:p>
    <w:p>
      <w:pPr>
        <w:ind w:right="2679" w:firstLine="382"/>
        <w:spacing w:after="0" w:line="265" w:lineRule="auto"/>
        <w:rPr>
          <w:sz w:val="20"/>
          <w:szCs w:val="20"/>
          <w:color w:val="auto"/>
        </w:rPr>
      </w:pPr>
      <w:r>
        <w:rPr>
          <w:rFonts w:ascii="Courier New" w:cs="Courier New" w:eastAsia="Courier New" w:hAnsi="Courier New"/>
          <w:sz w:val="15"/>
          <w:szCs w:val="15"/>
          <w:color w:val="auto"/>
        </w:rPr>
        <w:t>All of the acquisitions have been accounted for as purchases by the Company and the operating results of the entities have been included in the Company's historical operating results from their respective dates of acquisition.</w:t>
      </w:r>
    </w:p>
    <w:p>
      <w:pPr>
        <w:spacing w:after="0" w:line="1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81" w:right="1440" w:bottom="1440" w:gutter="0" w:footer="0" w:header="0"/>
        </w:sectPr>
      </w:pPr>
    </w:p>
    <w:bookmarkStart w:id="12" w:name="page13"/>
    <w:bookmarkEnd w:id="12"/>
    <w:p>
      <w:pPr>
        <w:ind w:right="2679" w:firstLine="382"/>
        <w:spacing w:after="0" w:line="261" w:lineRule="auto"/>
        <w:rPr>
          <w:sz w:val="20"/>
          <w:szCs w:val="20"/>
          <w:color w:val="auto"/>
        </w:rPr>
      </w:pPr>
      <w:r>
        <w:rPr>
          <w:rFonts w:ascii="Courier New" w:cs="Courier New" w:eastAsia="Courier New" w:hAnsi="Courier New"/>
          <w:sz w:val="15"/>
          <w:szCs w:val="15"/>
          <w:color w:val="auto"/>
        </w:rPr>
        <w:t>The Pro Forma Condensed Consolidated Statements of Income were prepared as if the above transactions and the Offering occurred as of January 1, 1995. The Pro Forma Condensed Consolidated Balance Sheet was prepared as if the above transactions occurred on March 31, 1996. These pro forma financial statements should be read in connection with the historical financial statements and notes thereto included elsewhere or incorporated by reference in this Prospectus.</w:t>
      </w:r>
    </w:p>
    <w:p>
      <w:pPr>
        <w:spacing w:after="0" w:line="175"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pro forma financial information is unaudited and is not necessarily indicative of the consolidated results which actually would have occurred if the transactions and the Offering had been consummated at the beginning of the periods presented, nor does it purport to present the future financial position and results of operations for future periods.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84" w:right="1440" w:bottom="1440" w:gutter="0" w:footer="0" w:header="0"/>
        </w:sectPr>
      </w:pPr>
    </w:p>
    <w:bookmarkStart w:id="13" w:name="page14"/>
    <w:bookmarkEnd w:id="13"/>
    <w:p>
      <w:pPr>
        <w:ind w:left="2280"/>
        <w:spacing w:after="0"/>
        <w:rPr>
          <w:sz w:val="20"/>
          <w:szCs w:val="20"/>
          <w:color w:val="auto"/>
        </w:rPr>
      </w:pPr>
      <w:r>
        <w:rPr>
          <w:rFonts w:ascii="Courier New" w:cs="Courier New" w:eastAsia="Courier New" w:hAnsi="Courier New"/>
          <w:sz w:val="16"/>
          <w:szCs w:val="16"/>
          <w:color w:val="auto"/>
        </w:rPr>
        <w:t>UNIVERSAL HEALTH SERVICES, INC.</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PRO FORMA CONDENSED CONSOLIDATED BALANCE SHEET</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MARCH 31, 1996</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00" w:type="dxa"/>
            <w:vAlign w:val="bottom"/>
            <w:gridSpan w:val="3"/>
          </w:tcPr>
          <w:p>
            <w:pPr>
              <w:jc w:val="right"/>
              <w:ind w:right="441"/>
              <w:spacing w:after="0"/>
              <w:rPr>
                <w:sz w:val="20"/>
                <w:szCs w:val="20"/>
                <w:color w:val="auto"/>
              </w:rPr>
            </w:pPr>
            <w:r>
              <w:rPr>
                <w:rFonts w:ascii="Courier New" w:cs="Courier New" w:eastAsia="Courier New" w:hAnsi="Courier New"/>
                <w:sz w:val="16"/>
                <w:szCs w:val="16"/>
                <w:color w:val="auto"/>
              </w:rPr>
              <w:t>(IN THOUSANDS)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550"/>
        </w:trPr>
        <w:tc>
          <w:tcPr>
            <w:tcW w:w="3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1996 ACQUISITIONS</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3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6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0"/>
              </w:rPr>
              <w:t>THE</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NORTHWEST</w:t>
            </w:r>
          </w:p>
        </w:tc>
        <w:tc>
          <w:tcPr>
            <w:tcW w:w="46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FIRST</w:t>
            </w:r>
          </w:p>
        </w:tc>
        <w:tc>
          <w:tcPr>
            <w:tcW w:w="144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OTHER</w:t>
            </w:r>
          </w:p>
        </w:tc>
        <w:tc>
          <w:tcPr>
            <w:tcW w:w="1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THE</w:t>
            </w:r>
          </w:p>
        </w:tc>
      </w:tr>
      <w:tr>
        <w:trPr>
          <w:trHeight w:val="183"/>
        </w:trPr>
        <w:tc>
          <w:tcPr>
            <w:tcW w:w="382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COMPANY</w:t>
            </w:r>
          </w:p>
        </w:tc>
        <w:tc>
          <w:tcPr>
            <w:tcW w:w="30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TEXAS</w:t>
            </w:r>
          </w:p>
        </w:tc>
        <w:tc>
          <w:tcPr>
            <w:tcW w:w="15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HOSPITAL</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PRO FORMA</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COMPANY</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HISTORICAL</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HEALTH (A)</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PROPERTIES (B)</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ADJUSTMENTS</w:t>
            </w: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PRO FORMA</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881"/>
              <w:spacing w:after="0"/>
              <w:rPr>
                <w:sz w:val="20"/>
                <w:szCs w:val="20"/>
                <w:color w:val="auto"/>
              </w:rPr>
            </w:pPr>
            <w:r>
              <w:rPr>
                <w:rFonts w:ascii="Courier New" w:cs="Courier New" w:eastAsia="Courier New" w:hAnsi="Courier New"/>
                <w:sz w:val="16"/>
                <w:szCs w:val="16"/>
                <w:color w:val="auto"/>
              </w:rPr>
              <w:t>ASSETS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7"/>
        </w:trPr>
        <w:tc>
          <w:tcPr>
            <w:tcW w:w="3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Cash and cash equivalents............</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762</w:t>
            </w:r>
          </w:p>
        </w:tc>
        <w:tc>
          <w:tcPr>
            <w:tcW w:w="13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(125,565)</w:t>
            </w:r>
          </w:p>
        </w:tc>
        <w:tc>
          <w:tcPr>
            <w:tcW w:w="156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$(46,500)</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$ 172,065(C)</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762</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 net.............</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116,400</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16,764</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9,099</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142,263</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current assets.................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23,892</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9,816</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760</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34,468</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income taxes................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15,304</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15,304</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ASSETS...............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156,358</w:t>
            </w:r>
          </w:p>
        </w:tc>
        <w:tc>
          <w:tcPr>
            <w:tcW w:w="30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(98,985)</w:t>
            </w:r>
          </w:p>
        </w:tc>
        <w:tc>
          <w:tcPr>
            <w:tcW w:w="460" w:type="dxa"/>
            <w:vAlign w:val="bottom"/>
          </w:tcPr>
          <w:p>
            <w:pPr>
              <w:spacing w:after="0"/>
              <w:rPr>
                <w:sz w:val="15"/>
                <w:szCs w:val="15"/>
                <w:color w:val="auto"/>
              </w:rPr>
            </w:pPr>
          </w:p>
        </w:tc>
        <w:tc>
          <w:tcPr>
            <w:tcW w:w="11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(36,641)</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172,065</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192,797</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Property and equipment, net............</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411,215</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85,785</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32,000</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529,000</w:t>
            </w:r>
          </w:p>
        </w:tc>
      </w:tr>
      <w:tr>
        <w:trPr>
          <w:trHeight w:val="183"/>
        </w:trPr>
        <w:tc>
          <w:tcPr>
            <w:tcW w:w="38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Excess of cost over fair value of net</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tangible assets acquired...............</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134,421</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22,362</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1,500</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158,283</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income taxes................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18,717</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18,717</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charges and other...........</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47,231</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7,000</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54,231</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ASSETS.......................</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767,942</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9,162</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3,859</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$ 172,065</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$953,028</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LIABILITIES AND STOCKHOLDERS'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601"/>
              <w:spacing w:after="0"/>
              <w:rPr>
                <w:sz w:val="20"/>
                <w:szCs w:val="20"/>
                <w:color w:val="auto"/>
              </w:rPr>
            </w:pPr>
            <w:r>
              <w:rPr>
                <w:rFonts w:ascii="Courier New" w:cs="Courier New" w:eastAsia="Courier New" w:hAnsi="Courier New"/>
                <w:sz w:val="16"/>
                <w:szCs w:val="16"/>
                <w:color w:val="auto"/>
              </w:rPr>
              <w:t>EQUITY</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Current maturities of debt...........</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6,980</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  --</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6,980</w:t>
            </w:r>
          </w:p>
        </w:tc>
      </w:tr>
      <w:tr>
        <w:trPr>
          <w:trHeight w:val="183"/>
        </w:trPr>
        <w:tc>
          <w:tcPr>
            <w:tcW w:w="38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Accounts payable and accrued</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expenses...............................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126,871</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9,162</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3,859</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139,892</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Federal and state taxes..............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6,382</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6,382</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LIABILITIES..........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140,233</w:t>
            </w:r>
          </w:p>
        </w:tc>
        <w:tc>
          <w:tcPr>
            <w:tcW w:w="30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9,162</w:t>
            </w:r>
          </w:p>
        </w:tc>
        <w:tc>
          <w:tcPr>
            <w:tcW w:w="46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3,859</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153,254</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 non-current liabilities..........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81,482</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81,482</w:t>
            </w:r>
          </w:p>
        </w:tc>
      </w:tr>
      <w:tr>
        <w:trPr>
          <w:trHeight w:val="183"/>
        </w:trPr>
        <w:tc>
          <w:tcPr>
            <w:tcW w:w="3820" w:type="dxa"/>
            <w:vAlign w:val="bottom"/>
          </w:tcPr>
          <w:p>
            <w:pPr>
              <w:spacing w:after="0"/>
              <w:rPr>
                <w:sz w:val="20"/>
                <w:szCs w:val="20"/>
                <w:color w:val="auto"/>
              </w:rPr>
            </w:pPr>
            <w:r>
              <w:rPr>
                <w:rFonts w:ascii="Courier New" w:cs="Courier New" w:eastAsia="Courier New" w:hAnsi="Courier New"/>
                <w:sz w:val="16"/>
                <w:szCs w:val="16"/>
                <w:color w:val="auto"/>
              </w:rPr>
              <w:t>Long-term debt, net of current</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maturities.............................</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230,401</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73,015(D)</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303,416</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Common stockholders' equity............</w:t>
            </w:r>
          </w:p>
        </w:tc>
        <w:tc>
          <w:tcPr>
            <w:tcW w:w="3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315,826</w:t>
            </w:r>
          </w:p>
        </w:tc>
        <w:tc>
          <w:tcPr>
            <w:tcW w:w="30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10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3"/>
              </w:rPr>
              <w:t>--</w:t>
            </w:r>
          </w:p>
        </w:tc>
        <w:tc>
          <w:tcPr>
            <w:tcW w:w="1440" w:type="dxa"/>
            <w:vAlign w:val="bottom"/>
          </w:tcPr>
          <w:p>
            <w:pPr>
              <w:ind w:left="540"/>
              <w:spacing w:after="0"/>
              <w:rPr>
                <w:sz w:val="20"/>
                <w:szCs w:val="20"/>
                <w:color w:val="auto"/>
              </w:rPr>
            </w:pPr>
            <w:r>
              <w:rPr>
                <w:rFonts w:ascii="Courier New" w:cs="Courier New" w:eastAsia="Courier New" w:hAnsi="Courier New"/>
                <w:sz w:val="16"/>
                <w:szCs w:val="16"/>
                <w:color w:val="auto"/>
              </w:rPr>
              <w:t>99,050(E)</w:t>
            </w:r>
          </w:p>
        </w:tc>
        <w:tc>
          <w:tcPr>
            <w:tcW w:w="140" w:type="dxa"/>
            <w:vAlign w:val="bottom"/>
          </w:tcPr>
          <w:p>
            <w:pPr>
              <w:spacing w:after="0"/>
              <w:rPr>
                <w:sz w:val="15"/>
                <w:szCs w:val="15"/>
                <w:color w:val="auto"/>
              </w:rPr>
            </w:pPr>
          </w:p>
        </w:tc>
        <w:tc>
          <w:tcPr>
            <w:tcW w:w="7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414,876</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LIABILITIES AND STOCKHOLDERS'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38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EQUITY.................................</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767,942</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9,162</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3,859</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$ 172,065</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$953,028</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8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bl>
    <w:p>
      <w:pPr>
        <w:spacing w:after="0" w:line="372"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The accompanying notes and management's assumptions are an integral part of this statement.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81" w:right="1440" w:bottom="1440" w:gutter="0" w:footer="0" w:header="0"/>
        </w:sectPr>
      </w:pPr>
    </w:p>
    <w:bookmarkStart w:id="14" w:name="page15"/>
    <w:bookmarkEnd w:id="14"/>
    <w:p>
      <w:pPr>
        <w:jc w:val="center"/>
        <w:ind w:right="3900"/>
        <w:spacing w:after="0"/>
        <w:rPr>
          <w:sz w:val="20"/>
          <w:szCs w:val="20"/>
          <w:color w:val="auto"/>
        </w:rPr>
      </w:pPr>
      <w:r>
        <w:rPr>
          <w:rFonts w:ascii="Courier New" w:cs="Courier New" w:eastAsia="Courier New" w:hAnsi="Courier New"/>
          <w:sz w:val="16"/>
          <w:szCs w:val="16"/>
          <w:color w:val="auto"/>
        </w:rPr>
        <w:t>UNIVERSAL HEALTH SERVICES, INC.</w:t>
      </w:r>
    </w:p>
    <w:p>
      <w:pPr>
        <w:spacing w:after="0" w:line="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PRO FORMA CONDENSED CONSOLIDATED INCOME STATEMENT</w:t>
      </w:r>
    </w:p>
    <w:p>
      <w:pPr>
        <w:spacing w:after="0" w:line="2"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6"/>
          <w:szCs w:val="16"/>
          <w:color w:val="auto"/>
        </w:rPr>
        <w:t>FOR THE YEAR ENDED DECEMBER 31, 1995</w:t>
      </w:r>
    </w:p>
    <w:p>
      <w:pPr>
        <w:spacing w:after="0" w:line="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6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1996 ACQUISITIONS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1995</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THE</w:t>
            </w:r>
          </w:p>
        </w:tc>
      </w:tr>
      <w:tr>
        <w:trPr>
          <w:trHeight w:val="183"/>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THE</w:t>
            </w:r>
          </w:p>
        </w:tc>
        <w:tc>
          <w:tcPr>
            <w:tcW w:w="18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ACQUISITIONS</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NORTHWEST</w:t>
            </w:r>
          </w:p>
        </w:tc>
        <w:tc>
          <w:tcPr>
            <w:tcW w:w="38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FIRST</w:t>
            </w:r>
          </w:p>
        </w:tc>
        <w:tc>
          <w:tcPr>
            <w:tcW w:w="24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OTHER</w:t>
            </w:r>
          </w:p>
        </w:tc>
        <w:tc>
          <w:tcPr>
            <w:tcW w:w="80" w:type="dxa"/>
            <w:vAlign w:val="bottom"/>
          </w:tcPr>
          <w:p>
            <w:pPr>
              <w:spacing w:after="0"/>
              <w:rPr>
                <w:sz w:val="15"/>
                <w:szCs w:val="15"/>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COMPANY</w:t>
            </w:r>
          </w:p>
        </w:tc>
      </w:tr>
      <w:tr>
        <w:trPr>
          <w:trHeight w:val="183"/>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COMPANY</w:t>
            </w:r>
          </w:p>
        </w:tc>
        <w:tc>
          <w:tcPr>
            <w:tcW w:w="620" w:type="dxa"/>
            <w:vAlign w:val="bottom"/>
          </w:tcPr>
          <w:p>
            <w:pPr>
              <w:spacing w:after="0"/>
              <w:rPr>
                <w:sz w:val="15"/>
                <w:szCs w:val="15"/>
                <w:color w:val="auto"/>
              </w:rPr>
            </w:pPr>
          </w:p>
        </w:tc>
        <w:tc>
          <w:tcPr>
            <w:tcW w:w="120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AND</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TEXAS</w:t>
            </w:r>
          </w:p>
        </w:tc>
        <w:tc>
          <w:tcPr>
            <w:tcW w:w="14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HOSPITAL</w:t>
            </w:r>
          </w:p>
        </w:tc>
        <w:tc>
          <w:tcPr>
            <w:tcW w:w="24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PRO FORMA</w:t>
            </w:r>
          </w:p>
        </w:tc>
        <w:tc>
          <w:tcPr>
            <w:tcW w:w="80" w:type="dxa"/>
            <w:vAlign w:val="bottom"/>
          </w:tcPr>
          <w:p>
            <w:pPr>
              <w:spacing w:after="0"/>
              <w:rPr>
                <w:sz w:val="15"/>
                <w:szCs w:val="15"/>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PRO</w:t>
            </w:r>
          </w:p>
        </w:tc>
      </w:tr>
      <w:tr>
        <w:trPr>
          <w:trHeight w:val="183"/>
        </w:trPr>
        <w:tc>
          <w:tcPr>
            <w:tcW w:w="304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HISTORICAL</w:t>
            </w:r>
          </w:p>
        </w:tc>
        <w:tc>
          <w:tcPr>
            <w:tcW w:w="18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DIVESTITURES (F)</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HEALTH (G)</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PROPERTIES (H)</w:t>
            </w: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ADJUSTMENTS</w:t>
            </w:r>
          </w:p>
        </w:tc>
        <w:tc>
          <w:tcPr>
            <w:tcW w:w="80" w:type="dxa"/>
            <w:vAlign w:val="bottom"/>
          </w:tcPr>
          <w:p>
            <w:pPr>
              <w:spacing w:after="0"/>
              <w:rPr>
                <w:sz w:val="15"/>
                <w:szCs w:val="15"/>
                <w:color w:val="auto"/>
              </w:rPr>
            </w:pPr>
          </w:p>
        </w:tc>
        <w:tc>
          <w:tcPr>
            <w:tcW w:w="96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9"/>
              </w:rPr>
              <w:t>FORMA</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367"/>
        </w:trPr>
        <w:tc>
          <w:tcPr>
            <w:tcW w:w="304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931,126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75,311</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$ 148,804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44,993</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$1,200,234</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Operating charges: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361,049</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31,884</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66,837</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12,979</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472,749</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Salaries and wages............</w:t>
            </w:r>
          </w:p>
        </w:tc>
        <w:tc>
          <w:tcPr>
            <w:tcW w:w="2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329,939</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17,560</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50,890</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20,747</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419,136</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Provision for doubtful</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accounts.......................</w:t>
            </w:r>
          </w:p>
        </w:tc>
        <w:tc>
          <w:tcPr>
            <w:tcW w:w="2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76,905</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6,497</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11,712</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1,707</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96,821</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2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51,371</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6,595</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7,789</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2,132</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67,887</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Lease and rental expense......</w:t>
            </w:r>
          </w:p>
        </w:tc>
        <w:tc>
          <w:tcPr>
            <w:tcW w:w="2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36,068</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151</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605</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205</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37,029</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 net.........</w:t>
            </w:r>
          </w:p>
        </w:tc>
        <w:tc>
          <w:tcPr>
            <w:tcW w:w="2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11,195</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8,904</w:t>
            </w:r>
          </w:p>
        </w:tc>
        <w:tc>
          <w:tcPr>
            <w:tcW w:w="13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4,295(J)</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24,394</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Non-recurring charges.........</w:t>
            </w:r>
          </w:p>
        </w:tc>
        <w:tc>
          <w:tcPr>
            <w:tcW w:w="2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11,610</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2,590</w:t>
            </w:r>
          </w:p>
        </w:tc>
        <w:tc>
          <w:tcPr>
            <w:tcW w:w="13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14,200</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w w:val="95"/>
              </w:rPr>
              <w:t>-------</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3040" w:type="dxa"/>
            <w:vAlign w:val="bottom"/>
          </w:tcPr>
          <w:p>
            <w:pPr>
              <w:ind w:left="480"/>
              <w:spacing w:after="0"/>
              <w:rPr>
                <w:sz w:val="20"/>
                <w:szCs w:val="20"/>
                <w:color w:val="auto"/>
              </w:rPr>
            </w:pPr>
            <w:r>
              <w:rPr>
                <w:rFonts w:ascii="Courier New" w:cs="Courier New" w:eastAsia="Courier New" w:hAnsi="Courier New"/>
                <w:sz w:val="16"/>
                <w:szCs w:val="16"/>
                <w:color w:val="auto"/>
              </w:rPr>
              <w:t>Total expenses............</w:t>
            </w:r>
          </w:p>
        </w:tc>
        <w:tc>
          <w:tcPr>
            <w:tcW w:w="2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878,137</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74,181</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137,833</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37,770</w:t>
            </w:r>
          </w:p>
        </w:tc>
        <w:tc>
          <w:tcPr>
            <w:tcW w:w="24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4,295</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1,132,216</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w w:val="95"/>
              </w:rPr>
              <w:t>-------</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2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52,989</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1,130</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10,971</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7,223</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(4,295)</w:t>
            </w: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68,018</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0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17,505</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822</w:t>
            </w:r>
          </w:p>
        </w:tc>
        <w:tc>
          <w:tcPr>
            <w:tcW w:w="13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1,574</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5,303(K)</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25,204</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w w:val="95"/>
              </w:rPr>
              <w:t>-------</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35,484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308</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10,971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5,649</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(9,598)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42,814</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w w:val="95"/>
              </w:rPr>
              <w:t>-------</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200" w:type="dxa"/>
            <w:vAlign w:val="bottom"/>
          </w:tcPr>
          <w:p>
            <w:pPr>
              <w:jc w:val="right"/>
              <w:ind w:right="461"/>
              <w:spacing w:after="0"/>
              <w:rPr>
                <w:sz w:val="20"/>
                <w:szCs w:val="20"/>
                <w:color w:val="auto"/>
              </w:rPr>
            </w:pPr>
            <w:r>
              <w:rPr>
                <w:rFonts w:ascii="Courier New" w:cs="Courier New" w:eastAsia="Courier New" w:hAnsi="Courier New"/>
                <w:sz w:val="16"/>
                <w:szCs w:val="16"/>
                <w:color w:val="auto"/>
                <w:w w:val="95"/>
              </w:rPr>
              <w:t>-------</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Earnings per common and common</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equivalent share...............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w:t>
            </w: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1.33</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common shares and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equivalents....................</w:t>
            </w: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28,158,000</w:t>
            </w: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32,158,000</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bl>
    <w:p>
      <w:pPr>
        <w:spacing w:after="0" w:line="372" w:lineRule="exact"/>
        <w:rPr>
          <w:sz w:val="20"/>
          <w:szCs w:val="20"/>
          <w:color w:val="auto"/>
        </w:rPr>
      </w:pPr>
    </w:p>
    <w:p>
      <w:pPr>
        <w:ind w:right="3900" w:firstLine="382"/>
        <w:spacing w:after="0" w:line="241" w:lineRule="auto"/>
        <w:rPr>
          <w:sz w:val="20"/>
          <w:szCs w:val="20"/>
          <w:color w:val="auto"/>
        </w:rPr>
      </w:pPr>
      <w:r>
        <w:rPr>
          <w:rFonts w:ascii="Courier New" w:cs="Courier New" w:eastAsia="Courier New" w:hAnsi="Courier New"/>
          <w:sz w:val="16"/>
          <w:szCs w:val="16"/>
          <w:color w:val="auto"/>
        </w:rPr>
        <w:t>Prior to the issuance of the Shares offered hereby and the application of the net proceeds from this Offering to repay debt incurred to fund the 1996 acquisitions, pro forma earnings per share for the year ended December 31, 1995 were $1.38.</w:t>
      </w:r>
    </w:p>
    <w:p>
      <w:pPr>
        <w:spacing w:after="0" w:line="189" w:lineRule="exact"/>
        <w:rPr>
          <w:sz w:val="20"/>
          <w:szCs w:val="20"/>
          <w:color w:val="auto"/>
        </w:rPr>
      </w:pPr>
    </w:p>
    <w:p>
      <w:pPr>
        <w:ind w:right="3820"/>
        <w:spacing w:after="0" w:line="239" w:lineRule="auto"/>
        <w:rPr>
          <w:sz w:val="20"/>
          <w:szCs w:val="20"/>
          <w:color w:val="auto"/>
        </w:rPr>
      </w:pPr>
      <w:r>
        <w:rPr>
          <w:rFonts w:ascii="Courier New" w:cs="Courier New" w:eastAsia="Courier New" w:hAnsi="Courier New"/>
          <w:sz w:val="16"/>
          <w:szCs w:val="16"/>
          <w:color w:val="auto"/>
        </w:rPr>
        <w:t>The accompanying notes and management's assumptions are an integral part of this statement.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1440"/>
          </w:cols>
          <w:pgMar w:left="240" w:top="481" w:right="219" w:bottom="1440" w:gutter="0" w:footer="0" w:header="0"/>
        </w:sectPr>
      </w:pPr>
    </w:p>
    <w:bookmarkStart w:id="15" w:name="page16"/>
    <w:bookmarkEnd w:id="15"/>
    <w:p>
      <w:pPr>
        <w:jc w:val="center"/>
        <w:ind w:right="2679"/>
        <w:spacing w:after="0"/>
        <w:rPr>
          <w:sz w:val="20"/>
          <w:szCs w:val="20"/>
          <w:color w:val="auto"/>
        </w:rPr>
      </w:pPr>
      <w:r>
        <w:rPr>
          <w:rFonts w:ascii="Courier New" w:cs="Courier New" w:eastAsia="Courier New" w:hAnsi="Courier New"/>
          <w:sz w:val="16"/>
          <w:szCs w:val="16"/>
          <w:color w:val="auto"/>
        </w:rPr>
        <w:t>UNIVERSAL HEALTH SERVICES, INC.</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PRO FORMA CONDENSED CONSOLIDATED INCOME STATEMENT</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 THE QUARTER ENDED MARCH 31, 1996</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1996 ACQUISITIONS</w:t>
            </w: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NORTHWEST</w:t>
            </w:r>
          </w:p>
        </w:tc>
        <w:tc>
          <w:tcPr>
            <w:tcW w:w="12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FIRST</w:t>
            </w: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spacing w:after="0"/>
              <w:rPr>
                <w:sz w:val="15"/>
                <w:szCs w:val="15"/>
                <w:color w:val="auto"/>
              </w:rPr>
            </w:pPr>
          </w:p>
        </w:tc>
        <w:tc>
          <w:tcPr>
            <w:tcW w:w="1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THE</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TEXAS</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HOSPITAL</w:t>
            </w:r>
          </w:p>
        </w:tc>
        <w:tc>
          <w:tcPr>
            <w:tcW w:w="144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9"/>
              </w:rPr>
              <w:t>OTHER</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THE</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COMPANY</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HEALTH</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PROPERTIES</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PRO FORMA</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8"/>
              </w:rPr>
              <w:t>COMPANY</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HISTORICAL</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rPr>
              <w:t>(G)</w:t>
            </w:r>
          </w:p>
        </w:tc>
        <w:tc>
          <w:tcPr>
            <w:tcW w:w="1240" w:type="dxa"/>
            <w:vAlign w:val="bottom"/>
          </w:tcPr>
          <w:p>
            <w:pPr>
              <w:ind w:left="440"/>
              <w:spacing w:after="0"/>
              <w:rPr>
                <w:sz w:val="20"/>
                <w:szCs w:val="20"/>
                <w:color w:val="auto"/>
              </w:rPr>
            </w:pPr>
            <w:r>
              <w:rPr>
                <w:rFonts w:ascii="Courier New" w:cs="Courier New" w:eastAsia="Courier New" w:hAnsi="Courier New"/>
                <w:sz w:val="16"/>
                <w:szCs w:val="16"/>
                <w:color w:val="auto"/>
              </w:rPr>
              <w:t>(H)</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ADJUSTMENTS</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9"/>
              </w:rPr>
              <w:t>PRO FORMA</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Revenues............................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$271,616</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$36,369</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$ 12,215</w:t>
            </w:r>
          </w:p>
        </w:tc>
        <w:tc>
          <w:tcPr>
            <w:tcW w:w="14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$320,200</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Operating charges:</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Operating expenses....................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102,335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17,120</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3,605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(245)(I)</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122,815</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Salaries and wages....................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94,500</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12,346</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5,353</w:t>
            </w:r>
          </w:p>
        </w:tc>
        <w:tc>
          <w:tcPr>
            <w:tcW w:w="14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112,199</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Provision for doubtful accounts.......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21,767</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2,726</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367</w:t>
            </w:r>
          </w:p>
        </w:tc>
        <w:tc>
          <w:tcPr>
            <w:tcW w:w="14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24,860</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Depreciation and amortization.........</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14,783</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1,947</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533</w:t>
            </w:r>
          </w:p>
        </w:tc>
        <w:tc>
          <w:tcPr>
            <w:tcW w:w="14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17,263</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Lease and rental expense..............</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9,405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188</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w:t>
            </w:r>
          </w:p>
        </w:tc>
        <w:tc>
          <w:tcPr>
            <w:tcW w:w="14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9,666</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expense, net.................</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4,648</w:t>
            </w: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957(J)</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5,605</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expenses....................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247,438</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34,327</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9,931</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712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292,408</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before income taxes..............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24,178</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2,042</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2,284</w:t>
            </w:r>
          </w:p>
        </w:tc>
        <w:tc>
          <w:tcPr>
            <w:tcW w:w="14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(712)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27,792</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Provision for income taxes..............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8,677</w:t>
            </w: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542</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840(K)</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10,059</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income..............................</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$ 15,501</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$ 2,042</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1,742</w:t>
            </w:r>
          </w:p>
        </w:tc>
        <w:tc>
          <w:tcPr>
            <w:tcW w:w="14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$(1,552)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17,733</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Earnings per common and common</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equivalent share........................</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$0.54</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$0.54</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Weighted average number of common shares</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390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and equivalents.........................</w:t>
            </w: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28,712,000</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32,712,000</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15"/>
                <w:szCs w:val="15"/>
                <w:color w:val="auto"/>
              </w:rPr>
            </w:pPr>
          </w:p>
        </w:tc>
        <w:tc>
          <w:tcPr>
            <w:tcW w:w="1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Prior to the issuance of the Shares offered hereby and the application of the net proceeds from this Offering to repay debt incurred to fund the 1996 acquisitions, pro forma earnings per share for the quarter ended March 31, 1996 were $.59.</w:t>
      </w:r>
    </w:p>
    <w:p>
      <w:pPr>
        <w:spacing w:after="0" w:line="189"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The accompanying notes and management's assumptions are an integral part of this statement.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81" w:right="1440" w:bottom="1440" w:gutter="0" w:footer="0" w:header="0"/>
        </w:sectPr>
      </w:pPr>
    </w:p>
    <w:bookmarkStart w:id="16" w:name="page17"/>
    <w:bookmarkEnd w:id="16"/>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NOTES TO MANAGEMENT'S ASSUMPTIONS TO UNAUDITED</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PRO FORMA CONDENSED CONSOLIDATED FINANCIAL STATEMENTS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NORTHWEST TEXAS HEALTH ACQUISITION:</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40" w:type="dxa"/>
            <w:vAlign w:val="bottom"/>
            <w:gridSpan w:val="3"/>
          </w:tcPr>
          <w:p>
            <w:pPr>
              <w:ind w:left="720"/>
              <w:spacing w:after="0"/>
              <w:rPr>
                <w:sz w:val="20"/>
                <w:szCs w:val="20"/>
                <w:color w:val="auto"/>
              </w:rPr>
            </w:pPr>
            <w:r>
              <w:rPr>
                <w:rFonts w:ascii="Courier New" w:cs="Courier New" w:eastAsia="Courier New" w:hAnsi="Courier New"/>
                <w:sz w:val="16"/>
                <w:szCs w:val="16"/>
                <w:color w:val="auto"/>
              </w:rPr>
              <w:t>PRO FORMA ADJUSTMENTS</w:t>
            </w: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4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NORTHWEST</w:t>
            </w:r>
          </w:p>
        </w:tc>
        <w:tc>
          <w:tcPr>
            <w:tcW w:w="1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6"/>
                <w:szCs w:val="16"/>
                <w:color w:val="auto"/>
              </w:rPr>
              <w:t>TEXAS</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ASSETS AND</w:t>
            </w:r>
          </w:p>
        </w:tc>
        <w:tc>
          <w:tcPr>
            <w:tcW w:w="14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ALLOCATION</w:t>
            </w:r>
          </w:p>
        </w:tc>
        <w:tc>
          <w:tcPr>
            <w:tcW w:w="12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NORTHWEST</w:t>
            </w:r>
          </w:p>
        </w:tc>
      </w:tr>
      <w:tr>
        <w:trPr>
          <w:trHeight w:val="183"/>
        </w:trPr>
        <w:tc>
          <w:tcPr>
            <w:tcW w:w="4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6"/>
                <w:szCs w:val="16"/>
                <w:color w:val="auto"/>
              </w:rPr>
              <w:t>HEALTH</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LIABILITIES</w:t>
            </w:r>
          </w:p>
        </w:tc>
        <w:tc>
          <w:tcPr>
            <w:tcW w:w="14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OF PURCHASE</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TEXAS HEALTH</w:t>
            </w: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HISTORICAL(1)</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NOT ACQUIRED(2)</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PRICE(3)(4)</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ACQUISITION</w:t>
            </w: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140" w:type="dxa"/>
            <w:vAlign w:val="bottom"/>
          </w:tcPr>
          <w:p>
            <w:pPr>
              <w:jc w:val="right"/>
              <w:ind w:right="3201"/>
              <w:spacing w:after="0"/>
              <w:rPr>
                <w:sz w:val="20"/>
                <w:szCs w:val="20"/>
                <w:color w:val="auto"/>
              </w:rPr>
            </w:pPr>
            <w:r>
              <w:rPr>
                <w:rFonts w:ascii="Courier New" w:cs="Courier New" w:eastAsia="Courier New" w:hAnsi="Courier New"/>
                <w:sz w:val="16"/>
                <w:szCs w:val="16"/>
                <w:color w:val="auto"/>
              </w:rPr>
              <w:t>ASSETS</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41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Cash and cash equivalents...............</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33,200</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$(33,200)</w:t>
            </w:r>
          </w:p>
        </w:tc>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(125,565)</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(125,565)</w:t>
            </w: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Accounts receivable, net................</w:t>
            </w:r>
          </w:p>
        </w:tc>
        <w:tc>
          <w:tcPr>
            <w:tcW w:w="54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16,764</w:t>
            </w:r>
          </w:p>
        </w:tc>
        <w:tc>
          <w:tcPr>
            <w:tcW w:w="1960" w:type="dxa"/>
            <w:vAlign w:val="bottom"/>
          </w:tcPr>
          <w:p>
            <w:pPr>
              <w:ind w:left="72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16,764</w:t>
            </w: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current assets....................</w:t>
            </w:r>
          </w:p>
        </w:tc>
        <w:tc>
          <w:tcPr>
            <w:tcW w:w="54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46,518</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(36,702)</w:t>
            </w:r>
          </w:p>
        </w:tc>
        <w:tc>
          <w:tcPr>
            <w:tcW w:w="440" w:type="dxa"/>
            <w:vAlign w:val="bottom"/>
          </w:tcPr>
          <w:p>
            <w:pPr>
              <w:spacing w:after="0"/>
              <w:rPr>
                <w:sz w:val="15"/>
                <w:szCs w:val="15"/>
                <w:color w:val="auto"/>
              </w:rPr>
            </w:pPr>
          </w:p>
        </w:tc>
        <w:tc>
          <w:tcPr>
            <w:tcW w:w="1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9,816</w:t>
            </w: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CURRENT ASSETS................</w:t>
            </w:r>
          </w:p>
        </w:tc>
        <w:tc>
          <w:tcPr>
            <w:tcW w:w="54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96,482</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(69,902)</w:t>
            </w:r>
          </w:p>
        </w:tc>
        <w:tc>
          <w:tcPr>
            <w:tcW w:w="4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(125,565)</w:t>
            </w: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(98,985)</w:t>
            </w: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Property and equipment, net...............</w:t>
            </w:r>
          </w:p>
        </w:tc>
        <w:tc>
          <w:tcPr>
            <w:tcW w:w="54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65,176</w:t>
            </w:r>
          </w:p>
        </w:tc>
        <w:tc>
          <w:tcPr>
            <w:tcW w:w="1960" w:type="dxa"/>
            <w:vAlign w:val="bottom"/>
          </w:tcPr>
          <w:p>
            <w:pPr>
              <w:ind w:left="72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20,609</w:t>
            </w:r>
          </w:p>
        </w:tc>
        <w:tc>
          <w:tcPr>
            <w:tcW w:w="4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85,785</w:t>
            </w:r>
          </w:p>
        </w:tc>
      </w:tr>
      <w:tr>
        <w:trPr>
          <w:trHeight w:val="183"/>
        </w:trPr>
        <w:tc>
          <w:tcPr>
            <w:tcW w:w="41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Excess of cost over fair value of net</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tangible assets acquired..................</w:t>
            </w:r>
          </w:p>
        </w:tc>
        <w:tc>
          <w:tcPr>
            <w:tcW w:w="5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ind w:left="72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22,362</w:t>
            </w:r>
          </w:p>
        </w:tc>
        <w:tc>
          <w:tcPr>
            <w:tcW w:w="4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22,362</w:t>
            </w: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charges and other..............</w:t>
            </w:r>
          </w:p>
        </w:tc>
        <w:tc>
          <w:tcPr>
            <w:tcW w:w="54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4,132</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(4,132)</w:t>
            </w:r>
          </w:p>
        </w:tc>
        <w:tc>
          <w:tcPr>
            <w:tcW w:w="440" w:type="dxa"/>
            <w:vAlign w:val="bottom"/>
          </w:tcPr>
          <w:p>
            <w:pPr>
              <w:spacing w:after="0"/>
              <w:rPr>
                <w:sz w:val="15"/>
                <w:szCs w:val="15"/>
                <w:color w:val="auto"/>
              </w:rPr>
            </w:pPr>
          </w:p>
        </w:tc>
        <w:tc>
          <w:tcPr>
            <w:tcW w:w="1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ASSETS........................</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165,790</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$(74,034)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(82,594)</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9,162</w:t>
            </w: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LIABILITIES AND STOCKHOLDERS' EQUITY</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Current maturities of debt..............</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1,375</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(1,375)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Accounts payable and accrued expenses...</w:t>
            </w:r>
          </w:p>
        </w:tc>
        <w:tc>
          <w:tcPr>
            <w:tcW w:w="54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14,954</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(5,792)</w:t>
            </w:r>
          </w:p>
        </w:tc>
        <w:tc>
          <w:tcPr>
            <w:tcW w:w="440" w:type="dxa"/>
            <w:vAlign w:val="bottom"/>
          </w:tcPr>
          <w:p>
            <w:pPr>
              <w:spacing w:after="0"/>
              <w:rPr>
                <w:sz w:val="15"/>
                <w:szCs w:val="15"/>
                <w:color w:val="auto"/>
              </w:rPr>
            </w:pPr>
          </w:p>
        </w:tc>
        <w:tc>
          <w:tcPr>
            <w:tcW w:w="1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9,162</w:t>
            </w: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CURRENT LIABILITIES...........</w:t>
            </w:r>
          </w:p>
        </w:tc>
        <w:tc>
          <w:tcPr>
            <w:tcW w:w="54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16,329</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(7,167)</w:t>
            </w:r>
          </w:p>
        </w:tc>
        <w:tc>
          <w:tcPr>
            <w:tcW w:w="440" w:type="dxa"/>
            <w:vAlign w:val="bottom"/>
          </w:tcPr>
          <w:p>
            <w:pPr>
              <w:spacing w:after="0"/>
              <w:rPr>
                <w:sz w:val="15"/>
                <w:szCs w:val="15"/>
                <w:color w:val="auto"/>
              </w:rPr>
            </w:pPr>
          </w:p>
        </w:tc>
        <w:tc>
          <w:tcPr>
            <w:tcW w:w="1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9,162</w:t>
            </w: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Other non-current liabilities.............</w:t>
            </w:r>
          </w:p>
        </w:tc>
        <w:tc>
          <w:tcPr>
            <w:tcW w:w="54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592</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(592)</w:t>
            </w:r>
          </w:p>
        </w:tc>
        <w:tc>
          <w:tcPr>
            <w:tcW w:w="440" w:type="dxa"/>
            <w:vAlign w:val="bottom"/>
          </w:tcPr>
          <w:p>
            <w:pPr>
              <w:spacing w:after="0"/>
              <w:rPr>
                <w:sz w:val="15"/>
                <w:szCs w:val="15"/>
                <w:color w:val="auto"/>
              </w:rPr>
            </w:pPr>
          </w:p>
        </w:tc>
        <w:tc>
          <w:tcPr>
            <w:tcW w:w="1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spacing w:after="0"/>
              <w:rPr>
                <w:sz w:val="20"/>
                <w:szCs w:val="20"/>
                <w:color w:val="auto"/>
              </w:rPr>
            </w:pPr>
            <w:r>
              <w:rPr>
                <w:rFonts w:ascii="Courier New" w:cs="Courier New" w:eastAsia="Courier New" w:hAnsi="Courier New"/>
                <w:sz w:val="16"/>
                <w:szCs w:val="16"/>
                <w:color w:val="auto"/>
              </w:rPr>
              <w:t>Long-term debt, net of current</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maturities................................</w:t>
            </w:r>
          </w:p>
        </w:tc>
        <w:tc>
          <w:tcPr>
            <w:tcW w:w="54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6,205</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(6,205)</w:t>
            </w:r>
          </w:p>
        </w:tc>
        <w:tc>
          <w:tcPr>
            <w:tcW w:w="440" w:type="dxa"/>
            <w:vAlign w:val="bottom"/>
          </w:tcPr>
          <w:p>
            <w:pPr>
              <w:spacing w:after="0"/>
              <w:rPr>
                <w:sz w:val="15"/>
                <w:szCs w:val="15"/>
                <w:color w:val="auto"/>
              </w:rPr>
            </w:pPr>
          </w:p>
        </w:tc>
        <w:tc>
          <w:tcPr>
            <w:tcW w:w="10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Common stockholders' equity...............</w:t>
            </w:r>
          </w:p>
        </w:tc>
        <w:tc>
          <w:tcPr>
            <w:tcW w:w="54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142,664</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(60,070)</w:t>
            </w:r>
          </w:p>
        </w:tc>
        <w:tc>
          <w:tcPr>
            <w:tcW w:w="4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(82,594)</w:t>
            </w:r>
          </w:p>
        </w:tc>
        <w:tc>
          <w:tcPr>
            <w:tcW w:w="440" w:type="dxa"/>
            <w:vAlign w:val="bottom"/>
          </w:tcPr>
          <w:p>
            <w:pPr>
              <w:spacing w:after="0"/>
              <w:rPr>
                <w:sz w:val="15"/>
                <w:szCs w:val="15"/>
                <w:color w:val="auto"/>
              </w:rPr>
            </w:pPr>
          </w:p>
        </w:tc>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TOTAL LIABILITIES AND STOCKHOLDERS'</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4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EQUITY....................................</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165,790</w:t>
            </w:r>
          </w:p>
        </w:tc>
        <w:tc>
          <w:tcPr>
            <w:tcW w:w="1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$(74,034)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(82,594)</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9,162</w:t>
            </w: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4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420" w:right="3900" w:hanging="379"/>
        <w:spacing w:after="0" w:line="239" w:lineRule="auto"/>
        <w:tabs>
          <w:tab w:leader="none" w:pos="1400" w:val="left"/>
        </w:tabs>
        <w:rPr>
          <w:sz w:val="20"/>
          <w:szCs w:val="20"/>
          <w:color w:val="auto"/>
        </w:rPr>
      </w:pPr>
      <w:r>
        <w:rPr>
          <w:rFonts w:ascii="Courier New" w:cs="Courier New" w:eastAsia="Courier New" w:hAnsi="Courier New"/>
          <w:sz w:val="16"/>
          <w:szCs w:val="16"/>
          <w:color w:val="auto"/>
        </w:rPr>
        <w:t>(1)</w:t>
        <w:tab/>
        <w:t>To reflect the historical cost basis of the assets and liabilities of the Northwest Texas</w:t>
      </w:r>
    </w:p>
    <w:p>
      <w:pPr>
        <w:spacing w:after="0" w:line="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Healthcare System.</w:t>
      </w:r>
    </w:p>
    <w:p>
      <w:pPr>
        <w:spacing w:after="0" w:line="188" w:lineRule="exact"/>
        <w:rPr>
          <w:sz w:val="20"/>
          <w:szCs w:val="20"/>
          <w:color w:val="auto"/>
        </w:rPr>
      </w:pPr>
    </w:p>
    <w:p>
      <w:pPr>
        <w:ind w:left="1420" w:right="3620" w:hanging="379"/>
        <w:spacing w:after="0" w:line="239" w:lineRule="auto"/>
        <w:tabs>
          <w:tab w:leader="none" w:pos="1400" w:val="left"/>
        </w:tabs>
        <w:rPr>
          <w:sz w:val="20"/>
          <w:szCs w:val="20"/>
          <w:color w:val="auto"/>
        </w:rPr>
      </w:pPr>
      <w:r>
        <w:rPr>
          <w:rFonts w:ascii="Courier New" w:cs="Courier New" w:eastAsia="Courier New" w:hAnsi="Courier New"/>
          <w:sz w:val="16"/>
          <w:szCs w:val="16"/>
          <w:color w:val="auto"/>
        </w:rPr>
        <w:t>(2)</w:t>
        <w:tab/>
        <w:t>To eliminate assets and liabilities not being acquired or assumed.</w:t>
      </w:r>
    </w:p>
    <w:p>
      <w:pPr>
        <w:spacing w:after="0" w:line="189" w:lineRule="exact"/>
        <w:rPr>
          <w:sz w:val="20"/>
          <w:szCs w:val="20"/>
          <w:color w:val="auto"/>
        </w:rPr>
      </w:pPr>
    </w:p>
    <w:p>
      <w:pPr>
        <w:ind w:left="1420" w:right="3720" w:hanging="379"/>
        <w:spacing w:after="0" w:line="239" w:lineRule="auto"/>
        <w:tabs>
          <w:tab w:leader="none" w:pos="1400" w:val="left"/>
        </w:tabs>
        <w:rPr>
          <w:sz w:val="20"/>
          <w:szCs w:val="20"/>
          <w:color w:val="auto"/>
        </w:rPr>
      </w:pPr>
      <w:r>
        <w:rPr>
          <w:rFonts w:ascii="Courier New" w:cs="Courier New" w:eastAsia="Courier New" w:hAnsi="Courier New"/>
          <w:sz w:val="16"/>
          <w:szCs w:val="16"/>
          <w:color w:val="auto"/>
        </w:rPr>
        <w:t>(3)</w:t>
        <w:tab/>
        <w:t>To allocate purchase price based on fair value of assets acquired, and liabilities assumed.</w:t>
      </w:r>
    </w:p>
    <w:p>
      <w:pPr>
        <w:spacing w:after="0" w:line="189" w:lineRule="exact"/>
        <w:rPr>
          <w:sz w:val="20"/>
          <w:szCs w:val="20"/>
          <w:color w:val="auto"/>
        </w:rPr>
      </w:pPr>
    </w:p>
    <w:p>
      <w:pPr>
        <w:ind w:left="1420" w:right="3720" w:hanging="379"/>
        <w:spacing w:after="0" w:line="239" w:lineRule="auto"/>
        <w:tabs>
          <w:tab w:leader="none" w:pos="1400" w:val="left"/>
        </w:tabs>
        <w:rPr>
          <w:sz w:val="20"/>
          <w:szCs w:val="20"/>
          <w:color w:val="auto"/>
        </w:rPr>
      </w:pPr>
      <w:r>
        <w:rPr>
          <w:rFonts w:ascii="Courier New" w:cs="Courier New" w:eastAsia="Courier New" w:hAnsi="Courier New"/>
          <w:sz w:val="16"/>
          <w:szCs w:val="16"/>
          <w:color w:val="auto"/>
        </w:rPr>
        <w:t>(4)</w:t>
        <w:tab/>
        <w:t>The allocation of the purchase price excludes contingent consideration.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480"/>
          </w:cols>
          <w:pgMar w:left="240" w:top="481" w:right="1179" w:bottom="1440" w:gutter="0" w:footer="0" w:header="0"/>
        </w:sectPr>
      </w:pPr>
    </w:p>
    <w:bookmarkStart w:id="17" w:name="page18"/>
    <w:bookmarkEnd w:id="17"/>
    <w:tbl>
      <w:tblPr>
        <w:tblLayout w:type="fixed"/>
        <w:tblInd w:w="2" w:type="dxa"/>
        <w:tblCellMar>
          <w:top w:w="0" w:type="dxa"/>
          <w:left w:w="0" w:type="dxa"/>
          <w:bottom w:w="0" w:type="dxa"/>
          <w:right w:w="0" w:type="dxa"/>
        </w:tblCellMar>
      </w:tblPr>
      <w:tr>
        <w:trPr>
          <w:trHeight w:val="181"/>
        </w:trPr>
        <w:tc>
          <w:tcPr>
            <w:tcW w:w="6580" w:type="dxa"/>
            <w:vAlign w:val="bottom"/>
            <w:gridSpan w:val="4"/>
          </w:tcPr>
          <w:p>
            <w:pPr>
              <w:jc w:val="center"/>
              <w:ind w:left="961"/>
              <w:spacing w:after="0"/>
              <w:rPr>
                <w:sz w:val="20"/>
                <w:szCs w:val="20"/>
                <w:color w:val="auto"/>
              </w:rPr>
            </w:pPr>
            <w:r>
              <w:rPr>
                <w:rFonts w:ascii="Courier New" w:cs="Courier New" w:eastAsia="Courier New" w:hAnsi="Courier New"/>
                <w:sz w:val="16"/>
                <w:szCs w:val="16"/>
                <w:color w:val="auto"/>
                <w:w w:val="99"/>
              </w:rPr>
              <w:t>UNIVERSAL HEALTH SERVICES, INC. AND SUBSIDIARIES</w:t>
            </w: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6580" w:type="dxa"/>
            <w:vAlign w:val="bottom"/>
            <w:gridSpan w:val="4"/>
          </w:tcPr>
          <w:p>
            <w:pPr>
              <w:jc w:val="center"/>
              <w:ind w:left="961"/>
              <w:spacing w:after="0"/>
              <w:rPr>
                <w:sz w:val="20"/>
                <w:szCs w:val="20"/>
                <w:color w:val="auto"/>
              </w:rPr>
            </w:pPr>
            <w:r>
              <w:rPr>
                <w:rFonts w:ascii="Courier New" w:cs="Courier New" w:eastAsia="Courier New" w:hAnsi="Courier New"/>
                <w:sz w:val="16"/>
                <w:szCs w:val="16"/>
                <w:color w:val="auto"/>
                <w:w w:val="99"/>
              </w:rPr>
              <w:t>NOTES TO MANAGEMENT'S ASSUMPTIONS TO UNAUDITED</w:t>
            </w: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PRO FORMA CONDENSED CONSOLIDATED FINANCIAL STATEMENTS--</w:t>
            </w:r>
          </w:p>
        </w:tc>
        <w:tc>
          <w:tcPr>
            <w:tcW w:w="190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w w:val="96"/>
              </w:rPr>
              <w:t>(CONTINUED)</w:t>
            </w: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67"/>
        </w:trPr>
        <w:tc>
          <w:tcPr>
            <w:tcW w:w="4440" w:type="dxa"/>
            <w:vAlign w:val="bottom"/>
          </w:tcPr>
          <w:p>
            <w:pPr>
              <w:spacing w:after="0"/>
              <w:rPr>
                <w:sz w:val="20"/>
                <w:szCs w:val="20"/>
                <w:color w:val="auto"/>
              </w:rPr>
            </w:pPr>
            <w:r>
              <w:rPr>
                <w:rFonts w:ascii="Courier New" w:cs="Courier New" w:eastAsia="Courier New" w:hAnsi="Courier New"/>
                <w:sz w:val="16"/>
                <w:szCs w:val="16"/>
                <w:color w:val="auto"/>
              </w:rPr>
              <w:t>(B) FIRST HOSPITAL PROPERTIES ACQUISITION:</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734"/>
        </w:trPr>
        <w:tc>
          <w:tcPr>
            <w:tcW w:w="4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w w:val="98"/>
              </w:rPr>
              <w:t>PRO FORMA ADJUSTMENTS</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4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2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FIRST</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FIRST</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321"/>
              <w:spacing w:after="0"/>
              <w:rPr>
                <w:sz w:val="20"/>
                <w:szCs w:val="20"/>
                <w:color w:val="auto"/>
              </w:rPr>
            </w:pPr>
            <w:r>
              <w:rPr>
                <w:rFonts w:ascii="Courier New" w:cs="Courier New" w:eastAsia="Courier New" w:hAnsi="Courier New"/>
                <w:sz w:val="16"/>
                <w:szCs w:val="16"/>
                <w:color w:val="auto"/>
              </w:rPr>
              <w:t>HOSPITAL</w:t>
            </w:r>
          </w:p>
        </w:tc>
        <w:tc>
          <w:tcPr>
            <w:tcW w:w="19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ASSETS AND</w:t>
            </w:r>
          </w:p>
        </w:tc>
        <w:tc>
          <w:tcPr>
            <w:tcW w:w="1420" w:type="dxa"/>
            <w:vAlign w:val="bottom"/>
          </w:tcPr>
          <w:p>
            <w:pPr>
              <w:ind w:left="180"/>
              <w:spacing w:after="0"/>
              <w:rPr>
                <w:sz w:val="20"/>
                <w:szCs w:val="20"/>
                <w:color w:val="auto"/>
              </w:rPr>
            </w:pPr>
            <w:r>
              <w:rPr>
                <w:rFonts w:ascii="Courier New" w:cs="Courier New" w:eastAsia="Courier New" w:hAnsi="Courier New"/>
                <w:sz w:val="16"/>
                <w:szCs w:val="16"/>
                <w:color w:val="auto"/>
              </w:rPr>
              <w:t>ALLOCATION</w:t>
            </w:r>
          </w:p>
        </w:tc>
        <w:tc>
          <w:tcPr>
            <w:tcW w:w="12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HOSPITAL</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PROPERTIES</w:t>
            </w:r>
          </w:p>
        </w:tc>
        <w:tc>
          <w:tcPr>
            <w:tcW w:w="19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LIABILITIES</w:t>
            </w:r>
          </w:p>
        </w:tc>
        <w:tc>
          <w:tcPr>
            <w:tcW w:w="1420" w:type="dxa"/>
            <w:vAlign w:val="bottom"/>
          </w:tcPr>
          <w:p>
            <w:pPr>
              <w:ind w:left="180"/>
              <w:spacing w:after="0"/>
              <w:rPr>
                <w:sz w:val="20"/>
                <w:szCs w:val="20"/>
                <w:color w:val="auto"/>
              </w:rPr>
            </w:pPr>
            <w:r>
              <w:rPr>
                <w:rFonts w:ascii="Courier New" w:cs="Courier New" w:eastAsia="Courier New" w:hAnsi="Courier New"/>
                <w:sz w:val="16"/>
                <w:szCs w:val="16"/>
                <w:color w:val="auto"/>
              </w:rPr>
              <w:t>OF PURCHASE</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PROPERTIES</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HISTORICAL(1)</w:t>
            </w:r>
          </w:p>
        </w:tc>
        <w:tc>
          <w:tcPr>
            <w:tcW w:w="19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NOT ACQUIRED(2)</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PRICE(3)(4)</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ACQUISITION</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440" w:type="dxa"/>
            <w:vAlign w:val="bottom"/>
          </w:tcPr>
          <w:p>
            <w:pPr>
              <w:jc w:val="right"/>
              <w:ind w:right="3501"/>
              <w:spacing w:after="0"/>
              <w:rPr>
                <w:sz w:val="20"/>
                <w:szCs w:val="20"/>
                <w:color w:val="auto"/>
              </w:rPr>
            </w:pPr>
            <w:r>
              <w:rPr>
                <w:rFonts w:ascii="Courier New" w:cs="Courier New" w:eastAsia="Courier New" w:hAnsi="Courier New"/>
                <w:sz w:val="16"/>
                <w:szCs w:val="16"/>
                <w:color w:val="auto"/>
              </w:rPr>
              <w:t>ASSETS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Cash and cash equivalents..................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522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(522)</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(46,500)</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(46,500)</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Accounts receivable, net...................</w:t>
            </w:r>
          </w:p>
        </w:tc>
        <w:tc>
          <w:tcPr>
            <w:tcW w:w="520" w:type="dxa"/>
            <w:vAlign w:val="bottom"/>
          </w:tcPr>
          <w:p>
            <w:pPr>
              <w:spacing w:after="0"/>
              <w:rPr>
                <w:sz w:val="15"/>
                <w:szCs w:val="15"/>
                <w:color w:val="auto"/>
              </w:rPr>
            </w:pP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3"/>
              </w:rPr>
              <w:t>10,435</w:t>
            </w:r>
          </w:p>
        </w:tc>
        <w:tc>
          <w:tcPr>
            <w:tcW w:w="6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(1,336)</w:t>
            </w: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9,099</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Other current assets.......................</w:t>
            </w:r>
          </w:p>
        </w:tc>
        <w:tc>
          <w:tcPr>
            <w:tcW w:w="520" w:type="dxa"/>
            <w:vAlign w:val="bottom"/>
          </w:tcPr>
          <w:p>
            <w:pPr>
              <w:spacing w:after="0"/>
              <w:rPr>
                <w:sz w:val="15"/>
                <w:szCs w:val="15"/>
                <w:color w:val="auto"/>
              </w:rPr>
            </w:pP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8,245</w:t>
            </w:r>
          </w:p>
        </w:tc>
        <w:tc>
          <w:tcPr>
            <w:tcW w:w="6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(7,485)</w:t>
            </w: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760</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TOTAL CURRENT ASSETS...................</w:t>
            </w:r>
          </w:p>
        </w:tc>
        <w:tc>
          <w:tcPr>
            <w:tcW w:w="520" w:type="dxa"/>
            <w:vAlign w:val="bottom"/>
          </w:tcPr>
          <w:p>
            <w:pPr>
              <w:spacing w:after="0"/>
              <w:rPr>
                <w:sz w:val="15"/>
                <w:szCs w:val="15"/>
                <w:color w:val="auto"/>
              </w:rPr>
            </w:pP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3"/>
              </w:rPr>
              <w:t>19,202</w:t>
            </w:r>
          </w:p>
        </w:tc>
        <w:tc>
          <w:tcPr>
            <w:tcW w:w="6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(9,343)</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(46,500)</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(36,641)</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Property and equipment, net..................</w:t>
            </w:r>
          </w:p>
        </w:tc>
        <w:tc>
          <w:tcPr>
            <w:tcW w:w="520" w:type="dxa"/>
            <w:vAlign w:val="bottom"/>
          </w:tcPr>
          <w:p>
            <w:pPr>
              <w:spacing w:after="0"/>
              <w:rPr>
                <w:sz w:val="15"/>
                <w:szCs w:val="15"/>
                <w:color w:val="auto"/>
              </w:rPr>
            </w:pP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3"/>
              </w:rPr>
              <w:t>20,234</w:t>
            </w:r>
          </w:p>
        </w:tc>
        <w:tc>
          <w:tcPr>
            <w:tcW w:w="660" w:type="dxa"/>
            <w:vAlign w:val="bottom"/>
          </w:tcPr>
          <w:p>
            <w:pPr>
              <w:spacing w:after="0"/>
              <w:rPr>
                <w:sz w:val="15"/>
                <w:szCs w:val="15"/>
                <w:color w:val="auto"/>
              </w:rPr>
            </w:pPr>
          </w:p>
        </w:tc>
        <w:tc>
          <w:tcPr>
            <w:tcW w:w="124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11,766</w:t>
            </w:r>
          </w:p>
        </w:tc>
        <w:tc>
          <w:tcPr>
            <w:tcW w:w="4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32,000</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Excess of cost over fair value of net</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tangible assets acquired.................</w:t>
            </w:r>
          </w:p>
        </w:tc>
        <w:tc>
          <w:tcPr>
            <w:tcW w:w="52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4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w:t>
            </w:r>
          </w:p>
        </w:tc>
        <w:tc>
          <w:tcPr>
            <w:tcW w:w="4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1,500</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Deferred charges and other.................</w:t>
            </w:r>
          </w:p>
        </w:tc>
        <w:tc>
          <w:tcPr>
            <w:tcW w:w="520" w:type="dxa"/>
            <w:vAlign w:val="bottom"/>
          </w:tcPr>
          <w:p>
            <w:pPr>
              <w:spacing w:after="0"/>
              <w:rPr>
                <w:sz w:val="15"/>
                <w:szCs w:val="15"/>
                <w:color w:val="auto"/>
              </w:rPr>
            </w:pP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9,933</w:t>
            </w:r>
          </w:p>
        </w:tc>
        <w:tc>
          <w:tcPr>
            <w:tcW w:w="6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(9,933)</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7,000</w:t>
            </w:r>
          </w:p>
        </w:tc>
        <w:tc>
          <w:tcPr>
            <w:tcW w:w="4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7,000</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TOTAL ASSETS...........................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3"/>
              </w:rPr>
              <w:t>49,369</w:t>
            </w:r>
          </w:p>
        </w:tc>
        <w:tc>
          <w:tcPr>
            <w:tcW w:w="19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(19,276)</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(26,234)</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3,859</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LIABILITIES AND STOCKHOLDERS' EQUITY</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Current maturities of debt.................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2,486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(2,486)</w:t>
            </w: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  --</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Accounts payable and accrued expenses......</w:t>
            </w:r>
          </w:p>
        </w:tc>
        <w:tc>
          <w:tcPr>
            <w:tcW w:w="520" w:type="dxa"/>
            <w:vAlign w:val="bottom"/>
          </w:tcPr>
          <w:p>
            <w:pPr>
              <w:spacing w:after="0"/>
              <w:rPr>
                <w:sz w:val="15"/>
                <w:szCs w:val="15"/>
                <w:color w:val="auto"/>
              </w:rPr>
            </w:pP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7,636</w:t>
            </w:r>
          </w:p>
        </w:tc>
        <w:tc>
          <w:tcPr>
            <w:tcW w:w="6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(3,777)</w:t>
            </w: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3,859</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TOTAL CURRENT LIABILITIES..............</w:t>
            </w:r>
          </w:p>
        </w:tc>
        <w:tc>
          <w:tcPr>
            <w:tcW w:w="520" w:type="dxa"/>
            <w:vAlign w:val="bottom"/>
          </w:tcPr>
          <w:p>
            <w:pPr>
              <w:spacing w:after="0"/>
              <w:rPr>
                <w:sz w:val="15"/>
                <w:szCs w:val="15"/>
                <w:color w:val="auto"/>
              </w:rPr>
            </w:pP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3"/>
              </w:rPr>
              <w:t>10,122</w:t>
            </w:r>
          </w:p>
        </w:tc>
        <w:tc>
          <w:tcPr>
            <w:tcW w:w="6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(6,263)</w:t>
            </w: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3,859</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Other non-current liabilities................</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Long-term debt, net of current maturities....</w:t>
            </w:r>
          </w:p>
        </w:tc>
        <w:tc>
          <w:tcPr>
            <w:tcW w:w="520" w:type="dxa"/>
            <w:vAlign w:val="bottom"/>
          </w:tcPr>
          <w:p>
            <w:pPr>
              <w:spacing w:after="0"/>
              <w:rPr>
                <w:sz w:val="15"/>
                <w:szCs w:val="15"/>
                <w:color w:val="auto"/>
              </w:rPr>
            </w:pP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3"/>
              </w:rPr>
              <w:t>15,434</w:t>
            </w:r>
          </w:p>
        </w:tc>
        <w:tc>
          <w:tcPr>
            <w:tcW w:w="6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(15,434)</w:t>
            </w: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Common stockholders' equity..................</w:t>
            </w:r>
          </w:p>
        </w:tc>
        <w:tc>
          <w:tcPr>
            <w:tcW w:w="520" w:type="dxa"/>
            <w:vAlign w:val="bottom"/>
          </w:tcPr>
          <w:p>
            <w:pPr>
              <w:spacing w:after="0"/>
              <w:rPr>
                <w:sz w:val="15"/>
                <w:szCs w:val="15"/>
                <w:color w:val="auto"/>
              </w:rPr>
            </w:pP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3"/>
              </w:rPr>
              <w:t>23,813</w:t>
            </w:r>
          </w:p>
        </w:tc>
        <w:tc>
          <w:tcPr>
            <w:tcW w:w="66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2,421</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(26,234)</w:t>
            </w:r>
          </w:p>
        </w:tc>
        <w:tc>
          <w:tcPr>
            <w:tcW w:w="440" w:type="dxa"/>
            <w:vAlign w:val="bottom"/>
          </w:tcPr>
          <w:p>
            <w:pPr>
              <w:spacing w:after="0"/>
              <w:rPr>
                <w:sz w:val="15"/>
                <w:szCs w:val="15"/>
                <w:color w:val="auto"/>
              </w:rPr>
            </w:pPr>
          </w:p>
        </w:tc>
        <w:tc>
          <w:tcPr>
            <w:tcW w:w="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TOTAL LIABILITIES AND STOCKHOLDERS'</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EQUITY.......................................</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3"/>
              </w:rPr>
              <w:t>49,369</w:t>
            </w:r>
          </w:p>
        </w:tc>
        <w:tc>
          <w:tcPr>
            <w:tcW w:w="19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(19,276)</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(26,234)</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3,859</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15"/>
                <w:szCs w:val="15"/>
                <w:color w:val="auto"/>
              </w:rPr>
            </w:pP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182" w:hanging="182"/>
        <w:spacing w:after="0"/>
        <w:tabs>
          <w:tab w:leader="none" w:pos="1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422" w:right="3900" w:hanging="373"/>
        <w:spacing w:after="0" w:line="239" w:lineRule="auto"/>
        <w:tabs>
          <w:tab w:leader="none" w:pos="142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historical cost basis of the assets and liabilities of the First Hospital Properties.</w:t>
      </w:r>
    </w:p>
    <w:p>
      <w:pPr>
        <w:spacing w:after="0" w:line="189" w:lineRule="exact"/>
        <w:rPr>
          <w:rFonts w:ascii="Courier New" w:cs="Courier New" w:eastAsia="Courier New" w:hAnsi="Courier New"/>
          <w:sz w:val="16"/>
          <w:szCs w:val="16"/>
          <w:color w:val="auto"/>
        </w:rPr>
      </w:pPr>
    </w:p>
    <w:p>
      <w:pPr>
        <w:ind w:left="1422" w:right="3620" w:hanging="373"/>
        <w:spacing w:after="0" w:line="239" w:lineRule="auto"/>
        <w:tabs>
          <w:tab w:leader="none" w:pos="142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assets and liabilities not being acquired or assumed.</w:t>
      </w:r>
    </w:p>
    <w:p>
      <w:pPr>
        <w:spacing w:after="0" w:line="189" w:lineRule="exact"/>
        <w:rPr>
          <w:rFonts w:ascii="Courier New" w:cs="Courier New" w:eastAsia="Courier New" w:hAnsi="Courier New"/>
          <w:sz w:val="16"/>
          <w:szCs w:val="16"/>
          <w:color w:val="auto"/>
        </w:rPr>
      </w:pPr>
    </w:p>
    <w:p>
      <w:pPr>
        <w:ind w:left="1422" w:right="3720" w:hanging="373"/>
        <w:spacing w:after="0" w:line="239" w:lineRule="auto"/>
        <w:tabs>
          <w:tab w:leader="none" w:pos="142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allocate purchase price based on fair value of assets acquired, and liabilities assumed.</w:t>
      </w:r>
    </w:p>
    <w:p>
      <w:pPr>
        <w:spacing w:after="0" w:line="189" w:lineRule="exact"/>
        <w:rPr>
          <w:rFonts w:ascii="Courier New" w:cs="Courier New" w:eastAsia="Courier New" w:hAnsi="Courier New"/>
          <w:sz w:val="16"/>
          <w:szCs w:val="16"/>
          <w:color w:val="auto"/>
        </w:rPr>
      </w:pPr>
    </w:p>
    <w:p>
      <w:pPr>
        <w:ind w:left="1422" w:right="3720" w:hanging="373"/>
        <w:spacing w:after="0" w:line="239" w:lineRule="auto"/>
        <w:tabs>
          <w:tab w:leader="none" w:pos="142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allocation of the purchase price excludes contingent consideration.</w:t>
      </w:r>
    </w:p>
    <w:p>
      <w:pPr>
        <w:spacing w:after="0" w:line="186"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6540" w:type="dxa"/>
            <w:vAlign w:val="bottom"/>
          </w:tcPr>
          <w:p>
            <w:pPr>
              <w:spacing w:after="0"/>
              <w:rPr>
                <w:sz w:val="20"/>
                <w:szCs w:val="20"/>
                <w:color w:val="auto"/>
              </w:rPr>
            </w:pPr>
            <w:r>
              <w:rPr>
                <w:rFonts w:ascii="Courier New" w:cs="Courier New" w:eastAsia="Courier New" w:hAnsi="Courier New"/>
                <w:sz w:val="16"/>
                <w:szCs w:val="16"/>
                <w:color w:val="auto"/>
              </w:rPr>
              <w:t>(C) To record the cash proceeds from the issuance of common stock</w:t>
            </w:r>
          </w:p>
        </w:tc>
        <w:tc>
          <w:tcPr>
            <w:tcW w:w="1080" w:type="dxa"/>
            <w:vAlign w:val="bottom"/>
          </w:tcPr>
          <w:p>
            <w:pPr>
              <w:spacing w:after="0"/>
              <w:rPr>
                <w:sz w:val="15"/>
                <w:szCs w:val="15"/>
                <w:color w:val="auto"/>
              </w:rPr>
            </w:pPr>
          </w:p>
        </w:tc>
      </w:tr>
      <w:tr>
        <w:trPr>
          <w:trHeight w:val="183"/>
        </w:trPr>
        <w:tc>
          <w:tcPr>
            <w:tcW w:w="6540" w:type="dxa"/>
            <w:vAlign w:val="bottom"/>
          </w:tcPr>
          <w:p>
            <w:pPr>
              <w:ind w:left="480"/>
              <w:spacing w:after="0"/>
              <w:rPr>
                <w:sz w:val="20"/>
                <w:szCs w:val="20"/>
                <w:color w:val="auto"/>
              </w:rPr>
            </w:pPr>
            <w:r>
              <w:rPr>
                <w:rFonts w:ascii="Courier New" w:cs="Courier New" w:eastAsia="Courier New" w:hAnsi="Courier New"/>
                <w:sz w:val="16"/>
                <w:szCs w:val="16"/>
                <w:color w:val="auto"/>
              </w:rPr>
              <w:t>and borrowings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$172,065</w:t>
            </w:r>
          </w:p>
        </w:tc>
      </w:tr>
      <w:tr>
        <w:trPr>
          <w:trHeight w:val="367"/>
        </w:trPr>
        <w:tc>
          <w:tcPr>
            <w:tcW w:w="6540" w:type="dxa"/>
            <w:vAlign w:val="bottom"/>
          </w:tcPr>
          <w:p>
            <w:pPr>
              <w:spacing w:after="0"/>
              <w:rPr>
                <w:sz w:val="20"/>
                <w:szCs w:val="20"/>
                <w:color w:val="auto"/>
              </w:rPr>
            </w:pPr>
            <w:r>
              <w:rPr>
                <w:rFonts w:ascii="Courier New" w:cs="Courier New" w:eastAsia="Courier New" w:hAnsi="Courier New"/>
                <w:sz w:val="16"/>
                <w:szCs w:val="16"/>
                <w:color w:val="auto"/>
              </w:rPr>
              <w:t>(D) To record the net borrowings necessary to finance the 1996</w:t>
            </w:r>
          </w:p>
        </w:tc>
        <w:tc>
          <w:tcPr>
            <w:tcW w:w="1080" w:type="dxa"/>
            <w:vAlign w:val="bottom"/>
          </w:tcPr>
          <w:p>
            <w:pPr>
              <w:spacing w:after="0"/>
              <w:rPr>
                <w:sz w:val="24"/>
                <w:szCs w:val="24"/>
                <w:color w:val="auto"/>
              </w:rPr>
            </w:pPr>
          </w:p>
        </w:tc>
      </w:tr>
      <w:tr>
        <w:trPr>
          <w:trHeight w:val="183"/>
        </w:trPr>
        <w:tc>
          <w:tcPr>
            <w:tcW w:w="6540" w:type="dxa"/>
            <w:vAlign w:val="bottom"/>
          </w:tcPr>
          <w:p>
            <w:pPr>
              <w:ind w:left="380"/>
              <w:spacing w:after="0"/>
              <w:rPr>
                <w:sz w:val="20"/>
                <w:szCs w:val="20"/>
                <w:color w:val="auto"/>
              </w:rPr>
            </w:pPr>
            <w:r>
              <w:rPr>
                <w:rFonts w:ascii="Courier New" w:cs="Courier New" w:eastAsia="Courier New" w:hAnsi="Courier New"/>
                <w:sz w:val="16"/>
                <w:szCs w:val="16"/>
                <w:color w:val="auto"/>
              </w:rPr>
              <w:t>transactions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73,015</w:t>
            </w:r>
          </w:p>
        </w:tc>
      </w:tr>
      <w:tr>
        <w:trPr>
          <w:trHeight w:val="367"/>
        </w:trPr>
        <w:tc>
          <w:tcPr>
            <w:tcW w:w="6540" w:type="dxa"/>
            <w:vAlign w:val="bottom"/>
          </w:tcPr>
          <w:p>
            <w:pPr>
              <w:spacing w:after="0"/>
              <w:rPr>
                <w:sz w:val="20"/>
                <w:szCs w:val="20"/>
                <w:color w:val="auto"/>
              </w:rPr>
            </w:pPr>
            <w:r>
              <w:rPr>
                <w:rFonts w:ascii="Courier New" w:cs="Courier New" w:eastAsia="Courier New" w:hAnsi="Courier New"/>
                <w:sz w:val="16"/>
                <w:szCs w:val="16"/>
                <w:color w:val="auto"/>
              </w:rPr>
              <w:t>(E) To record the issuance of 4,000,000 shares at $26.00, net of</w:t>
            </w:r>
          </w:p>
        </w:tc>
        <w:tc>
          <w:tcPr>
            <w:tcW w:w="1080" w:type="dxa"/>
            <w:vAlign w:val="bottom"/>
          </w:tcPr>
          <w:p>
            <w:pPr>
              <w:spacing w:after="0"/>
              <w:rPr>
                <w:sz w:val="24"/>
                <w:szCs w:val="24"/>
                <w:color w:val="auto"/>
              </w:rPr>
            </w:pPr>
          </w:p>
        </w:tc>
      </w:tr>
      <w:tr>
        <w:trPr>
          <w:trHeight w:val="183"/>
        </w:trPr>
        <w:tc>
          <w:tcPr>
            <w:tcW w:w="6540" w:type="dxa"/>
            <w:vAlign w:val="bottom"/>
          </w:tcPr>
          <w:p>
            <w:pPr>
              <w:ind w:left="380"/>
              <w:spacing w:after="0"/>
              <w:rPr>
                <w:sz w:val="20"/>
                <w:szCs w:val="20"/>
                <w:color w:val="auto"/>
              </w:rPr>
            </w:pPr>
            <w:r>
              <w:rPr>
                <w:rFonts w:ascii="Courier New" w:cs="Courier New" w:eastAsia="Courier New" w:hAnsi="Courier New"/>
                <w:sz w:val="16"/>
                <w:szCs w:val="16"/>
                <w:color w:val="auto"/>
              </w:rPr>
              <w:t>offering costs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99,050</w:t>
            </w:r>
          </w:p>
        </w:tc>
      </w:tr>
      <w:tr>
        <w:trPr>
          <w:trHeight w:val="367"/>
        </w:trPr>
        <w:tc>
          <w:tcPr>
            <w:tcW w:w="6540" w:type="dxa"/>
            <w:vAlign w:val="bottom"/>
          </w:tcPr>
          <w:p>
            <w:pPr>
              <w:ind w:left="3720"/>
              <w:spacing w:after="0"/>
              <w:rPr>
                <w:sz w:val="20"/>
                <w:szCs w:val="20"/>
                <w:color w:val="auto"/>
              </w:rPr>
            </w:pPr>
            <w:r>
              <w:rPr>
                <w:rFonts w:ascii="Courier New" w:cs="Courier New" w:eastAsia="Courier New" w:hAnsi="Courier New"/>
                <w:sz w:val="16"/>
                <w:szCs w:val="16"/>
                <w:color w:val="auto"/>
              </w:rPr>
              <w:t>17</w:t>
            </w:r>
          </w:p>
        </w:tc>
        <w:tc>
          <w:tcPr>
            <w:tcW w:w="1080" w:type="dxa"/>
            <w:vAlign w:val="bottom"/>
          </w:tcPr>
          <w:p>
            <w:pPr>
              <w:spacing w:after="0"/>
              <w:rPr>
                <w:sz w:val="24"/>
                <w:szCs w:val="24"/>
                <w:color w:val="auto"/>
              </w:rPr>
            </w:pPr>
          </w:p>
        </w:tc>
      </w:tr>
    </w:tbl>
    <w:p>
      <w:pPr>
        <w:sectPr>
          <w:pgSz w:w="11900" w:h="16838" w:orient="portrait"/>
          <w:cols w:equalWidth="0" w:num="1">
            <w:col w:w="10482"/>
          </w:cols>
          <w:pgMar w:left="238" w:top="481" w:right="117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UNIVERSAL HEALTH SERVICES, INC. AND</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140" w:type="dxa"/>
            <w:vAlign w:val="bottom"/>
            <w:gridSpan w:val="5"/>
          </w:tcPr>
          <w:p>
            <w:pPr>
              <w:ind w:left="1620"/>
              <w:spacing w:after="0"/>
              <w:rPr>
                <w:sz w:val="20"/>
                <w:szCs w:val="20"/>
                <w:color w:val="auto"/>
              </w:rPr>
            </w:pPr>
            <w:r>
              <w:rPr>
                <w:rFonts w:ascii="Courier New" w:cs="Courier New" w:eastAsia="Courier New" w:hAnsi="Courier New"/>
                <w:sz w:val="16"/>
                <w:szCs w:val="16"/>
                <w:color w:val="auto"/>
              </w:rPr>
              <w:t>NOTES TO MANAGEMENT'S ASSUMPTIONS TO UNAUDITED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7240" w:type="dxa"/>
            <w:vAlign w:val="bottom"/>
            <w:gridSpan w:val="6"/>
          </w:tcPr>
          <w:p>
            <w:pPr>
              <w:ind w:left="660"/>
              <w:spacing w:after="0"/>
              <w:rPr>
                <w:sz w:val="20"/>
                <w:szCs w:val="20"/>
                <w:color w:val="auto"/>
              </w:rPr>
            </w:pPr>
            <w:r>
              <w:rPr>
                <w:rFonts w:ascii="Courier New" w:cs="Courier New" w:eastAsia="Courier New" w:hAnsi="Courier New"/>
                <w:sz w:val="16"/>
                <w:szCs w:val="16"/>
                <w:color w:val="auto"/>
              </w:rPr>
              <w:t>PRO FORMA CONDENSED CONSOLIDATED FINANCIAL STATEMENTS--(CONTINUED)</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67"/>
        </w:trPr>
        <w:tc>
          <w:tcPr>
            <w:tcW w:w="4960" w:type="dxa"/>
            <w:vAlign w:val="bottom"/>
            <w:gridSpan w:val="4"/>
          </w:tcPr>
          <w:p>
            <w:pPr>
              <w:spacing w:after="0"/>
              <w:rPr>
                <w:sz w:val="20"/>
                <w:szCs w:val="20"/>
                <w:color w:val="auto"/>
              </w:rPr>
            </w:pPr>
            <w:r>
              <w:rPr>
                <w:rFonts w:ascii="Courier New" w:cs="Courier New" w:eastAsia="Courier New" w:hAnsi="Courier New"/>
                <w:sz w:val="16"/>
                <w:szCs w:val="16"/>
                <w:color w:val="auto"/>
              </w:rPr>
              <w:t>(F) To reflect the historical revenues and expenses</w:t>
            </w:r>
          </w:p>
        </w:tc>
        <w:tc>
          <w:tcPr>
            <w:tcW w:w="2380" w:type="dxa"/>
            <w:vAlign w:val="bottom"/>
            <w:gridSpan w:val="3"/>
          </w:tcPr>
          <w:p>
            <w:pPr>
              <w:spacing w:after="0"/>
              <w:rPr>
                <w:sz w:val="20"/>
                <w:szCs w:val="20"/>
                <w:color w:val="auto"/>
              </w:rPr>
            </w:pPr>
            <w:r>
              <w:rPr>
                <w:rFonts w:ascii="Courier New" w:cs="Courier New" w:eastAsia="Courier New" w:hAnsi="Courier New"/>
                <w:sz w:val="16"/>
                <w:szCs w:val="16"/>
                <w:color w:val="auto"/>
                <w:w w:val="98"/>
              </w:rPr>
              <w:t>of the hospitals acquired</w:t>
            </w: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7240" w:type="dxa"/>
            <w:vAlign w:val="bottom"/>
            <w:gridSpan w:val="6"/>
          </w:tcPr>
          <w:p>
            <w:pPr>
              <w:spacing w:after="0"/>
              <w:rPr>
                <w:sz w:val="20"/>
                <w:szCs w:val="20"/>
                <w:color w:val="auto"/>
              </w:rPr>
            </w:pPr>
            <w:r>
              <w:rPr>
                <w:rFonts w:ascii="Courier New" w:cs="Courier New" w:eastAsia="Courier New" w:hAnsi="Courier New"/>
                <w:sz w:val="16"/>
                <w:szCs w:val="16"/>
                <w:color w:val="auto"/>
              </w:rPr>
              <w:t>and divested as part of the Manatee, Aiken and Universal Medical Center</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4960" w:type="dxa"/>
            <w:vAlign w:val="bottom"/>
            <w:gridSpan w:val="4"/>
          </w:tcPr>
          <w:p>
            <w:pPr>
              <w:spacing w:after="0"/>
              <w:rPr>
                <w:sz w:val="20"/>
                <w:szCs w:val="20"/>
                <w:color w:val="auto"/>
              </w:rPr>
            </w:pPr>
            <w:r>
              <w:rPr>
                <w:rFonts w:ascii="Courier New" w:cs="Courier New" w:eastAsia="Courier New" w:hAnsi="Courier New"/>
                <w:sz w:val="16"/>
                <w:szCs w:val="16"/>
                <w:color w:val="auto"/>
              </w:rPr>
              <w:t>transactions. The revenues and expenses of Manatee,</w:t>
            </w:r>
          </w:p>
        </w:tc>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Aiken, Westlake, Dallas</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7240" w:type="dxa"/>
            <w:vAlign w:val="bottom"/>
            <w:gridSpan w:val="6"/>
          </w:tcPr>
          <w:p>
            <w:pPr>
              <w:spacing w:after="0"/>
              <w:rPr>
                <w:sz w:val="20"/>
                <w:szCs w:val="20"/>
                <w:color w:val="auto"/>
              </w:rPr>
            </w:pPr>
            <w:r>
              <w:rPr>
                <w:rFonts w:ascii="Courier New" w:cs="Courier New" w:eastAsia="Courier New" w:hAnsi="Courier New"/>
                <w:sz w:val="16"/>
                <w:szCs w:val="16"/>
                <w:color w:val="auto"/>
                <w:w w:val="98"/>
              </w:rPr>
              <w:t>Family and Universal Medical Center reflected in the table below are for the</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7240" w:type="dxa"/>
            <w:vAlign w:val="bottom"/>
            <w:gridSpan w:val="6"/>
          </w:tcPr>
          <w:p>
            <w:pPr>
              <w:spacing w:after="0"/>
              <w:rPr>
                <w:sz w:val="20"/>
                <w:szCs w:val="20"/>
                <w:color w:val="auto"/>
              </w:rPr>
            </w:pPr>
            <w:r>
              <w:rPr>
                <w:rFonts w:ascii="Courier New" w:cs="Courier New" w:eastAsia="Courier New" w:hAnsi="Courier New"/>
                <w:sz w:val="16"/>
                <w:szCs w:val="16"/>
                <w:color w:val="auto"/>
              </w:rPr>
              <w:t>period from January 1, 1995 through the respective dates of acquisition or</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divestiture.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4"/>
        </w:trPr>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THE</w:t>
            </w:r>
          </w:p>
        </w:tc>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AIKEN TRANSACTION</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w:t>
            </w:r>
          </w:p>
        </w:tc>
        <w:tc>
          <w:tcPr>
            <w:tcW w:w="11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rPr>
              <w:t>UNIVERSAL</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PRO</w:t>
            </w:r>
          </w:p>
        </w:tc>
        <w:tc>
          <w:tcPr>
            <w:tcW w:w="4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7"/>
              </w:rPr>
              <w:t>DALLAS</w:t>
            </w:r>
          </w:p>
        </w:tc>
        <w:tc>
          <w:tcPr>
            <w:tcW w:w="10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MEDICAL</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FORMA</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TRANSACTIONS,</w:t>
            </w:r>
          </w:p>
        </w:tc>
      </w:tr>
      <w:tr>
        <w:trPr>
          <w:trHeight w:val="183"/>
        </w:trPr>
        <w:tc>
          <w:tcPr>
            <w:tcW w:w="314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MANATEE</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AIKEN</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WESTLAKE</w:t>
            </w:r>
          </w:p>
        </w:tc>
        <w:tc>
          <w:tcPr>
            <w:tcW w:w="110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7"/>
              </w:rPr>
              <w:t>FAMILY</w:t>
            </w:r>
          </w:p>
        </w:tc>
        <w:tc>
          <w:tcPr>
            <w:tcW w:w="10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CENTER</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ADJUSTMENTS</w:t>
            </w:r>
          </w:p>
        </w:tc>
        <w:tc>
          <w:tcPr>
            <w:tcW w:w="420" w:type="dxa"/>
            <w:vAlign w:val="bottom"/>
          </w:tcPr>
          <w:p>
            <w:pPr>
              <w:spacing w:after="0"/>
              <w:rPr>
                <w:sz w:val="15"/>
                <w:szCs w:val="15"/>
                <w:color w:val="auto"/>
              </w:rPr>
            </w:pPr>
          </w:p>
        </w:tc>
        <w:tc>
          <w:tcPr>
            <w:tcW w:w="86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NET</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314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3"/>
              </w:rPr>
              <w:t>86,133</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$44,233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$(16,032)</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$(10,523)</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 (23,665)</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$(4,835)(1)</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$75,311</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Operating charges: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3"/>
              </w:rPr>
              <w:t>35,469</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20,247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(7,965)</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(4,691)</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(11,843)</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667(2)</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31,884</w:t>
            </w:r>
          </w:p>
        </w:tc>
      </w:tr>
      <w:tr>
        <w:trPr>
          <w:trHeight w:val="183"/>
        </w:trPr>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Salaries and wages.............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3"/>
              </w:rPr>
              <w:t>26,368</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12,474</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(7,061)</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(4,354)</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(9,867)</w:t>
            </w:r>
          </w:p>
        </w:tc>
        <w:tc>
          <w:tcPr>
            <w:tcW w:w="13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17,560</w:t>
            </w:r>
          </w:p>
        </w:tc>
      </w:tr>
      <w:tr>
        <w:trPr>
          <w:trHeight w:val="183"/>
        </w:trPr>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Provision for doubtful</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accounts........................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5,945</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5,638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(1,775)</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(2,228)</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(1,083)</w:t>
            </w:r>
          </w:p>
        </w:tc>
        <w:tc>
          <w:tcPr>
            <w:tcW w:w="13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6,497</w:t>
            </w:r>
          </w:p>
        </w:tc>
      </w:tr>
      <w:tr>
        <w:trPr>
          <w:trHeight w:val="183"/>
        </w:trPr>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3,980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1,907</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(1,295)</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(884)</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(1,375)</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4,262(3)</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6,595</w:t>
            </w:r>
          </w:p>
        </w:tc>
      </w:tr>
      <w:tr>
        <w:trPr>
          <w:trHeight w:val="183"/>
        </w:trPr>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Lease and rental expense.......</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1,174</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576</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(1,813)</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(562)</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(417)</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1,193(4)</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151</w:t>
            </w:r>
          </w:p>
        </w:tc>
      </w:tr>
      <w:tr>
        <w:trPr>
          <w:trHeight w:val="183"/>
        </w:trPr>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 net..........</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7,334</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center"/>
              <w:ind w:right="14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1,478(5)</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8,904</w:t>
            </w:r>
          </w:p>
        </w:tc>
      </w:tr>
      <w:tr>
        <w:trPr>
          <w:trHeight w:val="183"/>
        </w:trPr>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Non-recurring charges..........</w:t>
            </w:r>
          </w:p>
        </w:tc>
        <w:tc>
          <w:tcPr>
            <w:tcW w:w="200" w:type="dxa"/>
            <w:vAlign w:val="bottom"/>
          </w:tcPr>
          <w:p>
            <w:pPr>
              <w:spacing w:after="0"/>
              <w:rPr>
                <w:sz w:val="15"/>
                <w:szCs w:val="15"/>
                <w:color w:val="auto"/>
              </w:rPr>
            </w:pPr>
          </w:p>
        </w:tc>
        <w:tc>
          <w:tcPr>
            <w:tcW w:w="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center"/>
              <w:ind w:right="14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5,251</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(2,661)(6)</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2,590</w:t>
            </w:r>
          </w:p>
        </w:tc>
      </w:tr>
      <w:tr>
        <w:trPr>
          <w:trHeight w:val="183"/>
        </w:trPr>
        <w:tc>
          <w:tcPr>
            <w:tcW w:w="3140" w:type="dxa"/>
            <w:vAlign w:val="bottom"/>
          </w:tcPr>
          <w:p>
            <w:pPr>
              <w:ind w:left="100"/>
              <w:spacing w:after="0"/>
              <w:rPr>
                <w:sz w:val="20"/>
                <w:szCs w:val="20"/>
                <w:color w:val="auto"/>
              </w:rPr>
            </w:pPr>
            <w:r>
              <w:rPr>
                <w:rFonts w:ascii="Courier New" w:cs="Courier New" w:eastAsia="Courier New" w:hAnsi="Courier New"/>
                <w:sz w:val="16"/>
                <w:szCs w:val="16"/>
                <w:color w:val="auto"/>
              </w:rPr>
              <w:t>Management fees................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2,446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1,299</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center"/>
              <w:ind w:right="14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(3,745)(7)</w:t>
            </w:r>
          </w:p>
        </w:tc>
        <w:tc>
          <w:tcPr>
            <w:tcW w:w="4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140" w:type="dxa"/>
            <w:vAlign w:val="bottom"/>
          </w:tcPr>
          <w:p>
            <w:pPr>
              <w:ind w:left="280"/>
              <w:spacing w:after="0"/>
              <w:rPr>
                <w:sz w:val="20"/>
                <w:szCs w:val="20"/>
                <w:color w:val="auto"/>
              </w:rPr>
            </w:pPr>
            <w:r>
              <w:rPr>
                <w:rFonts w:ascii="Courier New" w:cs="Courier New" w:eastAsia="Courier New" w:hAnsi="Courier New"/>
                <w:sz w:val="16"/>
                <w:szCs w:val="16"/>
                <w:color w:val="auto"/>
              </w:rPr>
              <w:t>Total expenses...............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3"/>
              </w:rPr>
              <w:t>82,716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42,233</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(19,909)</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(12,719)</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(19,334)</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1,194</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74,181</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Income (loss) before income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5"/>
                <w:szCs w:val="15"/>
                <w:color w:val="auto"/>
              </w:rPr>
            </w:pP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3,417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3,877</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2,196</w:t>
            </w:r>
          </w:p>
        </w:tc>
        <w:tc>
          <w:tcPr>
            <w:tcW w:w="10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(4,331)</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(6,029)</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1,130</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Provision (benefit) for income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5"/>
                <w:szCs w:val="15"/>
                <w:color w:val="auto"/>
              </w:rPr>
            </w:pPr>
          </w:p>
        </w:tc>
        <w:tc>
          <w:tcPr>
            <w:tcW w:w="7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822</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center"/>
              <w:ind w:right="14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822</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3,417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$ 1,178</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3,877</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2,196</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(4,331)</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$(6,029)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308</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3140" w:type="dxa"/>
            <w:vAlign w:val="bottom"/>
          </w:tcPr>
          <w:p>
            <w:pPr>
              <w:spacing w:after="0"/>
              <w:rPr>
                <w:sz w:val="15"/>
                <w:szCs w:val="15"/>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3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52" w:lineRule="exact"/>
        <w:rPr>
          <w:sz w:val="20"/>
          <w:szCs w:val="20"/>
          <w:color w:val="auto"/>
        </w:rPr>
      </w:pPr>
    </w:p>
    <w:p>
      <w:pPr>
        <w:ind w:left="8000"/>
        <w:spacing w:after="0"/>
        <w:rPr>
          <w:sz w:val="20"/>
          <w:szCs w:val="20"/>
          <w:color w:val="auto"/>
        </w:rPr>
      </w:pPr>
      <w:r>
        <w:rPr>
          <w:rFonts w:ascii="Courier New" w:cs="Courier New" w:eastAsia="Courier New" w:hAnsi="Courier New"/>
          <w:sz w:val="16"/>
          <w:szCs w:val="16"/>
          <w:color w:val="auto"/>
        </w:rPr>
        <w:t>YEAR ENDED</w:t>
      </w:r>
    </w:p>
    <w:p>
      <w:pPr>
        <w:spacing w:after="0" w:line="2" w:lineRule="exact"/>
        <w:rPr>
          <w:sz w:val="20"/>
          <w:szCs w:val="20"/>
          <w:color w:val="auto"/>
        </w:rPr>
      </w:pPr>
    </w:p>
    <w:p>
      <w:pPr>
        <w:ind w:left="7720"/>
        <w:spacing w:after="0"/>
        <w:rPr>
          <w:sz w:val="20"/>
          <w:szCs w:val="20"/>
          <w:color w:val="auto"/>
        </w:rPr>
      </w:pPr>
      <w:r>
        <w:rPr>
          <w:rFonts w:ascii="Courier New" w:cs="Courier New" w:eastAsia="Courier New" w:hAnsi="Courier New"/>
          <w:sz w:val="16"/>
          <w:szCs w:val="16"/>
          <w:color w:val="auto"/>
        </w:rPr>
        <w:t>DECEMBER 31, 1995</w:t>
      </w:r>
    </w:p>
    <w:p>
      <w:pPr>
        <w:spacing w:after="0" w:line="2" w:lineRule="exact"/>
        <w:rPr>
          <w:sz w:val="20"/>
          <w:szCs w:val="20"/>
          <w:color w:val="auto"/>
        </w:rPr>
      </w:pPr>
    </w:p>
    <w:p>
      <w:pPr>
        <w:ind w:left="77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960"/>
          </w:cols>
          <w:pgMar w:left="240" w:top="481" w:right="699" w:bottom="0" w:gutter="0" w:footer="0" w:header="0"/>
        </w:sectPr>
      </w:pPr>
    </w:p>
    <w:p>
      <w:pPr>
        <w:spacing w:after="0" w:line="186"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Adjustments to Net Revenues--</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 To eliminate nonoperating income at Manatee...........................</w:t>
      </w:r>
    </w:p>
    <w:p>
      <w:pPr>
        <w:spacing w:after="0" w:line="13"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 To eliminate management fees charged by UHS to Manatee................</w:t>
      </w:r>
    </w:p>
    <w:p>
      <w:pPr>
        <w:spacing w:after="0" w:line="197"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Total adjustments to Net Revenues.......................................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($3,335)</w:t>
      </w:r>
    </w:p>
    <w:p>
      <w:pPr>
        <w:spacing w:after="0" w:line="1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(1,500)</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(4,835)</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2">
            <w:col w:w="7480" w:space="720"/>
            <w:col w:w="2760"/>
          </w:cols>
          <w:pgMar w:left="240" w:top="481" w:right="699" w:bottom="0" w:gutter="0" w:footer="0" w:header="0"/>
          <w:type w:val="continuous"/>
        </w:sectPr>
      </w:pPr>
    </w:p>
    <w:p>
      <w:pPr>
        <w:ind w:left="580" w:right="140" w:hanging="579"/>
        <w:spacing w:after="0" w:line="271" w:lineRule="auto"/>
        <w:tabs>
          <w:tab w:leader="none" w:pos="56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To adjust operating expenses at Manatee for state and local taxes and other operating expenses................................................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667</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ectPr>
          <w:pgSz w:w="11900" w:h="16838" w:orient="portrait"/>
          <w:cols w:equalWidth="0" w:num="2">
            <w:col w:w="7580" w:space="720"/>
            <w:col w:w="2660"/>
          </w:cols>
          <w:pgMar w:left="240" w:top="481" w:right="699" w:bottom="0" w:gutter="0" w:footer="0" w:header="0"/>
          <w:type w:val="continuous"/>
        </w:sectPr>
      </w:pPr>
    </w:p>
    <w:p>
      <w:pPr>
        <w:spacing w:after="0"/>
        <w:tabs>
          <w:tab w:leader="none" w:pos="56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Adjustments to Depreciation and amortization--</w:t>
      </w:r>
    </w:p>
    <w:p>
      <w:pPr>
        <w:sectPr>
          <w:pgSz w:w="11900" w:h="16838" w:orient="portrait"/>
          <w:cols w:equalWidth="0" w:num="1">
            <w:col w:w="10960"/>
          </w:cols>
          <w:pgMar w:left="240" w:top="481" w:right="699" w:bottom="0" w:gutter="0" w:footer="0" w:header="0"/>
          <w:type w:val="continuous"/>
        </w:sectPr>
      </w:pPr>
    </w:p>
    <w:p>
      <w:pPr>
        <w:spacing w:after="0" w:line="13"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 To eliminate historical depreciation expense at Manatee and Aiken.....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(5,887)</w:t>
      </w:r>
    </w:p>
    <w:p>
      <w:pPr>
        <w:spacing w:after="0" w:line="13" w:lineRule="exact"/>
        <w:rPr>
          <w:sz w:val="20"/>
          <w:szCs w:val="20"/>
          <w:color w:val="auto"/>
        </w:rPr>
      </w:pPr>
    </w:p>
    <w:p>
      <w:pPr>
        <w:sectPr>
          <w:pgSz w:w="11900" w:h="16838" w:orient="portrait"/>
          <w:cols w:equalWidth="0" w:num="2">
            <w:col w:w="7580" w:space="720"/>
            <w:col w:w="2660"/>
          </w:cols>
          <w:pgMar w:left="240" w:top="481" w:right="699" w:bottom="0" w:gutter="0" w:footer="0" w:header="0"/>
          <w:type w:val="continuous"/>
        </w:sectPr>
      </w:pPr>
    </w:p>
    <w:p>
      <w:pPr>
        <w:ind w:left="660" w:right="3520" w:hanging="90"/>
        <w:spacing w:after="0" w:line="259" w:lineRule="auto"/>
        <w:tabs>
          <w:tab w:leader="none" w:pos="75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historical depreciation and amortization expense based on average depreciable lives of 20 years for buildings and improvements, 5</w:t>
      </w:r>
    </w:p>
    <w:p>
      <w:pPr>
        <w:ind w:left="7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years for equipment and 15 years for the amortization of goodwill at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Manatee and Aiken.....................................................</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10,574</w:t>
            </w:r>
          </w:p>
        </w:tc>
      </w:tr>
      <w:tr>
        <w:trPr>
          <w:trHeight w:val="183"/>
        </w:trPr>
        <w:tc>
          <w:tcPr>
            <w:tcW w:w="786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 To adjust historical depreciation expense on the real property</w:t>
            </w:r>
          </w:p>
        </w:tc>
        <w:tc>
          <w:tcPr>
            <w:tcW w:w="1100" w:type="dxa"/>
            <w:vAlign w:val="bottom"/>
          </w:tcPr>
          <w:p>
            <w:pPr>
              <w:spacing w:after="0"/>
              <w:rPr>
                <w:sz w:val="15"/>
                <w:szCs w:val="15"/>
                <w:color w:val="auto"/>
              </w:rPr>
            </w:pPr>
          </w:p>
        </w:tc>
      </w:tr>
      <w:tr>
        <w:trPr>
          <w:trHeight w:val="183"/>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transferred to UHT as part of the Aiken transaction.....................</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(425)</w:t>
            </w:r>
          </w:p>
        </w:tc>
      </w:tr>
      <w:tr>
        <w:trPr>
          <w:trHeight w:val="183"/>
        </w:trPr>
        <w:tc>
          <w:tcPr>
            <w:tcW w:w="786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Total adjustments to Depreciation and amortization......................</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4,262</w:t>
            </w:r>
          </w:p>
        </w:tc>
      </w:tr>
      <w:tr>
        <w:trPr>
          <w:trHeight w:val="183"/>
        </w:trPr>
        <w:tc>
          <w:tcPr>
            <w:tcW w:w="786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(4)   To record lease and rental expense relating to the assets transferred</w:t>
            </w:r>
          </w:p>
        </w:tc>
        <w:tc>
          <w:tcPr>
            <w:tcW w:w="1100" w:type="dxa"/>
            <w:vAlign w:val="bottom"/>
          </w:tcPr>
          <w:p>
            <w:pPr>
              <w:spacing w:after="0"/>
              <w:rPr>
                <w:sz w:val="15"/>
                <w:szCs w:val="15"/>
                <w:color w:val="auto"/>
              </w:rPr>
            </w:pPr>
          </w:p>
        </w:tc>
      </w:tr>
      <w:tr>
        <w:trPr>
          <w:trHeight w:val="183"/>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from UHS to UHT.........................................................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1,193</w:t>
            </w:r>
          </w:p>
        </w:tc>
      </w:tr>
      <w:tr>
        <w:trPr>
          <w:trHeight w:val="183"/>
        </w:trPr>
        <w:tc>
          <w:tcPr>
            <w:tcW w:w="786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(5)   Adjustment to interest expense, net--</w:t>
            </w:r>
          </w:p>
        </w:tc>
        <w:tc>
          <w:tcPr>
            <w:tcW w:w="1100" w:type="dxa"/>
            <w:vAlign w:val="bottom"/>
          </w:tcPr>
          <w:p>
            <w:pPr>
              <w:spacing w:after="0"/>
              <w:rPr>
                <w:sz w:val="15"/>
                <w:szCs w:val="15"/>
                <w:color w:val="auto"/>
              </w:rPr>
            </w:pPr>
          </w:p>
        </w:tc>
      </w:tr>
      <w:tr>
        <w:trPr>
          <w:trHeight w:val="183"/>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To eliminate historical interest expense at Manatee and Aiken.........</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(7,426)</w:t>
            </w:r>
          </w:p>
        </w:tc>
      </w:tr>
      <w:tr>
        <w:trPr>
          <w:trHeight w:val="183"/>
        </w:trPr>
        <w:tc>
          <w:tcPr>
            <w:tcW w:w="7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To record interest savings on UMC proceeds............................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(1,100)</w:t>
            </w:r>
          </w:p>
        </w:tc>
      </w:tr>
    </w:tbl>
    <w:p>
      <w:pPr>
        <w:spacing w:after="0" w:line="5" w:lineRule="exact"/>
        <w:rPr>
          <w:sz w:val="20"/>
          <w:szCs w:val="20"/>
          <w:color w:val="auto"/>
        </w:rPr>
      </w:pPr>
    </w:p>
    <w:p>
      <w:pPr>
        <w:ind w:left="660" w:right="3620" w:hanging="90"/>
        <w:spacing w:after="0" w:line="259" w:lineRule="auto"/>
        <w:tabs>
          <w:tab w:leader="none" w:pos="75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interest on borrowings to finance the purchase transactions using borrowings generated from the Company's $135 million Senior</w:t>
      </w:r>
    </w:p>
    <w:p>
      <w:pPr>
        <w:sectPr>
          <w:pgSz w:w="11900" w:h="16838" w:orient="portrait"/>
          <w:cols w:equalWidth="0" w:num="1">
            <w:col w:w="10960"/>
          </w:cols>
          <w:pgMar w:left="240" w:top="481" w:right="699" w:bottom="0" w:gutter="0" w:footer="0" w:header="0"/>
          <w:type w:val="continuous"/>
        </w:sectPr>
      </w:pPr>
    </w:p>
    <w:p>
      <w:pPr>
        <w:ind w:left="760"/>
        <w:spacing w:after="0"/>
        <w:rPr>
          <w:sz w:val="20"/>
          <w:szCs w:val="20"/>
          <w:color w:val="auto"/>
        </w:rPr>
      </w:pPr>
      <w:r>
        <w:rPr>
          <w:rFonts w:ascii="Courier New" w:cs="Courier New" w:eastAsia="Courier New" w:hAnsi="Courier New"/>
          <w:sz w:val="15"/>
          <w:szCs w:val="15"/>
          <w:color w:val="auto"/>
        </w:rPr>
        <w:t>Notes, commercial paper and revolving credit facilities...............</w:t>
      </w:r>
    </w:p>
    <w:p>
      <w:pPr>
        <w:spacing w:after="0" w:line="197"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Total adjustments to Interest expense, net..............................</w:t>
      </w:r>
    </w:p>
    <w:p>
      <w:pPr>
        <w:spacing w:after="0" w:line="20" w:lineRule="exact"/>
        <w:rPr>
          <w:sz w:val="20"/>
          <w:szCs w:val="20"/>
          <w:color w:val="auto"/>
        </w:rPr>
      </w:pPr>
      <w:r>
        <w:rPr>
          <w:sz w:val="20"/>
          <w:szCs w:val="20"/>
          <w:color w:val="auto"/>
        </w:rPr>
        <w:br w:type="column"/>
      </w:r>
    </w:p>
    <w:p>
      <w:pPr>
        <w:jc w:val="right"/>
        <w:ind w:right="2100"/>
        <w:spacing w:after="0"/>
        <w:rPr>
          <w:sz w:val="20"/>
          <w:szCs w:val="20"/>
          <w:color w:val="auto"/>
        </w:rPr>
      </w:pPr>
      <w:r>
        <w:rPr>
          <w:rFonts w:ascii="Courier New" w:cs="Courier New" w:eastAsia="Courier New" w:hAnsi="Courier New"/>
          <w:sz w:val="15"/>
          <w:szCs w:val="15"/>
          <w:color w:val="auto"/>
        </w:rPr>
        <w:t>10,004</w:t>
      </w:r>
    </w:p>
    <w:p>
      <w:pPr>
        <w:spacing w:after="0" w:line="13" w:lineRule="exact"/>
        <w:rPr>
          <w:sz w:val="20"/>
          <w:szCs w:val="20"/>
          <w:color w:val="auto"/>
        </w:rPr>
      </w:pPr>
    </w:p>
    <w:p>
      <w:pPr>
        <w:jc w:val="right"/>
        <w:ind w:right="21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2100"/>
        <w:spacing w:after="0"/>
        <w:rPr>
          <w:sz w:val="20"/>
          <w:szCs w:val="20"/>
          <w:color w:val="auto"/>
        </w:rPr>
      </w:pPr>
      <w:r>
        <w:rPr>
          <w:rFonts w:ascii="Courier New" w:cs="Courier New" w:eastAsia="Courier New" w:hAnsi="Courier New"/>
          <w:sz w:val="16"/>
          <w:szCs w:val="16"/>
          <w:color w:val="auto"/>
        </w:rPr>
        <w:t>1,478</w:t>
      </w:r>
    </w:p>
    <w:p>
      <w:pPr>
        <w:spacing w:after="0" w:line="5" w:lineRule="exact"/>
        <w:rPr>
          <w:sz w:val="20"/>
          <w:szCs w:val="20"/>
          <w:color w:val="auto"/>
        </w:rPr>
      </w:pPr>
    </w:p>
    <w:p>
      <w:pPr>
        <w:jc w:val="right"/>
        <w:ind w:right="2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580" w:space="720"/>
            <w:col w:w="2660"/>
          </w:cols>
          <w:pgMar w:left="240" w:top="481" w:right="69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(6)</w:t>
            </w:r>
          </w:p>
        </w:tc>
        <w:tc>
          <w:tcPr>
            <w:tcW w:w="7440" w:type="dxa"/>
            <w:vAlign w:val="bottom"/>
          </w:tcPr>
          <w:p>
            <w:pPr>
              <w:ind w:left="160"/>
              <w:spacing w:after="0"/>
              <w:rPr>
                <w:sz w:val="20"/>
                <w:szCs w:val="20"/>
                <w:color w:val="auto"/>
              </w:rPr>
            </w:pPr>
            <w:r>
              <w:rPr>
                <w:rFonts w:ascii="Courier New" w:cs="Courier New" w:eastAsia="Courier New" w:hAnsi="Courier New"/>
                <w:sz w:val="16"/>
                <w:szCs w:val="16"/>
                <w:color w:val="auto"/>
              </w:rPr>
              <w:t>To eliminate the loss on the Aiken transaction recorded in 1995.........</w:t>
            </w: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w w:val="95"/>
              </w:rPr>
              <w:t>(2,661)</w:t>
            </w:r>
          </w:p>
        </w:tc>
      </w:tr>
      <w:tr>
        <w:trPr>
          <w:trHeight w:val="183"/>
        </w:trPr>
        <w:tc>
          <w:tcPr>
            <w:tcW w:w="4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(7)</w:t>
            </w:r>
          </w:p>
        </w:tc>
        <w:tc>
          <w:tcPr>
            <w:tcW w:w="7440" w:type="dxa"/>
            <w:vAlign w:val="bottom"/>
          </w:tcPr>
          <w:p>
            <w:pPr>
              <w:ind w:left="160"/>
              <w:spacing w:after="0"/>
              <w:rPr>
                <w:sz w:val="20"/>
                <w:szCs w:val="20"/>
                <w:color w:val="auto"/>
              </w:rPr>
            </w:pPr>
            <w:r>
              <w:rPr>
                <w:rFonts w:ascii="Courier New" w:cs="Courier New" w:eastAsia="Courier New" w:hAnsi="Courier New"/>
                <w:sz w:val="16"/>
                <w:szCs w:val="16"/>
                <w:color w:val="auto"/>
              </w:rPr>
              <w:t>To eliminate management fees paid to affiliates.........................</w:t>
            </w: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w w:val="95"/>
              </w:rPr>
              <w:t>(3,745)</w:t>
            </w:r>
          </w:p>
        </w:tc>
      </w:tr>
      <w:tr>
        <w:trPr>
          <w:trHeight w:val="183"/>
        </w:trPr>
        <w:tc>
          <w:tcPr>
            <w:tcW w:w="4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3"/>
        </w:trPr>
        <w:tc>
          <w:tcPr>
            <w:tcW w:w="4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1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550"/>
        </w:trPr>
        <w:tc>
          <w:tcPr>
            <w:tcW w:w="420" w:type="dxa"/>
            <w:vAlign w:val="bottom"/>
          </w:tcPr>
          <w:p>
            <w:pPr>
              <w:spacing w:after="0"/>
              <w:rPr>
                <w:sz w:val="24"/>
                <w:szCs w:val="24"/>
                <w:color w:val="auto"/>
              </w:rPr>
            </w:pPr>
          </w:p>
        </w:tc>
        <w:tc>
          <w:tcPr>
            <w:tcW w:w="7440" w:type="dxa"/>
            <w:vAlign w:val="bottom"/>
          </w:tcPr>
          <w:p>
            <w:pPr>
              <w:jc w:val="right"/>
              <w:ind w:right="3881"/>
              <w:spacing w:after="0"/>
              <w:rPr>
                <w:sz w:val="20"/>
                <w:szCs w:val="20"/>
                <w:color w:val="auto"/>
              </w:rPr>
            </w:pPr>
            <w:r>
              <w:rPr>
                <w:rFonts w:ascii="Courier New" w:cs="Courier New" w:eastAsia="Courier New" w:hAnsi="Courier New"/>
                <w:sz w:val="16"/>
                <w:szCs w:val="16"/>
                <w:color w:val="auto"/>
              </w:rPr>
              <w:t>18</w:t>
            </w:r>
          </w:p>
        </w:tc>
        <w:tc>
          <w:tcPr>
            <w:tcW w:w="1100" w:type="dxa"/>
            <w:vAlign w:val="bottom"/>
          </w:tcPr>
          <w:p>
            <w:pPr>
              <w:spacing w:after="0"/>
              <w:rPr>
                <w:sz w:val="24"/>
                <w:szCs w:val="24"/>
                <w:color w:val="auto"/>
              </w:rPr>
            </w:pPr>
          </w:p>
        </w:tc>
      </w:tr>
    </w:tbl>
    <w:p>
      <w:pPr>
        <w:sectPr>
          <w:pgSz w:w="11900" w:h="16838" w:orient="portrait"/>
          <w:cols w:equalWidth="0" w:num="1">
            <w:col w:w="10219"/>
          </w:cols>
          <w:pgMar w:left="240" w:top="139" w:right="1440" w:bottom="1440" w:gutter="0" w:footer="0" w:header="0"/>
        </w:sectPr>
      </w:pPr>
    </w:p>
    <w:bookmarkStart w:id="20" w:name="page21"/>
    <w:bookmarkEnd w:id="20"/>
    <w:p>
      <w:pPr>
        <w:jc w:val="center"/>
        <w:ind w:right="2599"/>
        <w:spacing w:after="0"/>
        <w:rPr>
          <w:sz w:val="20"/>
          <w:szCs w:val="20"/>
          <w:color w:val="auto"/>
        </w:rPr>
      </w:pPr>
      <w:r>
        <w:rPr>
          <w:rFonts w:ascii="Courier New" w:cs="Courier New" w:eastAsia="Courier New" w:hAnsi="Courier New"/>
          <w:sz w:val="16"/>
          <w:szCs w:val="16"/>
          <w:color w:val="auto"/>
        </w:rPr>
        <w:t>UNIVERSAL HEALTH SERVICES, INC. AND SUBSIDIARIES NOTES TO MANAGEMENT'S ASSUMPTIONS TO UNAUDITED PRO FORMA CONDENSED CONSOLIDATED FINANCIAL STATEMENTS--(CONTINUED)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(G) NORTHWEST TEXAS HEALTH ACQUISITION</w:t>
            </w: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734"/>
        </w:trPr>
        <w:tc>
          <w:tcPr>
            <w:tcW w:w="3240" w:type="dxa"/>
            <w:vAlign w:val="bottom"/>
          </w:tcPr>
          <w:p>
            <w:pPr>
              <w:spacing w:after="0"/>
              <w:rPr>
                <w:sz w:val="24"/>
                <w:szCs w:val="24"/>
                <w:color w:val="auto"/>
              </w:rPr>
            </w:pPr>
          </w:p>
        </w:tc>
        <w:tc>
          <w:tcPr>
            <w:tcW w:w="3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YEAR ENDED DECEMBER 31, 1995</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3240" w:type="dxa"/>
            <w:vAlign w:val="bottom"/>
          </w:tcPr>
          <w:p>
            <w:pPr>
              <w:spacing w:after="0"/>
              <w:rPr>
                <w:sz w:val="15"/>
                <w:szCs w:val="15"/>
                <w:color w:val="auto"/>
              </w:rPr>
            </w:pPr>
          </w:p>
        </w:tc>
        <w:tc>
          <w:tcPr>
            <w:tcW w:w="3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67"/>
        </w:trPr>
        <w:tc>
          <w:tcPr>
            <w:tcW w:w="3240" w:type="dxa"/>
            <w:vAlign w:val="bottom"/>
          </w:tcPr>
          <w:p>
            <w:pPr>
              <w:spacing w:after="0"/>
              <w:rPr>
                <w:sz w:val="24"/>
                <w:szCs w:val="24"/>
                <w:color w:val="auto"/>
              </w:rPr>
            </w:pPr>
          </w:p>
        </w:tc>
        <w:tc>
          <w:tcPr>
            <w:tcW w:w="3340" w:type="dxa"/>
            <w:vAlign w:val="bottom"/>
            <w:gridSpan w:val="2"/>
          </w:tcPr>
          <w:p>
            <w:pPr>
              <w:ind w:left="1900"/>
              <w:spacing w:after="0"/>
              <w:rPr>
                <w:sz w:val="20"/>
                <w:szCs w:val="20"/>
                <w:color w:val="auto"/>
              </w:rPr>
            </w:pPr>
            <w:r>
              <w:rPr>
                <w:rFonts w:ascii="Courier New" w:cs="Courier New" w:eastAsia="Courier New" w:hAnsi="Courier New"/>
                <w:sz w:val="16"/>
                <w:szCs w:val="16"/>
                <w:color w:val="auto"/>
              </w:rPr>
              <w:t>NORTHWEST</w:t>
            </w:r>
          </w:p>
        </w:tc>
        <w:tc>
          <w:tcPr>
            <w:tcW w:w="1760" w:type="dxa"/>
            <w:vAlign w:val="bottom"/>
          </w:tcPr>
          <w:p>
            <w:pPr>
              <w:spacing w:after="0"/>
              <w:rPr>
                <w:sz w:val="24"/>
                <w:szCs w:val="24"/>
                <w:color w:val="auto"/>
              </w:rPr>
            </w:pP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NORTHWEST</w:t>
            </w:r>
          </w:p>
        </w:tc>
      </w:tr>
      <w:tr>
        <w:trPr>
          <w:trHeight w:val="183"/>
        </w:trPr>
        <w:tc>
          <w:tcPr>
            <w:tcW w:w="3240" w:type="dxa"/>
            <w:vAlign w:val="bottom"/>
          </w:tcPr>
          <w:p>
            <w:pPr>
              <w:spacing w:after="0"/>
              <w:rPr>
                <w:sz w:val="15"/>
                <w:szCs w:val="15"/>
                <w:color w:val="auto"/>
              </w:rPr>
            </w:pPr>
          </w:p>
        </w:tc>
        <w:tc>
          <w:tcPr>
            <w:tcW w:w="3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TEXAS HEALTH</w:t>
            </w:r>
          </w:p>
        </w:tc>
        <w:tc>
          <w:tcPr>
            <w:tcW w:w="1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PRO FORMA</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TEXAS HEALTH</w:t>
            </w:r>
          </w:p>
        </w:tc>
      </w:tr>
      <w:tr>
        <w:trPr>
          <w:trHeight w:val="183"/>
        </w:trPr>
        <w:tc>
          <w:tcPr>
            <w:tcW w:w="3240" w:type="dxa"/>
            <w:vAlign w:val="bottom"/>
          </w:tcPr>
          <w:p>
            <w:pPr>
              <w:spacing w:after="0"/>
              <w:rPr>
                <w:sz w:val="15"/>
                <w:szCs w:val="15"/>
                <w:color w:val="auto"/>
              </w:rPr>
            </w:pPr>
          </w:p>
        </w:tc>
        <w:tc>
          <w:tcPr>
            <w:tcW w:w="33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HISTORICAL</w:t>
            </w:r>
          </w:p>
        </w:tc>
        <w:tc>
          <w:tcPr>
            <w:tcW w:w="176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ADJUSTMENTS</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PRO FORMA</w:t>
            </w:r>
          </w:p>
        </w:tc>
      </w:tr>
      <w:tr>
        <w:trPr>
          <w:trHeight w:val="183"/>
        </w:trPr>
        <w:tc>
          <w:tcPr>
            <w:tcW w:w="3240" w:type="dxa"/>
            <w:vAlign w:val="bottom"/>
          </w:tcPr>
          <w:p>
            <w:pPr>
              <w:spacing w:after="0"/>
              <w:rPr>
                <w:sz w:val="15"/>
                <w:szCs w:val="15"/>
                <w:color w:val="auto"/>
              </w:rPr>
            </w:pPr>
          </w:p>
        </w:tc>
        <w:tc>
          <w:tcPr>
            <w:tcW w:w="3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w w:val="71"/>
              </w:rPr>
              <w:t>Net Revenues...................................</w:t>
            </w:r>
          </w:p>
        </w:tc>
        <w:tc>
          <w:tcPr>
            <w:tcW w:w="33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$ 152,717</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(3,913)(1)</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$148,804</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Operating charges:</w:t>
            </w:r>
          </w:p>
        </w:tc>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Operating expenses............................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62,487</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4,350(2)</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66,837</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Salaries and wages............................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50,890</w:t>
            </w: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50,890</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Provision for doubtful accounts...............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11,712</w:t>
            </w: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11,712</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Depreciation and amortization.................</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8,724</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(935)(3)</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7,789</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Lease and rental expense......................</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605</w:t>
            </w: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605</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Interest expense, net.........................</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636</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(636)(4)</w:t>
            </w:r>
          </w:p>
        </w:tc>
        <w:tc>
          <w:tcPr>
            <w:tcW w:w="13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Total expenses............................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135,054</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2,779</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137,833</w:t>
            </w:r>
          </w:p>
        </w:tc>
      </w:tr>
      <w:tr>
        <w:trPr>
          <w:trHeight w:val="183"/>
        </w:trPr>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w w:val="98"/>
              </w:rPr>
              <w:t>Income before income taxes.....................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17,663</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(6,692)</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10,971</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w w:val="98"/>
              </w:rPr>
              <w:t>Provision for income taxes.....................</w:t>
            </w:r>
          </w:p>
        </w:tc>
        <w:tc>
          <w:tcPr>
            <w:tcW w:w="1340" w:type="dxa"/>
            <w:vAlign w:val="bottom"/>
          </w:tcPr>
          <w:p>
            <w:pPr>
              <w:jc w:val="right"/>
              <w:ind w:right="1061"/>
              <w:spacing w:after="0"/>
              <w:rPr>
                <w:sz w:val="20"/>
                <w:szCs w:val="20"/>
                <w:color w:val="auto"/>
              </w:rPr>
            </w:pPr>
            <w:r>
              <w:rPr>
                <w:rFonts w:ascii="Courier New" w:cs="Courier New" w:eastAsia="Courier New" w:hAnsi="Courier New"/>
                <w:sz w:val="16"/>
                <w:szCs w:val="16"/>
                <w:color w:val="auto"/>
                <w:w w:val="93"/>
              </w:rPr>
              <w:t>--</w:t>
            </w: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w w:val="71"/>
              </w:rPr>
              <w:t>Net income.....................................</w:t>
            </w:r>
          </w:p>
        </w:tc>
        <w:tc>
          <w:tcPr>
            <w:tcW w:w="2000" w:type="dxa"/>
            <w:vAlign w:val="bottom"/>
          </w:tcPr>
          <w:p>
            <w:pPr>
              <w:ind w:left="190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17,663</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(6,692)</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$ 10,971</w:t>
            </w:r>
          </w:p>
        </w:tc>
      </w:tr>
      <w:tr>
        <w:trPr>
          <w:trHeight w:val="183"/>
        </w:trPr>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3240" w:type="dxa"/>
            <w:vAlign w:val="bottom"/>
          </w:tcPr>
          <w:p>
            <w:pPr>
              <w:spacing w:after="0"/>
              <w:rPr>
                <w:sz w:val="24"/>
                <w:szCs w:val="24"/>
                <w:color w:val="auto"/>
              </w:rPr>
            </w:pPr>
          </w:p>
        </w:tc>
        <w:tc>
          <w:tcPr>
            <w:tcW w:w="3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8"/>
              </w:rPr>
              <w:t>THREE MONTHS ENDED MARCH 31, 1996</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3240" w:type="dxa"/>
            <w:vAlign w:val="bottom"/>
          </w:tcPr>
          <w:p>
            <w:pPr>
              <w:spacing w:after="0"/>
              <w:rPr>
                <w:sz w:val="15"/>
                <w:szCs w:val="15"/>
                <w:color w:val="auto"/>
              </w:rPr>
            </w:pPr>
          </w:p>
        </w:tc>
        <w:tc>
          <w:tcPr>
            <w:tcW w:w="3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8"/>
              </w:rPr>
              <w:t>---------------------------------</w:t>
            </w: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3240" w:type="dxa"/>
            <w:vAlign w:val="bottom"/>
          </w:tcPr>
          <w:p>
            <w:pPr>
              <w:spacing w:after="0"/>
              <w:rPr>
                <w:sz w:val="15"/>
                <w:szCs w:val="15"/>
                <w:color w:val="auto"/>
              </w:rPr>
            </w:pPr>
          </w:p>
        </w:tc>
        <w:tc>
          <w:tcPr>
            <w:tcW w:w="3340" w:type="dxa"/>
            <w:vAlign w:val="bottom"/>
            <w:gridSpan w:val="2"/>
          </w:tcPr>
          <w:p>
            <w:pPr>
              <w:ind w:left="1900"/>
              <w:spacing w:after="0"/>
              <w:rPr>
                <w:sz w:val="20"/>
                <w:szCs w:val="20"/>
                <w:color w:val="auto"/>
              </w:rPr>
            </w:pPr>
            <w:r>
              <w:rPr>
                <w:rFonts w:ascii="Courier New" w:cs="Courier New" w:eastAsia="Courier New" w:hAnsi="Courier New"/>
                <w:sz w:val="16"/>
                <w:szCs w:val="16"/>
                <w:color w:val="auto"/>
              </w:rPr>
              <w:t>NORTHWEST</w:t>
            </w:r>
          </w:p>
        </w:tc>
        <w:tc>
          <w:tcPr>
            <w:tcW w:w="1760" w:type="dxa"/>
            <w:vAlign w:val="bottom"/>
          </w:tcPr>
          <w:p>
            <w:pPr>
              <w:spacing w:after="0"/>
              <w:rPr>
                <w:sz w:val="15"/>
                <w:szCs w:val="15"/>
                <w:color w:val="auto"/>
              </w:rPr>
            </w:pP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NORTHWEST</w:t>
            </w:r>
          </w:p>
        </w:tc>
      </w:tr>
      <w:tr>
        <w:trPr>
          <w:trHeight w:val="183"/>
        </w:trPr>
        <w:tc>
          <w:tcPr>
            <w:tcW w:w="3240" w:type="dxa"/>
            <w:vAlign w:val="bottom"/>
          </w:tcPr>
          <w:p>
            <w:pPr>
              <w:spacing w:after="0"/>
              <w:rPr>
                <w:sz w:val="15"/>
                <w:szCs w:val="15"/>
                <w:color w:val="auto"/>
              </w:rPr>
            </w:pPr>
          </w:p>
        </w:tc>
        <w:tc>
          <w:tcPr>
            <w:tcW w:w="3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TEXAS HEALTH</w:t>
            </w:r>
          </w:p>
        </w:tc>
        <w:tc>
          <w:tcPr>
            <w:tcW w:w="17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PRO FORMA</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TEXAS HEALTH</w:t>
            </w:r>
          </w:p>
        </w:tc>
      </w:tr>
      <w:tr>
        <w:trPr>
          <w:trHeight w:val="183"/>
        </w:trPr>
        <w:tc>
          <w:tcPr>
            <w:tcW w:w="3240" w:type="dxa"/>
            <w:vAlign w:val="bottom"/>
          </w:tcPr>
          <w:p>
            <w:pPr>
              <w:spacing w:after="0"/>
              <w:rPr>
                <w:sz w:val="15"/>
                <w:szCs w:val="15"/>
                <w:color w:val="auto"/>
              </w:rPr>
            </w:pPr>
          </w:p>
        </w:tc>
        <w:tc>
          <w:tcPr>
            <w:tcW w:w="33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HISTORICAL</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ADJUSTMENTS(5)</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PRO FORMA</w:t>
            </w:r>
          </w:p>
        </w:tc>
      </w:tr>
      <w:tr>
        <w:trPr>
          <w:trHeight w:val="183"/>
        </w:trPr>
        <w:tc>
          <w:tcPr>
            <w:tcW w:w="3240" w:type="dxa"/>
            <w:vAlign w:val="bottom"/>
          </w:tcPr>
          <w:p>
            <w:pPr>
              <w:spacing w:after="0"/>
              <w:rPr>
                <w:sz w:val="15"/>
                <w:szCs w:val="15"/>
                <w:color w:val="auto"/>
              </w:rPr>
            </w:pPr>
          </w:p>
        </w:tc>
        <w:tc>
          <w:tcPr>
            <w:tcW w:w="3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w w:val="71"/>
              </w:rPr>
              <w:t>Net Revenues...................................</w:t>
            </w:r>
          </w:p>
        </w:tc>
        <w:tc>
          <w:tcPr>
            <w:tcW w:w="2000" w:type="dxa"/>
            <w:vAlign w:val="bottom"/>
          </w:tcPr>
          <w:p>
            <w:pPr>
              <w:ind w:left="190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37,519</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(1,150)(1)</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$ 36,369</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Operating charges:</w:t>
            </w:r>
          </w:p>
        </w:tc>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Operating expenses............................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16,419</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701(2)</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17,120</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Salaries and wages............................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12,346</w:t>
            </w: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12,346</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Provision for doubtful accounts...............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2,726</w:t>
            </w: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2,726</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Depreciation and amortization.................</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2,091</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(144)(3)</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1,947</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Lease and rental expense......................</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188</w:t>
            </w: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188</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Interest expense, net.........................</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112</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(112)(4)</w:t>
            </w:r>
          </w:p>
        </w:tc>
        <w:tc>
          <w:tcPr>
            <w:tcW w:w="13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Total expenses............................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33,882</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445</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34,327</w:t>
            </w:r>
          </w:p>
        </w:tc>
      </w:tr>
      <w:tr>
        <w:trPr>
          <w:trHeight w:val="183"/>
        </w:trPr>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w w:val="98"/>
              </w:rPr>
              <w:t>Income before income taxes.....................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3,637</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(1,595)</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2,042</w:t>
            </w:r>
          </w:p>
        </w:tc>
      </w:tr>
      <w:tr>
        <w:trPr>
          <w:trHeight w:val="183"/>
        </w:trPr>
        <w:tc>
          <w:tcPr>
            <w:tcW w:w="52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w w:val="98"/>
              </w:rPr>
              <w:t>Provision for income taxes.....................</w:t>
            </w:r>
          </w:p>
        </w:tc>
        <w:tc>
          <w:tcPr>
            <w:tcW w:w="1340" w:type="dxa"/>
            <w:vAlign w:val="bottom"/>
          </w:tcPr>
          <w:p>
            <w:pPr>
              <w:jc w:val="right"/>
              <w:ind w:right="1061"/>
              <w:spacing w:after="0"/>
              <w:rPr>
                <w:sz w:val="20"/>
                <w:szCs w:val="20"/>
                <w:color w:val="auto"/>
              </w:rPr>
            </w:pPr>
            <w:r>
              <w:rPr>
                <w:rFonts w:ascii="Courier New" w:cs="Courier New" w:eastAsia="Courier New" w:hAnsi="Courier New"/>
                <w:sz w:val="16"/>
                <w:szCs w:val="16"/>
                <w:color w:val="auto"/>
                <w:w w:val="93"/>
              </w:rPr>
              <w:t>--</w:t>
            </w:r>
          </w:p>
        </w:tc>
        <w:tc>
          <w:tcPr>
            <w:tcW w:w="176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w w:val="71"/>
              </w:rPr>
              <w:t>Net income.....................................</w:t>
            </w:r>
          </w:p>
        </w:tc>
        <w:tc>
          <w:tcPr>
            <w:tcW w:w="2000" w:type="dxa"/>
            <w:vAlign w:val="bottom"/>
          </w:tcPr>
          <w:p>
            <w:pPr>
              <w:ind w:left="190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3,637</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(1,595)</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2,042</w:t>
            </w:r>
          </w:p>
        </w:tc>
      </w:tr>
      <w:tr>
        <w:trPr>
          <w:trHeight w:val="183"/>
        </w:trPr>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6"/>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734"/>
        </w:trPr>
        <w:tc>
          <w:tcPr>
            <w:tcW w:w="5680" w:type="dxa"/>
            <w:vAlign w:val="bottom"/>
          </w:tcPr>
          <w:p>
            <w:pPr>
              <w:spacing w:after="0"/>
              <w:rPr>
                <w:sz w:val="24"/>
                <w:szCs w:val="24"/>
                <w:color w:val="auto"/>
              </w:rPr>
            </w:pP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YEAR ENDED</w:t>
            </w:r>
          </w:p>
        </w:tc>
        <w:tc>
          <w:tcPr>
            <w:tcW w:w="19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THREE MONTHS ENDED</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DECEMBER 31, 1995</w:t>
            </w:r>
          </w:p>
        </w:tc>
        <w:tc>
          <w:tcPr>
            <w:tcW w:w="19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MARCH 31, 1996</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5680" w:type="dxa"/>
            <w:vAlign w:val="bottom"/>
          </w:tcPr>
          <w:p>
            <w:pPr>
              <w:spacing w:after="0"/>
              <w:rPr>
                <w:sz w:val="20"/>
                <w:szCs w:val="20"/>
                <w:color w:val="auto"/>
              </w:rPr>
            </w:pPr>
            <w:r>
              <w:rPr>
                <w:rFonts w:ascii="Courier New" w:cs="Courier New" w:eastAsia="Courier New" w:hAnsi="Courier New"/>
                <w:sz w:val="16"/>
                <w:szCs w:val="16"/>
                <w:color w:val="auto"/>
              </w:rPr>
              <w:t>(1)   Adjustments to Net Revenues--</w:t>
            </w: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 To eliminate nonoperating income of net assets</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not acquired........................................</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$(3,689)</w:t>
            </w:r>
          </w:p>
        </w:tc>
        <w:tc>
          <w:tcPr>
            <w:tcW w:w="19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(1,066)</w:t>
            </w: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 To eliminate ad valorem tax revenue at Northwest</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Texas Health........................................</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(8,224)</w:t>
            </w:r>
          </w:p>
        </w:tc>
        <w:tc>
          <w:tcPr>
            <w:tcW w:w="19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(2,084)</w:t>
            </w: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 To record indigent care receipts at Northwest</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Texas Health........................................</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8,000</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Total adjustments to Net Revenues...................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(3,913)</w:t>
            </w:r>
          </w:p>
        </w:tc>
        <w:tc>
          <w:tcPr>
            <w:tcW w:w="19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(1,150)</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680" w:type="dxa"/>
            <w:vAlign w:val="bottom"/>
          </w:tcPr>
          <w:p>
            <w:pPr>
              <w:spacing w:after="0"/>
              <w:rPr>
                <w:sz w:val="20"/>
                <w:szCs w:val="20"/>
                <w:color w:val="auto"/>
              </w:rPr>
            </w:pPr>
            <w:r>
              <w:rPr>
                <w:rFonts w:ascii="Courier New" w:cs="Courier New" w:eastAsia="Courier New" w:hAnsi="Courier New"/>
                <w:sz w:val="16"/>
                <w:szCs w:val="16"/>
                <w:color w:val="auto"/>
              </w:rPr>
              <w:t>(2)   To increase operating expenses at Northwest Texas</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Health for state and local taxes and other operating</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expenses, net of assumed contractual cost savings of</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$1 million annually.................................</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4,350</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701</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680" w:type="dxa"/>
            <w:vAlign w:val="bottom"/>
          </w:tcPr>
          <w:p>
            <w:pPr>
              <w:spacing w:after="0"/>
              <w:rPr>
                <w:sz w:val="15"/>
                <w:szCs w:val="15"/>
                <w:color w:val="auto"/>
              </w:rPr>
            </w:pP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680" w:type="dxa"/>
            <w:vAlign w:val="bottom"/>
          </w:tcPr>
          <w:p>
            <w:pPr>
              <w:spacing w:after="0"/>
              <w:rPr>
                <w:sz w:val="20"/>
                <w:szCs w:val="20"/>
                <w:color w:val="auto"/>
              </w:rPr>
            </w:pPr>
            <w:r>
              <w:rPr>
                <w:rFonts w:ascii="Courier New" w:cs="Courier New" w:eastAsia="Courier New" w:hAnsi="Courier New"/>
                <w:sz w:val="16"/>
                <w:szCs w:val="16"/>
                <w:color w:val="auto"/>
              </w:rPr>
              <w:t>(3)   Adjustments to Depreciation and amortization</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680" w:type="dxa"/>
            <w:vAlign w:val="bottom"/>
          </w:tcPr>
          <w:p>
            <w:pPr>
              <w:ind w:left="580"/>
              <w:spacing w:after="0"/>
              <w:rPr>
                <w:sz w:val="20"/>
                <w:szCs w:val="20"/>
                <w:color w:val="auto"/>
              </w:rPr>
            </w:pPr>
            <w:r>
              <w:rPr>
                <w:rFonts w:ascii="Courier New" w:cs="Courier New" w:eastAsia="Courier New" w:hAnsi="Courier New"/>
                <w:sz w:val="16"/>
                <w:szCs w:val="16"/>
                <w:color w:val="auto"/>
              </w:rPr>
              <w:t>expense--</w:t>
            </w:r>
          </w:p>
        </w:tc>
        <w:tc>
          <w:tcPr>
            <w:tcW w:w="194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sectPr>
          <w:pgSz w:w="11900" w:h="16838" w:orient="portrait"/>
          <w:cols w:equalWidth="0" w:num="1">
            <w:col w:w="10219"/>
          </w:cols>
          <w:pgMar w:left="240" w:top="484" w:right="1440"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20"/>
                <w:szCs w:val="20"/>
                <w:color w:val="auto"/>
              </w:rPr>
            </w:pPr>
            <w:r>
              <w:rPr>
                <w:rFonts w:ascii="Courier New" w:cs="Courier New" w:eastAsia="Courier New" w:hAnsi="Courier New"/>
                <w:sz w:val="16"/>
                <w:szCs w:val="16"/>
                <w:color w:val="auto"/>
              </w:rPr>
              <w:t>. To eliminate historical depreciation expense at</w:t>
            </w:r>
          </w:p>
        </w:tc>
        <w:tc>
          <w:tcPr>
            <w:tcW w:w="17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Northwest Texas Health..............................</w:t>
            </w:r>
          </w:p>
        </w:tc>
        <w:tc>
          <w:tcPr>
            <w:tcW w:w="17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$(8,724)</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 (2,091)</w:t>
            </w:r>
          </w:p>
        </w:tc>
      </w:tr>
      <w:tr>
        <w:trPr>
          <w:trHeight w:val="550"/>
        </w:trPr>
        <w:tc>
          <w:tcPr>
            <w:tcW w:w="5340" w:type="dxa"/>
            <w:vAlign w:val="bottom"/>
          </w:tcPr>
          <w:p>
            <w:pPr>
              <w:jc w:val="right"/>
              <w:ind w:right="1941"/>
              <w:spacing w:after="0"/>
              <w:rPr>
                <w:sz w:val="20"/>
                <w:szCs w:val="20"/>
                <w:color w:val="auto"/>
              </w:rPr>
            </w:pPr>
            <w:r>
              <w:rPr>
                <w:rFonts w:ascii="Courier New" w:cs="Courier New" w:eastAsia="Courier New" w:hAnsi="Courier New"/>
                <w:sz w:val="16"/>
                <w:szCs w:val="16"/>
                <w:color w:val="auto"/>
              </w:rPr>
              <w:t>19</w:t>
            </w:r>
          </w:p>
        </w:tc>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9639"/>
          </w:cols>
          <w:pgMar w:left="820" w:top="139" w:right="1440" w:bottom="1440" w:gutter="0" w:footer="0" w:header="0"/>
        </w:sectPr>
      </w:pPr>
    </w:p>
    <w:bookmarkStart w:id="22" w:name="page23"/>
    <w:bookmarkEnd w:id="22"/>
    <w:p>
      <w:pPr>
        <w:jc w:val="center"/>
        <w:ind w:left="662" w:right="3259"/>
        <w:spacing w:after="0"/>
        <w:rPr>
          <w:sz w:val="20"/>
          <w:szCs w:val="20"/>
          <w:color w:val="auto"/>
        </w:rPr>
      </w:pPr>
      <w:r>
        <w:rPr>
          <w:rFonts w:ascii="Courier New" w:cs="Courier New" w:eastAsia="Courier New" w:hAnsi="Courier New"/>
          <w:sz w:val="16"/>
          <w:szCs w:val="16"/>
          <w:color w:val="auto"/>
        </w:rPr>
        <w:t>UNIVERSAL HEALTH SERVICES, INC. AND SUBSIDIARIES NOTES TO MANAGEMENT'S ASSUMPTIONS TO UNAUDITED PRO FORMA CONDENSED CONSOLIDATED FINANCIAL STATEMENTS--(CONTINUED)</w:t>
      </w:r>
    </w:p>
    <w:p>
      <w:pPr>
        <w:sectPr>
          <w:pgSz w:w="11900" w:h="16838" w:orient="portrait"/>
          <w:cols w:equalWidth="0" w:num="1">
            <w:col w:w="10221"/>
          </w:cols>
          <w:pgMar w:left="238" w:top="484" w:right="1440" w:bottom="0" w:gutter="0" w:footer="0" w:header="0"/>
        </w:sectPr>
      </w:pPr>
    </w:p>
    <w:p>
      <w:pPr>
        <w:spacing w:after="0" w:line="200" w:lineRule="exact"/>
        <w:rPr>
          <w:sz w:val="20"/>
          <w:szCs w:val="20"/>
          <w:color w:val="auto"/>
        </w:rPr>
      </w:pPr>
    </w:p>
    <w:p>
      <w:pPr>
        <w:spacing w:after="0" w:line="354" w:lineRule="exact"/>
        <w:rPr>
          <w:sz w:val="20"/>
          <w:szCs w:val="20"/>
          <w:color w:val="auto"/>
        </w:rPr>
      </w:pPr>
    </w:p>
    <w:p>
      <w:pPr>
        <w:ind w:left="6102"/>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5822"/>
        <w:spacing w:after="0"/>
        <w:rPr>
          <w:sz w:val="20"/>
          <w:szCs w:val="20"/>
          <w:color w:val="auto"/>
        </w:rPr>
      </w:pPr>
      <w:r>
        <w:rPr>
          <w:rFonts w:ascii="Courier New" w:cs="Courier New" w:eastAsia="Courier New" w:hAnsi="Courier New"/>
          <w:sz w:val="15"/>
          <w:szCs w:val="15"/>
          <w:color w:val="auto"/>
        </w:rPr>
        <w:t>DECEMBER 31, 1995</w:t>
      </w:r>
    </w:p>
    <w:p>
      <w:pPr>
        <w:spacing w:after="0" w:line="13" w:lineRule="exact"/>
        <w:rPr>
          <w:sz w:val="20"/>
          <w:szCs w:val="20"/>
          <w:color w:val="auto"/>
        </w:rPr>
      </w:pPr>
    </w:p>
    <w:p>
      <w:pPr>
        <w:ind w:left="582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center"/>
        <w:ind w:right="679"/>
        <w:spacing w:after="0" w:line="265" w:lineRule="auto"/>
        <w:rPr>
          <w:sz w:val="20"/>
          <w:szCs w:val="20"/>
          <w:color w:val="auto"/>
        </w:rPr>
      </w:pPr>
      <w:r>
        <w:rPr>
          <w:rFonts w:ascii="Courier New" w:cs="Courier New" w:eastAsia="Courier New" w:hAnsi="Courier New"/>
          <w:sz w:val="15"/>
          <w:szCs w:val="15"/>
          <w:color w:val="auto"/>
        </w:rPr>
        <w:t>THREE MONTHS ENDED MARCH 31, 1996 ------------------</w:t>
      </w:r>
    </w:p>
    <w:p>
      <w:pPr>
        <w:spacing w:after="0" w:line="171" w:lineRule="exact"/>
        <w:rPr>
          <w:sz w:val="20"/>
          <w:szCs w:val="20"/>
          <w:color w:val="auto"/>
        </w:rPr>
      </w:pPr>
    </w:p>
    <w:p>
      <w:pPr>
        <w:sectPr>
          <w:pgSz w:w="11900" w:h="16838" w:orient="portrait"/>
          <w:cols w:equalWidth="0" w:num="2">
            <w:col w:w="7442" w:space="380"/>
            <w:col w:w="2399"/>
          </w:cols>
          <w:pgMar w:left="238" w:top="484" w:right="1440" w:bottom="0" w:gutter="0" w:footer="0" w:header="0"/>
          <w:type w:val="continuous"/>
        </w:sectPr>
      </w:pPr>
    </w:p>
    <w:p>
      <w:pPr>
        <w:ind w:left="662" w:right="4699" w:hanging="90"/>
        <w:spacing w:after="0" w:line="259" w:lineRule="auto"/>
        <w:tabs>
          <w:tab w:leader="none" w:pos="75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historical depreciation and amortization expense based on average depreciable lives of 25</w:t>
      </w:r>
    </w:p>
    <w:p>
      <w:pPr>
        <w:ind w:left="762" w:right="477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years for buildings and improvements, 7 years for equipment and 15 years for the amortization of</w:t>
      </w:r>
    </w:p>
    <w:tbl>
      <w:tblPr>
        <w:tblLayout w:type="fixed"/>
        <w:tblInd w:w="2" w:type="dxa"/>
        <w:tblCellMar>
          <w:top w:w="0" w:type="dxa"/>
          <w:left w:w="0" w:type="dxa"/>
          <w:bottom w:w="0" w:type="dxa"/>
          <w:right w:w="0" w:type="dxa"/>
        </w:tblCellMar>
      </w:tblPr>
      <w:tr>
        <w:trPr>
          <w:trHeight w:val="178"/>
        </w:trPr>
        <w:tc>
          <w:tcPr>
            <w:tcW w:w="5920" w:type="dxa"/>
            <w:vAlign w:val="bottom"/>
          </w:tcPr>
          <w:p>
            <w:pPr>
              <w:jc w:val="right"/>
              <w:ind w:right="321"/>
              <w:spacing w:after="0" w:line="179" w:lineRule="exact"/>
              <w:rPr>
                <w:sz w:val="20"/>
                <w:szCs w:val="20"/>
                <w:color w:val="auto"/>
              </w:rPr>
            </w:pPr>
            <w:r>
              <w:rPr>
                <w:rFonts w:ascii="Courier New" w:cs="Courier New" w:eastAsia="Courier New" w:hAnsi="Courier New"/>
                <w:sz w:val="16"/>
                <w:szCs w:val="16"/>
                <w:color w:val="auto"/>
              </w:rPr>
              <w:t>goodwill at Northwest Texas Health................</w:t>
            </w:r>
          </w:p>
        </w:tc>
        <w:tc>
          <w:tcPr>
            <w:tcW w:w="1800" w:type="dxa"/>
            <w:vAlign w:val="bottom"/>
          </w:tcPr>
          <w:p>
            <w:pPr>
              <w:jc w:val="right"/>
              <w:ind w:right="681"/>
              <w:spacing w:after="0" w:line="179" w:lineRule="exact"/>
              <w:rPr>
                <w:sz w:val="20"/>
                <w:szCs w:val="20"/>
                <w:color w:val="auto"/>
              </w:rPr>
            </w:pPr>
            <w:r>
              <w:rPr>
                <w:rFonts w:ascii="Courier New" w:cs="Courier New" w:eastAsia="Courier New" w:hAnsi="Courier New"/>
                <w:sz w:val="16"/>
                <w:szCs w:val="16"/>
                <w:color w:val="auto"/>
              </w:rPr>
              <w:t>7,789</w:t>
            </w:r>
          </w:p>
        </w:tc>
        <w:tc>
          <w:tcPr>
            <w:tcW w:w="1440" w:type="dxa"/>
            <w:vAlign w:val="bottom"/>
          </w:tcPr>
          <w:p>
            <w:pPr>
              <w:jc w:val="right"/>
              <w:ind w:right="21"/>
              <w:spacing w:after="0" w:line="179" w:lineRule="exact"/>
              <w:rPr>
                <w:sz w:val="20"/>
                <w:szCs w:val="20"/>
                <w:color w:val="auto"/>
              </w:rPr>
            </w:pPr>
            <w:r>
              <w:rPr>
                <w:rFonts w:ascii="Courier New" w:cs="Courier New" w:eastAsia="Courier New" w:hAnsi="Courier New"/>
                <w:sz w:val="16"/>
                <w:szCs w:val="16"/>
                <w:color w:val="auto"/>
              </w:rPr>
              <w:t>1,947</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jc w:val="right"/>
              <w:ind w:right="1741"/>
              <w:spacing w:after="0"/>
              <w:rPr>
                <w:sz w:val="20"/>
                <w:szCs w:val="20"/>
                <w:color w:val="auto"/>
              </w:rPr>
            </w:pPr>
            <w:r>
              <w:rPr>
                <w:rFonts w:ascii="Courier New" w:cs="Courier New" w:eastAsia="Courier New" w:hAnsi="Courier New"/>
                <w:sz w:val="16"/>
                <w:szCs w:val="16"/>
                <w:color w:val="auto"/>
              </w:rPr>
              <w:t>Total adjustments to Depreciation and</w:t>
            </w:r>
          </w:p>
        </w:tc>
        <w:tc>
          <w:tcPr>
            <w:tcW w:w="18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59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amortization........................................</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(935)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(144)</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8"/>
              </w:rPr>
              <w:t>(4)   To eliminate historical interest expense............</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(636)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582" w:right="5359" w:hanging="582"/>
        <w:spacing w:after="0" w:line="239" w:lineRule="auto"/>
        <w:tabs>
          <w:tab w:leader="none" w:pos="5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allocation of the purchase price excludes contingent consideration.</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(H) FIRST HOSPITAL PROPERTIES ACQUISITION</w:t>
      </w:r>
    </w:p>
    <w:p>
      <w:pPr>
        <w:spacing w:after="0" w:line="200" w:lineRule="exact"/>
        <w:rPr>
          <w:sz w:val="20"/>
          <w:szCs w:val="20"/>
          <w:color w:val="auto"/>
        </w:rPr>
      </w:pPr>
    </w:p>
    <w:p>
      <w:pPr>
        <w:spacing w:after="0" w:line="352" w:lineRule="exact"/>
        <w:rPr>
          <w:sz w:val="20"/>
          <w:szCs w:val="20"/>
          <w:color w:val="auto"/>
        </w:rPr>
      </w:pPr>
    </w:p>
    <w:p>
      <w:pPr>
        <w:jc w:val="center"/>
        <w:ind w:right="877"/>
        <w:spacing w:after="0"/>
        <w:rPr>
          <w:sz w:val="20"/>
          <w:szCs w:val="20"/>
          <w:color w:val="auto"/>
        </w:rPr>
      </w:pPr>
      <w:r>
        <w:rPr>
          <w:rFonts w:ascii="Courier New" w:cs="Courier New" w:eastAsia="Courier New" w:hAnsi="Courier New"/>
          <w:sz w:val="16"/>
          <w:szCs w:val="16"/>
          <w:color w:val="auto"/>
        </w:rPr>
        <w:t>YEAR ENDED DECEMBER 31, 1995</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000" w:type="dxa"/>
            <w:vAlign w:val="bottom"/>
          </w:tcPr>
          <w:p>
            <w:pPr>
              <w:spacing w:after="0"/>
              <w:rPr>
                <w:sz w:val="15"/>
                <w:szCs w:val="15"/>
                <w:color w:val="auto"/>
              </w:rPr>
            </w:pPr>
          </w:p>
        </w:tc>
        <w:tc>
          <w:tcPr>
            <w:tcW w:w="19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FIRST</w:t>
            </w:r>
          </w:p>
        </w:tc>
        <w:tc>
          <w:tcPr>
            <w:tcW w:w="152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FIRST</w:t>
            </w:r>
          </w:p>
        </w:tc>
      </w:tr>
      <w:tr>
        <w:trPr>
          <w:trHeight w:val="183"/>
        </w:trPr>
        <w:tc>
          <w:tcPr>
            <w:tcW w:w="5000" w:type="dxa"/>
            <w:vAlign w:val="bottom"/>
          </w:tcPr>
          <w:p>
            <w:pPr>
              <w:spacing w:after="0"/>
              <w:rPr>
                <w:sz w:val="15"/>
                <w:szCs w:val="15"/>
                <w:color w:val="auto"/>
              </w:rPr>
            </w:pP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HOSPITAL</w:t>
            </w:r>
          </w:p>
        </w:tc>
        <w:tc>
          <w:tcPr>
            <w:tcW w:w="152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HOSPITAL</w:t>
            </w:r>
          </w:p>
        </w:tc>
      </w:tr>
      <w:tr>
        <w:trPr>
          <w:trHeight w:val="183"/>
        </w:trPr>
        <w:tc>
          <w:tcPr>
            <w:tcW w:w="5000" w:type="dxa"/>
            <w:vAlign w:val="bottom"/>
          </w:tcPr>
          <w:p>
            <w:pPr>
              <w:spacing w:after="0"/>
              <w:rPr>
                <w:sz w:val="15"/>
                <w:szCs w:val="15"/>
                <w:color w:val="auto"/>
              </w:rPr>
            </w:pPr>
          </w:p>
        </w:tc>
        <w:tc>
          <w:tcPr>
            <w:tcW w:w="1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PROPERTIES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PRO FORMA</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PROPERTIES</w:t>
            </w:r>
          </w:p>
        </w:tc>
      </w:tr>
      <w:tr>
        <w:trPr>
          <w:trHeight w:val="183"/>
        </w:trPr>
        <w:tc>
          <w:tcPr>
            <w:tcW w:w="5000" w:type="dxa"/>
            <w:vAlign w:val="bottom"/>
          </w:tcPr>
          <w:p>
            <w:pPr>
              <w:spacing w:after="0"/>
              <w:rPr>
                <w:sz w:val="15"/>
                <w:szCs w:val="15"/>
                <w:color w:val="auto"/>
              </w:rPr>
            </w:pPr>
          </w:p>
        </w:tc>
        <w:tc>
          <w:tcPr>
            <w:tcW w:w="1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HISTORICAL</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ADJUSTMENTS</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PRO FORMA</w:t>
            </w:r>
          </w:p>
        </w:tc>
      </w:tr>
      <w:tr>
        <w:trPr>
          <w:trHeight w:val="183"/>
        </w:trPr>
        <w:tc>
          <w:tcPr>
            <w:tcW w:w="5000" w:type="dxa"/>
            <w:vAlign w:val="bottom"/>
          </w:tcPr>
          <w:p>
            <w:pPr>
              <w:spacing w:after="0"/>
              <w:rPr>
                <w:sz w:val="15"/>
                <w:szCs w:val="15"/>
                <w:color w:val="auto"/>
              </w:rPr>
            </w:pPr>
          </w:p>
        </w:tc>
        <w:tc>
          <w:tcPr>
            <w:tcW w:w="1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Revenues.......................................</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$44,993</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$44,993</w:t>
            </w:r>
          </w:p>
        </w:tc>
      </w:tr>
      <w:tr>
        <w:trPr>
          <w:trHeight w:val="183"/>
        </w:trPr>
        <w:tc>
          <w:tcPr>
            <w:tcW w:w="5000" w:type="dxa"/>
            <w:vAlign w:val="bottom"/>
          </w:tcPr>
          <w:p>
            <w:pPr>
              <w:jc w:val="right"/>
              <w:ind w:right="3201"/>
              <w:spacing w:after="0"/>
              <w:rPr>
                <w:sz w:val="20"/>
                <w:szCs w:val="20"/>
                <w:color w:val="auto"/>
              </w:rPr>
            </w:pPr>
            <w:r>
              <w:rPr>
                <w:rFonts w:ascii="Courier New" w:cs="Courier New" w:eastAsia="Courier New" w:hAnsi="Courier New"/>
                <w:sz w:val="16"/>
                <w:szCs w:val="16"/>
                <w:color w:val="auto"/>
                <w:w w:val="98"/>
              </w:rPr>
              <w:t>Operating charges:</w:t>
            </w:r>
          </w:p>
        </w:tc>
        <w:tc>
          <w:tcPr>
            <w:tcW w:w="1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Operating expenses...............................</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12,729</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250(1)</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12,979</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Salaries and wages...............................</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20,747</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20,747</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Provision for doubtful accounts..................</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1,707</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1,707</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 and amortization....................</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1,830</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302(2)</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2,132</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Lease and rental expense.........................</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205</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205</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 expense, net............................</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1,883</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(1,883)(3)</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Management fees..................................</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2,752</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(2,752)(4)</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spacing w:after="0"/>
              <w:rPr>
                <w:sz w:val="15"/>
                <w:szCs w:val="15"/>
                <w:color w:val="auto"/>
              </w:rPr>
            </w:pP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expenses...............................</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41,853</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(4,083)</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37,770</w:t>
            </w:r>
          </w:p>
        </w:tc>
      </w:tr>
      <w:tr>
        <w:trPr>
          <w:trHeight w:val="183"/>
        </w:trPr>
        <w:tc>
          <w:tcPr>
            <w:tcW w:w="5000" w:type="dxa"/>
            <w:vAlign w:val="bottom"/>
          </w:tcPr>
          <w:p>
            <w:pPr>
              <w:spacing w:after="0"/>
              <w:rPr>
                <w:sz w:val="15"/>
                <w:szCs w:val="15"/>
                <w:color w:val="auto"/>
              </w:rPr>
            </w:pP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Income before income taxes.........................</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3,140</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4,083</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7,223</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Provision for income taxes.........................</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1,574</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1,574</w:t>
            </w:r>
          </w:p>
        </w:tc>
      </w:tr>
      <w:tr>
        <w:trPr>
          <w:trHeight w:val="183"/>
        </w:trPr>
        <w:tc>
          <w:tcPr>
            <w:tcW w:w="5000" w:type="dxa"/>
            <w:vAlign w:val="bottom"/>
          </w:tcPr>
          <w:p>
            <w:pPr>
              <w:spacing w:after="0"/>
              <w:rPr>
                <w:sz w:val="15"/>
                <w:szCs w:val="15"/>
                <w:color w:val="auto"/>
              </w:rPr>
            </w:pP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income.........................................</w:t>
            </w: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$ 1,566</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$ 4,083</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$ 5,649</w:t>
            </w:r>
          </w:p>
        </w:tc>
      </w:tr>
      <w:tr>
        <w:trPr>
          <w:trHeight w:val="183"/>
        </w:trPr>
        <w:tc>
          <w:tcPr>
            <w:tcW w:w="5000" w:type="dxa"/>
            <w:vAlign w:val="bottom"/>
          </w:tcPr>
          <w:p>
            <w:pPr>
              <w:spacing w:after="0"/>
              <w:rPr>
                <w:sz w:val="15"/>
                <w:szCs w:val="15"/>
                <w:color w:val="auto"/>
              </w:rPr>
            </w:pP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5000" w:type="dxa"/>
            <w:vAlign w:val="bottom"/>
          </w:tcPr>
          <w:p>
            <w:pPr>
              <w:spacing w:after="0"/>
              <w:rPr>
                <w:sz w:val="15"/>
                <w:szCs w:val="15"/>
                <w:color w:val="auto"/>
              </w:rPr>
            </w:pPr>
          </w:p>
        </w:tc>
        <w:tc>
          <w:tcPr>
            <w:tcW w:w="19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w w:val="99"/>
              </w:rPr>
              <w:t>THREE MONTHS ENDED MARCH 31, 1996</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w w:val="99"/>
              </w:rPr>
              <w:t>---------------------------------</w:t>
            </w: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3140" w:type="dxa"/>
            <w:vAlign w:val="bottom"/>
          </w:tcPr>
          <w:p>
            <w:pPr>
              <w:spacing w:after="0"/>
              <w:rPr>
                <w:sz w:val="15"/>
                <w:szCs w:val="15"/>
                <w:color w:val="auto"/>
              </w:rPr>
            </w:pPr>
          </w:p>
        </w:tc>
        <w:tc>
          <w:tcPr>
            <w:tcW w:w="3820" w:type="dxa"/>
            <w:vAlign w:val="bottom"/>
          </w:tcPr>
          <w:p>
            <w:pPr>
              <w:jc w:val="right"/>
              <w:ind w:right="684"/>
              <w:spacing w:after="0"/>
              <w:rPr>
                <w:sz w:val="20"/>
                <w:szCs w:val="20"/>
                <w:color w:val="auto"/>
              </w:rPr>
            </w:pPr>
            <w:r>
              <w:rPr>
                <w:rFonts w:ascii="Courier New" w:cs="Courier New" w:eastAsia="Courier New" w:hAnsi="Courier New"/>
                <w:sz w:val="16"/>
                <w:szCs w:val="16"/>
                <w:color w:val="auto"/>
              </w:rPr>
              <w:t>FIRST</w:t>
            </w:r>
          </w:p>
        </w:tc>
        <w:tc>
          <w:tcPr>
            <w:tcW w:w="1520" w:type="dxa"/>
            <w:vAlign w:val="bottom"/>
          </w:tcPr>
          <w:p>
            <w:pPr>
              <w:spacing w:after="0"/>
              <w:rPr>
                <w:sz w:val="15"/>
                <w:szCs w:val="15"/>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FIRST</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HOSPITAL</w:t>
            </w:r>
          </w:p>
        </w:tc>
        <w:tc>
          <w:tcPr>
            <w:tcW w:w="152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HOSPITAL</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04"/>
              <w:spacing w:after="0"/>
              <w:rPr>
                <w:sz w:val="20"/>
                <w:szCs w:val="20"/>
                <w:color w:val="auto"/>
              </w:rPr>
            </w:pPr>
            <w:r>
              <w:rPr>
                <w:rFonts w:ascii="Courier New" w:cs="Courier New" w:eastAsia="Courier New" w:hAnsi="Courier New"/>
                <w:sz w:val="16"/>
                <w:szCs w:val="16"/>
                <w:color w:val="auto"/>
              </w:rPr>
              <w:t>PROPERTIES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PRO FORMA</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PROPERTIES</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04"/>
              <w:spacing w:after="0"/>
              <w:rPr>
                <w:sz w:val="20"/>
                <w:szCs w:val="20"/>
                <w:color w:val="auto"/>
              </w:rPr>
            </w:pPr>
            <w:r>
              <w:rPr>
                <w:rFonts w:ascii="Courier New" w:cs="Courier New" w:eastAsia="Courier New" w:hAnsi="Courier New"/>
                <w:sz w:val="16"/>
                <w:szCs w:val="16"/>
                <w:color w:val="auto"/>
              </w:rPr>
              <w:t>HISTORICAL</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ADJUSTMENTS</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PRO FORMA</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12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67"/>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w w:val="72"/>
              </w:rPr>
              <w:t>Net Revenues.......................................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$12,215</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$12,215</w:t>
            </w:r>
          </w:p>
        </w:tc>
      </w:tr>
      <w:tr>
        <w:trPr>
          <w:trHeight w:val="183"/>
        </w:trPr>
        <w:tc>
          <w:tcPr>
            <w:tcW w:w="3140" w:type="dxa"/>
            <w:vAlign w:val="bottom"/>
          </w:tcPr>
          <w:p>
            <w:pPr>
              <w:jc w:val="right"/>
              <w:ind w:right="1346"/>
              <w:spacing w:after="0"/>
              <w:rPr>
                <w:sz w:val="20"/>
                <w:szCs w:val="20"/>
                <w:color w:val="auto"/>
              </w:rPr>
            </w:pPr>
            <w:r>
              <w:rPr>
                <w:rFonts w:ascii="Courier New" w:cs="Courier New" w:eastAsia="Courier New" w:hAnsi="Courier New"/>
                <w:sz w:val="16"/>
                <w:szCs w:val="16"/>
                <w:color w:val="auto"/>
                <w:w w:val="98"/>
              </w:rPr>
              <w:t>Operating charges:</w:t>
            </w:r>
          </w:p>
        </w:tc>
        <w:tc>
          <w:tcPr>
            <w:tcW w:w="3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Operating expenses...............................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3,542</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63(1)</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3,605</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Salaries and wages...............................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5,353</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5,353</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rPr>
              <w:t>Provision for doubtful accounts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..................367</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367</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Depreciation and amortization....................</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451</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82(2)</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533</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Lease and rental expense.........................</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73</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Interest expense, net............................</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449</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(449)(3)</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70"/>
              </w:rPr>
              <w:t>Management fees..................................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562</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(562)(4)</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6"/>
                <w:szCs w:val="16"/>
                <w:color w:val="auto"/>
                <w:w w:val="72"/>
              </w:rPr>
              <w:t>Total expenses...............................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10,797</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(866)</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9.931</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w w:val="72"/>
              </w:rPr>
              <w:t>Income before income taxes.........................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1,418</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866</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2,284</w:t>
            </w:r>
          </w:p>
        </w:tc>
      </w:tr>
      <w:tr>
        <w:trPr>
          <w:trHeight w:val="183"/>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w w:val="72"/>
              </w:rPr>
              <w:t>Provision for income taxes.........................</w:t>
            </w: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542</w:t>
            </w:r>
          </w:p>
        </w:tc>
        <w:tc>
          <w:tcPr>
            <w:tcW w:w="15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542</w:t>
            </w:r>
          </w:p>
        </w:tc>
      </w:tr>
      <w:tr>
        <w:trPr>
          <w:trHeight w:val="183"/>
        </w:trPr>
        <w:tc>
          <w:tcPr>
            <w:tcW w:w="3140" w:type="dxa"/>
            <w:vAlign w:val="bottom"/>
          </w:tcPr>
          <w:p>
            <w:pPr>
              <w:spacing w:after="0"/>
              <w:rPr>
                <w:sz w:val="15"/>
                <w:szCs w:val="15"/>
                <w:color w:val="auto"/>
              </w:rPr>
            </w:pPr>
          </w:p>
        </w:tc>
        <w:tc>
          <w:tcPr>
            <w:tcW w:w="3820" w:type="dxa"/>
            <w:vAlign w:val="bottom"/>
          </w:tcPr>
          <w:p>
            <w:pPr>
              <w:jc w:val="right"/>
              <w:ind w:right="584"/>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1"/>
          </w:cols>
          <w:pgMar w:left="238" w:top="484" w:right="1440" w:bottom="0" w:gutter="0" w:footer="0" w:header="0"/>
          <w:type w:val="continuous"/>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20" w:type="dxa"/>
            <w:vAlign w:val="bottom"/>
          </w:tcPr>
          <w:p>
            <w:pPr>
              <w:spacing w:after="0"/>
              <w:rPr>
                <w:sz w:val="20"/>
                <w:szCs w:val="20"/>
                <w:color w:val="auto"/>
              </w:rPr>
            </w:pPr>
            <w:r>
              <w:rPr>
                <w:rFonts w:ascii="Courier New" w:cs="Courier New" w:eastAsia="Courier New" w:hAnsi="Courier New"/>
                <w:sz w:val="16"/>
                <w:szCs w:val="16"/>
                <w:color w:val="auto"/>
                <w:w w:val="98"/>
              </w:rPr>
              <w:t>Net income (loss)</w:t>
            </w:r>
          </w:p>
        </w:tc>
        <w:tc>
          <w:tcPr>
            <w:tcW w:w="5100" w:type="dxa"/>
            <w:vAlign w:val="bottom"/>
          </w:tcPr>
          <w:p>
            <w:pPr>
              <w:jc w:val="right"/>
              <w:ind w:right="354"/>
              <w:spacing w:after="0"/>
              <w:rPr>
                <w:sz w:val="20"/>
                <w:szCs w:val="20"/>
                <w:color w:val="auto"/>
              </w:rPr>
            </w:pPr>
            <w:r>
              <w:rPr>
                <w:rFonts w:ascii="Courier New" w:cs="Courier New" w:eastAsia="Courier New" w:hAnsi="Courier New"/>
                <w:sz w:val="16"/>
                <w:szCs w:val="16"/>
                <w:color w:val="auto"/>
              </w:rPr>
              <w:t>..................................$   876</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866</w:t>
            </w:r>
          </w:p>
        </w:tc>
        <w:tc>
          <w:tcPr>
            <w:tcW w:w="104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$ 1,742</w:t>
            </w:r>
          </w:p>
        </w:tc>
      </w:tr>
      <w:tr>
        <w:trPr>
          <w:trHeight w:val="183"/>
        </w:trPr>
        <w:tc>
          <w:tcPr>
            <w:tcW w:w="1620" w:type="dxa"/>
            <w:vAlign w:val="bottom"/>
          </w:tcPr>
          <w:p>
            <w:pPr>
              <w:spacing w:after="0"/>
              <w:rPr>
                <w:sz w:val="15"/>
                <w:szCs w:val="15"/>
                <w:color w:val="auto"/>
              </w:rPr>
            </w:pPr>
          </w:p>
        </w:tc>
        <w:tc>
          <w:tcPr>
            <w:tcW w:w="5100" w:type="dxa"/>
            <w:vAlign w:val="bottom"/>
          </w:tcPr>
          <w:p>
            <w:pPr>
              <w:jc w:val="right"/>
              <w:ind w:right="354"/>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1620" w:type="dxa"/>
            <w:vAlign w:val="bottom"/>
          </w:tcPr>
          <w:p>
            <w:pPr>
              <w:spacing w:after="0"/>
              <w:rPr>
                <w:sz w:val="15"/>
                <w:szCs w:val="15"/>
                <w:color w:val="auto"/>
              </w:rPr>
            </w:pPr>
          </w:p>
        </w:tc>
        <w:tc>
          <w:tcPr>
            <w:tcW w:w="5100" w:type="dxa"/>
            <w:vAlign w:val="bottom"/>
          </w:tcPr>
          <w:p>
            <w:pPr>
              <w:jc w:val="right"/>
              <w:ind w:right="354"/>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w:t>
            </w:r>
          </w:p>
        </w:tc>
      </w:tr>
      <w:tr>
        <w:trPr>
          <w:trHeight w:val="550"/>
        </w:trPr>
        <w:tc>
          <w:tcPr>
            <w:tcW w:w="1620" w:type="dxa"/>
            <w:vAlign w:val="bottom"/>
          </w:tcPr>
          <w:p>
            <w:pPr>
              <w:spacing w:after="0"/>
              <w:rPr>
                <w:sz w:val="24"/>
                <w:szCs w:val="24"/>
                <w:color w:val="auto"/>
              </w:rPr>
            </w:pPr>
          </w:p>
        </w:tc>
        <w:tc>
          <w:tcPr>
            <w:tcW w:w="5100" w:type="dxa"/>
            <w:vAlign w:val="bottom"/>
          </w:tcPr>
          <w:p>
            <w:pPr>
              <w:jc w:val="right"/>
              <w:ind w:right="2754"/>
              <w:spacing w:after="0"/>
              <w:rPr>
                <w:sz w:val="20"/>
                <w:szCs w:val="20"/>
                <w:color w:val="auto"/>
              </w:rPr>
            </w:pPr>
            <w:r>
              <w:rPr>
                <w:rFonts w:ascii="Courier New" w:cs="Courier New" w:eastAsia="Courier New" w:hAnsi="Courier New"/>
                <w:sz w:val="16"/>
                <w:szCs w:val="16"/>
                <w:color w:val="auto"/>
              </w:rPr>
              <w:t>20</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139" w:right="1440" w:bottom="1440" w:gutter="0" w:footer="0" w:header="0"/>
        </w:sectPr>
      </w:pPr>
    </w:p>
    <w:bookmarkStart w:id="24" w:name="page25"/>
    <w:bookmarkEnd w:id="24"/>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668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668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NOTES TO MANAGEMENT'S ASSUMPTIONS TO UNAUDITED</w:t>
            </w: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660"/>
              <w:spacing w:after="0"/>
              <w:rPr>
                <w:sz w:val="20"/>
                <w:szCs w:val="20"/>
                <w:color w:val="auto"/>
              </w:rPr>
            </w:pPr>
            <w:r>
              <w:rPr>
                <w:rFonts w:ascii="Courier New" w:cs="Courier New" w:eastAsia="Courier New" w:hAnsi="Courier New"/>
                <w:sz w:val="16"/>
                <w:szCs w:val="16"/>
                <w:color w:val="auto"/>
                <w:w w:val="99"/>
              </w:rPr>
              <w:t>PRO FORMA CONDENSED CONSOLIDATED FINANCIAL STATEMENTS</w:t>
            </w:r>
          </w:p>
        </w:tc>
        <w:tc>
          <w:tcPr>
            <w:tcW w:w="1900" w:type="dxa"/>
            <w:vAlign w:val="bottom"/>
            <w:gridSpan w:val="2"/>
          </w:tcPr>
          <w:p>
            <w:pPr>
              <w:jc w:val="center"/>
              <w:ind w:right="581"/>
              <w:spacing w:after="0"/>
              <w:rPr>
                <w:sz w:val="20"/>
                <w:szCs w:val="20"/>
                <w:color w:val="auto"/>
              </w:rPr>
            </w:pPr>
            <w:r>
              <w:rPr>
                <w:rFonts w:ascii="Courier New" w:cs="Courier New" w:eastAsia="Courier New" w:hAnsi="Courier New"/>
                <w:sz w:val="16"/>
                <w:szCs w:val="16"/>
                <w:color w:val="auto"/>
                <w:w w:val="99"/>
              </w:rPr>
              <w:t>--(CONTINUED)</w:t>
            </w:r>
          </w:p>
        </w:tc>
        <w:tc>
          <w:tcPr>
            <w:tcW w:w="1920" w:type="dxa"/>
            <w:vAlign w:val="bottom"/>
          </w:tcPr>
          <w:p>
            <w:pPr>
              <w:spacing w:after="0"/>
              <w:rPr>
                <w:sz w:val="15"/>
                <w:szCs w:val="15"/>
                <w:color w:val="auto"/>
              </w:rPr>
            </w:pP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734"/>
        </w:trPr>
        <w:tc>
          <w:tcPr>
            <w:tcW w:w="5720" w:type="dxa"/>
            <w:vAlign w:val="bottom"/>
          </w:tcPr>
          <w:p>
            <w:pPr>
              <w:spacing w:after="0"/>
              <w:rPr>
                <w:sz w:val="24"/>
                <w:szCs w:val="24"/>
                <w:color w:val="auto"/>
              </w:rPr>
            </w:pP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YEAR ENDED</w:t>
            </w:r>
          </w:p>
        </w:tc>
        <w:tc>
          <w:tcPr>
            <w:tcW w:w="19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THREE MONTHS ENDED</w:t>
            </w:r>
          </w:p>
        </w:tc>
      </w:tr>
      <w:tr>
        <w:trPr>
          <w:trHeight w:val="183"/>
        </w:trPr>
        <w:tc>
          <w:tcPr>
            <w:tcW w:w="572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DECEMBER</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31, 1995</w:t>
            </w:r>
          </w:p>
        </w:tc>
        <w:tc>
          <w:tcPr>
            <w:tcW w:w="19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MARCH 31, 1996</w:t>
            </w:r>
          </w:p>
        </w:tc>
      </w:tr>
      <w:tr>
        <w:trPr>
          <w:trHeight w:val="183"/>
        </w:trPr>
        <w:tc>
          <w:tcPr>
            <w:tcW w:w="5720" w:type="dxa"/>
            <w:vAlign w:val="bottom"/>
          </w:tcPr>
          <w:p>
            <w:pPr>
              <w:spacing w:after="0"/>
              <w:rPr>
                <w:sz w:val="15"/>
                <w:szCs w:val="15"/>
                <w:color w:val="auto"/>
              </w:rPr>
            </w:pPr>
          </w:p>
        </w:tc>
        <w:tc>
          <w:tcPr>
            <w:tcW w:w="1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(1)   To adjust operating expenses at the First Hospital</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Properties for increases in operating expenses......</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0"/>
              </w:rPr>
              <w:t>250</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63</w:t>
            </w:r>
          </w:p>
        </w:tc>
      </w:tr>
      <w:tr>
        <w:trPr>
          <w:trHeight w:val="183"/>
        </w:trPr>
        <w:tc>
          <w:tcPr>
            <w:tcW w:w="5720" w:type="dxa"/>
            <w:vAlign w:val="bottom"/>
          </w:tcPr>
          <w:p>
            <w:pPr>
              <w:spacing w:after="0"/>
              <w:rPr>
                <w:sz w:val="15"/>
                <w:szCs w:val="15"/>
                <w:color w:val="auto"/>
              </w:rPr>
            </w:pPr>
          </w:p>
        </w:tc>
        <w:tc>
          <w:tcPr>
            <w:tcW w:w="19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15"/>
                <w:szCs w:val="15"/>
                <w:color w:val="auto"/>
              </w:rPr>
            </w:pPr>
          </w:p>
        </w:tc>
        <w:tc>
          <w:tcPr>
            <w:tcW w:w="19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(2)   Adjustments to depreciation and amortization</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expense--</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 To eliminate historical depreciation expense at</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the</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First Hospital Properties...........................</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(1,830)</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(451)</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 To record historical depreciation and amortization</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760"/>
              <w:spacing w:after="0"/>
              <w:rPr>
                <w:sz w:val="20"/>
                <w:szCs w:val="20"/>
                <w:color w:val="auto"/>
              </w:rPr>
            </w:pPr>
            <w:r>
              <w:rPr>
                <w:rFonts w:ascii="Courier New" w:cs="Courier New" w:eastAsia="Courier New" w:hAnsi="Courier New"/>
                <w:sz w:val="16"/>
                <w:szCs w:val="16"/>
                <w:color w:val="auto"/>
              </w:rPr>
              <w:t>expense based on average depreciable lives of 25</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760"/>
              <w:spacing w:after="0"/>
              <w:rPr>
                <w:sz w:val="20"/>
                <w:szCs w:val="20"/>
                <w:color w:val="auto"/>
              </w:rPr>
            </w:pPr>
            <w:r>
              <w:rPr>
                <w:rFonts w:ascii="Courier New" w:cs="Courier New" w:eastAsia="Courier New" w:hAnsi="Courier New"/>
                <w:sz w:val="16"/>
                <w:szCs w:val="16"/>
                <w:color w:val="auto"/>
              </w:rPr>
              <w:t>years for buildings and improvements, 7 years for</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760"/>
              <w:spacing w:after="0"/>
              <w:rPr>
                <w:sz w:val="20"/>
                <w:szCs w:val="20"/>
                <w:color w:val="auto"/>
              </w:rPr>
            </w:pPr>
            <w:r>
              <w:rPr>
                <w:rFonts w:ascii="Courier New" w:cs="Courier New" w:eastAsia="Courier New" w:hAnsi="Courier New"/>
                <w:sz w:val="16"/>
                <w:szCs w:val="16"/>
                <w:color w:val="auto"/>
              </w:rPr>
              <w:t>equipment and 15 years for the amortization of</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760"/>
              <w:spacing w:after="0"/>
              <w:rPr>
                <w:sz w:val="20"/>
                <w:szCs w:val="20"/>
                <w:color w:val="auto"/>
              </w:rPr>
            </w:pPr>
            <w:r>
              <w:rPr>
                <w:rFonts w:ascii="Courier New" w:cs="Courier New" w:eastAsia="Courier New" w:hAnsi="Courier New"/>
                <w:sz w:val="16"/>
                <w:szCs w:val="16"/>
                <w:color w:val="auto"/>
              </w:rPr>
              <w:t>goodwill at the First Hospital Properties.........</w:t>
            </w:r>
          </w:p>
        </w:tc>
        <w:tc>
          <w:tcPr>
            <w:tcW w:w="19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2,132</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533</w:t>
            </w:r>
          </w:p>
        </w:tc>
      </w:tr>
      <w:tr>
        <w:trPr>
          <w:trHeight w:val="183"/>
        </w:trPr>
        <w:tc>
          <w:tcPr>
            <w:tcW w:w="5720" w:type="dxa"/>
            <w:vAlign w:val="bottom"/>
          </w:tcPr>
          <w:p>
            <w:pPr>
              <w:spacing w:after="0"/>
              <w:rPr>
                <w:sz w:val="15"/>
                <w:szCs w:val="15"/>
                <w:color w:val="auto"/>
              </w:rPr>
            </w:pPr>
          </w:p>
        </w:tc>
        <w:tc>
          <w:tcPr>
            <w:tcW w:w="19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Total adjustments to Depreciation and</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amortization........................................</w:t>
            </w:r>
          </w:p>
        </w:tc>
        <w:tc>
          <w:tcPr>
            <w:tcW w:w="960" w:type="dxa"/>
            <w:vAlign w:val="bottom"/>
          </w:tcPr>
          <w:p>
            <w:pPr>
              <w:spacing w:after="0"/>
              <w:rPr>
                <w:sz w:val="15"/>
                <w:szCs w:val="15"/>
                <w:color w:val="auto"/>
              </w:rPr>
            </w:pPr>
          </w:p>
        </w:tc>
        <w:tc>
          <w:tcPr>
            <w:tcW w:w="9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0"/>
              </w:rPr>
              <w:t>302</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82</w:t>
            </w:r>
          </w:p>
        </w:tc>
      </w:tr>
      <w:tr>
        <w:trPr>
          <w:trHeight w:val="183"/>
        </w:trPr>
        <w:tc>
          <w:tcPr>
            <w:tcW w:w="5720" w:type="dxa"/>
            <w:vAlign w:val="bottom"/>
          </w:tcPr>
          <w:p>
            <w:pPr>
              <w:spacing w:after="0"/>
              <w:rPr>
                <w:sz w:val="15"/>
                <w:szCs w:val="15"/>
                <w:color w:val="auto"/>
              </w:rPr>
            </w:pPr>
          </w:p>
        </w:tc>
        <w:tc>
          <w:tcPr>
            <w:tcW w:w="19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15"/>
                <w:szCs w:val="15"/>
                <w:color w:val="auto"/>
              </w:rPr>
            </w:pPr>
          </w:p>
        </w:tc>
        <w:tc>
          <w:tcPr>
            <w:tcW w:w="19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(3)   To eliminate historical interest expense............</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(1,883)</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(449)</w:t>
            </w:r>
          </w:p>
        </w:tc>
      </w:tr>
      <w:tr>
        <w:trPr>
          <w:trHeight w:val="183"/>
        </w:trPr>
        <w:tc>
          <w:tcPr>
            <w:tcW w:w="5720" w:type="dxa"/>
            <w:vAlign w:val="bottom"/>
          </w:tcPr>
          <w:p>
            <w:pPr>
              <w:spacing w:after="0"/>
              <w:rPr>
                <w:sz w:val="15"/>
                <w:szCs w:val="15"/>
                <w:color w:val="auto"/>
              </w:rPr>
            </w:pPr>
          </w:p>
        </w:tc>
        <w:tc>
          <w:tcPr>
            <w:tcW w:w="19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15"/>
                <w:szCs w:val="15"/>
                <w:color w:val="auto"/>
              </w:rPr>
            </w:pPr>
          </w:p>
        </w:tc>
        <w:tc>
          <w:tcPr>
            <w:tcW w:w="19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(4)   To eliminate management fees paid to an affiliate of</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the First Hospital Properties.......................</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(2,752)</w:t>
            </w:r>
          </w:p>
        </w:tc>
        <w:tc>
          <w:tcPr>
            <w:tcW w:w="19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(562)</w:t>
            </w:r>
          </w:p>
        </w:tc>
      </w:tr>
      <w:tr>
        <w:trPr>
          <w:trHeight w:val="183"/>
        </w:trPr>
        <w:tc>
          <w:tcPr>
            <w:tcW w:w="5720" w:type="dxa"/>
            <w:vAlign w:val="bottom"/>
          </w:tcPr>
          <w:p>
            <w:pPr>
              <w:spacing w:after="0"/>
              <w:rPr>
                <w:sz w:val="15"/>
                <w:szCs w:val="15"/>
                <w:color w:val="auto"/>
              </w:rPr>
            </w:pPr>
          </w:p>
        </w:tc>
        <w:tc>
          <w:tcPr>
            <w:tcW w:w="19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15"/>
                <w:szCs w:val="15"/>
                <w:color w:val="auto"/>
              </w:rPr>
            </w:pPr>
          </w:p>
        </w:tc>
        <w:tc>
          <w:tcPr>
            <w:tcW w:w="190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(5)   The allocation of the purchase price excludes</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5720" w:type="dxa"/>
            <w:vAlign w:val="bottom"/>
          </w:tcPr>
          <w:p>
            <w:pPr>
              <w:ind w:left="580"/>
              <w:spacing w:after="0"/>
              <w:rPr>
                <w:sz w:val="20"/>
                <w:szCs w:val="20"/>
                <w:color w:val="auto"/>
              </w:rPr>
            </w:pPr>
            <w:r>
              <w:rPr>
                <w:rFonts w:ascii="Courier New" w:cs="Courier New" w:eastAsia="Courier New" w:hAnsi="Courier New"/>
                <w:sz w:val="16"/>
                <w:szCs w:val="16"/>
                <w:color w:val="auto"/>
              </w:rPr>
              <w:t>contingent consideration.</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55" w:lineRule="exact"/>
        <w:rPr>
          <w:sz w:val="20"/>
          <w:szCs w:val="20"/>
          <w:color w:val="auto"/>
        </w:rPr>
      </w:pPr>
    </w:p>
    <w:p>
      <w:pPr>
        <w:ind w:left="582" w:right="5159" w:hanging="582"/>
        <w:spacing w:after="0" w:line="259" w:lineRule="auto"/>
        <w:tabs>
          <w:tab w:leader="none" w:pos="58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acquisition costs incurred by UHS related to Northwest Texas Health and the First</w:t>
      </w:r>
    </w:p>
    <w:p>
      <w:pPr>
        <w:sectPr>
          <w:pgSz w:w="11900" w:h="16838" w:orient="portrait"/>
          <w:cols w:equalWidth="0" w:num="1">
            <w:col w:w="10221"/>
          </w:cols>
          <w:pgMar w:left="238" w:top="481" w:right="1440" w:bottom="1440" w:gutter="0" w:footer="0" w:header="0"/>
        </w:sectPr>
      </w:pPr>
    </w:p>
    <w:p>
      <w:pPr>
        <w:ind w:left="582"/>
        <w:spacing w:after="0"/>
        <w:rPr>
          <w:sz w:val="20"/>
          <w:szCs w:val="20"/>
          <w:color w:val="auto"/>
        </w:rPr>
      </w:pPr>
      <w:r>
        <w:rPr>
          <w:rFonts w:ascii="Courier New" w:cs="Courier New" w:eastAsia="Courier New" w:hAnsi="Courier New"/>
          <w:sz w:val="15"/>
          <w:szCs w:val="15"/>
          <w:color w:val="auto"/>
        </w:rPr>
        <w:t>Hospital Properties.................................</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line="236" w:lineRule="auto"/>
        <w:rPr>
          <w:sz w:val="20"/>
          <w:szCs w:val="20"/>
          <w:color w:val="auto"/>
        </w:rPr>
      </w:pPr>
      <w:r>
        <w:rPr>
          <w:rFonts w:ascii="Courier New" w:cs="Courier New" w:eastAsia="Courier New" w:hAnsi="Courier New"/>
          <w:sz w:val="16"/>
          <w:szCs w:val="16"/>
          <w:color w:val="auto"/>
        </w:rPr>
        <w:t>(245)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ectPr>
          <w:pgSz w:w="11900" w:h="16838" w:orient="portrait"/>
          <w:cols w:equalWidth="0" w:num="3">
            <w:col w:w="5582" w:space="720"/>
            <w:col w:w="1380" w:space="720"/>
            <w:col w:w="1819"/>
          </w:cols>
          <w:pgMar w:left="238" w:top="481" w:right="1440" w:bottom="1440" w:gutter="0" w:footer="0" w:header="0"/>
          <w:type w:val="continuous"/>
        </w:sectPr>
      </w:pPr>
    </w:p>
    <w:p>
      <w:pPr>
        <w:ind w:left="582" w:hanging="582"/>
        <w:spacing w:after="0"/>
        <w:tabs>
          <w:tab w:leader="none" w:pos="5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interest expense, net--</w:t>
      </w:r>
    </w:p>
    <w:p>
      <w:pPr>
        <w:spacing w:after="0" w:line="5" w:lineRule="exact"/>
        <w:rPr>
          <w:rFonts w:ascii="Courier New" w:cs="Courier New" w:eastAsia="Courier New" w:hAnsi="Courier New"/>
          <w:sz w:val="16"/>
          <w:szCs w:val="16"/>
          <w:color w:val="auto"/>
        </w:rPr>
      </w:pPr>
    </w:p>
    <w:p>
      <w:pPr>
        <w:ind w:left="762" w:right="4779" w:hanging="191"/>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To record interest on borrowings to finance the purchase transactions using borrowings under the Company's revolving credit facility at an average</w:t>
      </w:r>
    </w:p>
    <w:tbl>
      <w:tblPr>
        <w:tblLayout w:type="fixed"/>
        <w:tblInd w:w="2" w:type="dxa"/>
        <w:tblCellMar>
          <w:top w:w="0" w:type="dxa"/>
          <w:left w:w="0" w:type="dxa"/>
          <w:bottom w:w="0" w:type="dxa"/>
          <w:right w:w="0" w:type="dxa"/>
        </w:tblCellMar>
      </w:tblPr>
      <w:tr>
        <w:trPr>
          <w:trHeight w:val="179"/>
        </w:trPr>
        <w:tc>
          <w:tcPr>
            <w:tcW w:w="5920" w:type="dxa"/>
            <w:vAlign w:val="bottom"/>
          </w:tcPr>
          <w:p>
            <w:pPr>
              <w:jc w:val="right"/>
              <w:ind w:right="321"/>
              <w:spacing w:after="0" w:line="179" w:lineRule="exact"/>
              <w:rPr>
                <w:sz w:val="20"/>
                <w:szCs w:val="20"/>
                <w:color w:val="auto"/>
              </w:rPr>
            </w:pPr>
            <w:r>
              <w:rPr>
                <w:rFonts w:ascii="Courier New" w:cs="Courier New" w:eastAsia="Courier New" w:hAnsi="Courier New"/>
                <w:sz w:val="16"/>
                <w:szCs w:val="16"/>
                <w:color w:val="auto"/>
              </w:rPr>
              <w:t>rate of 6.77% and 6.13%, respectively.............</w:t>
            </w:r>
          </w:p>
        </w:tc>
        <w:tc>
          <w:tcPr>
            <w:tcW w:w="1800" w:type="dxa"/>
            <w:vAlign w:val="bottom"/>
          </w:tcPr>
          <w:p>
            <w:pPr>
              <w:jc w:val="right"/>
              <w:ind w:right="681"/>
              <w:spacing w:after="0" w:line="179" w:lineRule="exact"/>
              <w:rPr>
                <w:sz w:val="20"/>
                <w:szCs w:val="20"/>
                <w:color w:val="auto"/>
              </w:rPr>
            </w:pPr>
            <w:r>
              <w:rPr>
                <w:rFonts w:ascii="Courier New" w:cs="Courier New" w:eastAsia="Courier New" w:hAnsi="Courier New"/>
                <w:sz w:val="16"/>
                <w:szCs w:val="16"/>
                <w:color w:val="auto"/>
              </w:rPr>
              <w:t>4,943</w:t>
            </w:r>
          </w:p>
        </w:tc>
        <w:tc>
          <w:tcPr>
            <w:tcW w:w="1340" w:type="dxa"/>
            <w:vAlign w:val="bottom"/>
          </w:tcPr>
          <w:p>
            <w:pPr>
              <w:jc w:val="right"/>
              <w:ind w:right="21"/>
              <w:spacing w:after="0" w:line="179" w:lineRule="exact"/>
              <w:rPr>
                <w:sz w:val="20"/>
                <w:szCs w:val="20"/>
                <w:color w:val="auto"/>
              </w:rPr>
            </w:pPr>
            <w:r>
              <w:rPr>
                <w:rFonts w:ascii="Courier New" w:cs="Courier New" w:eastAsia="Courier New" w:hAnsi="Courier New"/>
                <w:sz w:val="16"/>
                <w:szCs w:val="16"/>
                <w:color w:val="auto"/>
              </w:rPr>
              <w:t>1,119</w:t>
            </w:r>
          </w:p>
        </w:tc>
      </w:tr>
      <w:tr>
        <w:trPr>
          <w:trHeight w:val="183"/>
        </w:trPr>
        <w:tc>
          <w:tcPr>
            <w:tcW w:w="59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To record interest income on the $7,000,000 loan</w:t>
            </w:r>
          </w:p>
        </w:tc>
        <w:tc>
          <w:tcPr>
            <w:tcW w:w="18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59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to First Hospital..................................</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(648)</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(162)</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Total adjustments to interest expense, net..........</w:t>
            </w: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4,295</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957</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8"/>
              </w:rPr>
              <w:t>(K)   To adjust income tax expense for the effect of all</w:t>
            </w:r>
          </w:p>
        </w:tc>
        <w:tc>
          <w:tcPr>
            <w:tcW w:w="18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59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pro forma adjustments...............................</w:t>
            </w: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5,303</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840</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20" w:type="dxa"/>
            <w:vAlign w:val="bottom"/>
          </w:tcPr>
          <w:p>
            <w:pPr>
              <w:spacing w:after="0"/>
              <w:rPr>
                <w:sz w:val="15"/>
                <w:szCs w:val="15"/>
                <w:color w:val="auto"/>
              </w:rPr>
            </w:pPr>
          </w:p>
        </w:tc>
        <w:tc>
          <w:tcPr>
            <w:tcW w:w="180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5920" w:type="dxa"/>
            <w:vAlign w:val="bottom"/>
          </w:tcPr>
          <w:p>
            <w:pPr>
              <w:jc w:val="right"/>
              <w:ind w:right="1941"/>
              <w:spacing w:after="0"/>
              <w:rPr>
                <w:sz w:val="20"/>
                <w:szCs w:val="20"/>
                <w:color w:val="auto"/>
              </w:rPr>
            </w:pPr>
            <w:r>
              <w:rPr>
                <w:rFonts w:ascii="Courier New" w:cs="Courier New" w:eastAsia="Courier New" w:hAnsi="Courier New"/>
                <w:sz w:val="16"/>
                <w:szCs w:val="16"/>
                <w:color w:val="auto"/>
              </w:rPr>
              <w:t>21</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21"/>
          </w:cols>
          <w:pgMar w:left="238" w:top="481" w:right="1440" w:bottom="1440" w:gutter="0" w:footer="0" w:header="0"/>
          <w:type w:val="continuous"/>
        </w:sectPr>
      </w:pPr>
    </w:p>
    <w:bookmarkStart w:id="25" w:name="page26"/>
    <w:bookmarkEnd w:id="25"/>
    <w:p>
      <w:pPr>
        <w:ind w:left="2660"/>
        <w:spacing w:after="0"/>
        <w:rPr>
          <w:sz w:val="20"/>
          <w:szCs w:val="20"/>
          <w:color w:val="auto"/>
        </w:rPr>
      </w:pPr>
      <w:r>
        <w:rPr>
          <w:rFonts w:ascii="Courier New" w:cs="Courier New" w:eastAsia="Courier New" w:hAnsi="Courier New"/>
          <w:sz w:val="16"/>
          <w:szCs w:val="16"/>
          <w:color w:val="auto"/>
        </w:rPr>
        <w:t>SELECTED FINANCIAL DATA</w:t>
      </w:r>
    </w:p>
    <w:p>
      <w:pPr>
        <w:spacing w:after="0" w:line="188" w:lineRule="exact"/>
        <w:rPr>
          <w:sz w:val="20"/>
          <w:szCs w:val="20"/>
          <w:color w:val="auto"/>
        </w:rPr>
      </w:pPr>
    </w:p>
    <w:p>
      <w:pPr>
        <w:ind w:right="3980" w:firstLine="382"/>
        <w:spacing w:after="0" w:line="242" w:lineRule="auto"/>
        <w:rPr>
          <w:sz w:val="20"/>
          <w:szCs w:val="20"/>
          <w:color w:val="auto"/>
        </w:rPr>
      </w:pPr>
      <w:r>
        <w:rPr>
          <w:rFonts w:ascii="Courier New" w:cs="Courier New" w:eastAsia="Courier New" w:hAnsi="Courier New"/>
          <w:sz w:val="16"/>
          <w:szCs w:val="16"/>
          <w:color w:val="auto"/>
        </w:rPr>
        <w:t>The selected consolidated financial data presented below for, and as of the end of, each of the five years in the period ended December 31, 1995, have been derived from the consolidated financial statements of the Company, which have been audited by Arthur Andersen LLP. The selected consolidated financial data presented below for, and as of the end of the three-month periods ended March 31, 1995 and 1996 are unaudited and have been prepared on the same basis as the audited consolidated financial statements of the Company and include all adjustments (consisting only of normal recurring adjustments) necessary to present fairly the information set forth therein. This data should be read in conjunction with the consolidated financial statements, related notes thereto, "Management's Discussion and Analysis of Financial Condition and Results of Operations" and other financial information included elsewhere or incorporated by reference in this Prospectus.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(UNAUDITED)</w:t>
            </w:r>
          </w:p>
        </w:tc>
      </w:tr>
      <w:tr>
        <w:trPr>
          <w:trHeight w:val="183"/>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THREE MONTHS</w:t>
            </w:r>
          </w:p>
        </w:tc>
      </w:tr>
      <w:tr>
        <w:trPr>
          <w:trHeight w:val="183"/>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80" w:type="dxa"/>
            <w:vAlign w:val="bottom"/>
            <w:gridSpan w:val="5"/>
          </w:tcPr>
          <w:p>
            <w:pPr>
              <w:jc w:val="right"/>
              <w:ind w:right="641"/>
              <w:spacing w:after="0"/>
              <w:rPr>
                <w:sz w:val="20"/>
                <w:szCs w:val="20"/>
                <w:color w:val="auto"/>
              </w:rPr>
            </w:pPr>
            <w:r>
              <w:rPr>
                <w:rFonts w:ascii="Courier New" w:cs="Courier New" w:eastAsia="Courier New" w:hAnsi="Courier New"/>
                <w:sz w:val="16"/>
                <w:szCs w:val="16"/>
                <w:color w:val="auto"/>
              </w:rPr>
              <w:t>YEARS ENDED DECEMBER 31,</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3"/>
          </w:tcPr>
          <w:p>
            <w:pPr>
              <w:jc w:val="right"/>
              <w:ind w:right="281"/>
              <w:spacing w:after="0"/>
              <w:rPr>
                <w:sz w:val="20"/>
                <w:szCs w:val="20"/>
                <w:color w:val="auto"/>
              </w:rPr>
            </w:pPr>
            <w:r>
              <w:rPr>
                <w:rFonts w:ascii="Courier New" w:cs="Courier New" w:eastAsia="Courier New" w:hAnsi="Courier New"/>
                <w:sz w:val="16"/>
                <w:szCs w:val="16"/>
                <w:color w:val="auto"/>
              </w:rPr>
              <w:t>ENDED MARCH 31,</w:t>
            </w:r>
          </w:p>
        </w:tc>
      </w:tr>
      <w:tr>
        <w:trPr>
          <w:trHeight w:val="183"/>
        </w:trPr>
        <w:tc>
          <w:tcPr>
            <w:tcW w:w="304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3"/>
                <w:szCs w:val="3"/>
                <w:color w:val="auto"/>
                <w:w w:val="96"/>
              </w:rPr>
              <w: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1991</w:t>
            </w:r>
          </w:p>
        </w:tc>
        <w:tc>
          <w:tcPr>
            <w:tcW w:w="3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1992</w:t>
            </w:r>
          </w:p>
        </w:tc>
        <w:tc>
          <w:tcPr>
            <w:tcW w:w="3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3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1994</w:t>
            </w:r>
          </w:p>
        </w:tc>
        <w:tc>
          <w:tcPr>
            <w:tcW w:w="380" w:type="dxa"/>
            <w:vAlign w:val="bottom"/>
          </w:tcPr>
          <w:p>
            <w:pPr>
              <w:spacing w:after="0"/>
              <w:rPr>
                <w:sz w:val="15"/>
                <w:szCs w:val="15"/>
                <w:color w:val="auto"/>
              </w:rPr>
            </w:pPr>
          </w:p>
        </w:tc>
        <w:tc>
          <w:tcPr>
            <w:tcW w:w="8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1995</w:t>
            </w:r>
          </w:p>
        </w:tc>
        <w:tc>
          <w:tcPr>
            <w:tcW w:w="3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1995</w:t>
            </w:r>
          </w:p>
        </w:tc>
        <w:tc>
          <w:tcPr>
            <w:tcW w:w="340" w:type="dxa"/>
            <w:vAlign w:val="bottom"/>
          </w:tcPr>
          <w:p>
            <w:pPr>
              <w:spacing w:after="0"/>
              <w:rPr>
                <w:sz w:val="15"/>
                <w:szCs w:val="15"/>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(DOLLARS IN THOUSANDS, EXCEPT PER</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SHARE DATA)</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7"/>
        </w:trPr>
        <w:tc>
          <w:tcPr>
            <w:tcW w:w="304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Net revenues..................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691,619</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731,227</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761,544</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782,199</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931,126</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220,715</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271,616</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Operating expenses............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283,511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285,922</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299,645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298,108</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361,049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84,469</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102,335</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Salaries and wages............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255,067</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265,017</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280,041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286,297</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329,939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78,021</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94,500</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Provision for doubtful</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accounts.......................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44,832</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45,008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55,409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58,347</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76,905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17,185</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21,767</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35,022</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49,059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39,599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42,383</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51,371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11,310</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14,783</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Lease and rental expense......</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34,479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33,854</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34,281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34,097</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36,068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8,772</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9,405</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 net.........</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8,150</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11,414</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8,645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6,275</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11,195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1,614</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4,648</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Nonrecurring charges..........</w:t>
            </w:r>
          </w:p>
        </w:tc>
        <w:tc>
          <w:tcPr>
            <w:tcW w:w="400" w:type="dxa"/>
            <w:vAlign w:val="bottom"/>
          </w:tcPr>
          <w:p>
            <w:pPr>
              <w:spacing w:after="0"/>
              <w:rPr>
                <w:sz w:val="15"/>
                <w:szCs w:val="15"/>
                <w:color w:val="auto"/>
              </w:rPr>
            </w:pPr>
          </w:p>
        </w:tc>
        <w:tc>
          <w:tcPr>
            <w:tcW w:w="8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8,828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9,763</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11,610</w:t>
            </w:r>
          </w:p>
        </w:tc>
        <w:tc>
          <w:tcPr>
            <w:tcW w:w="3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Total operating charges.....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661,061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690,274</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726,448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735,270</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878,137</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201,371</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247,438</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30,558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40,953</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35,096</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46,929</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52,989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19,344</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24,178</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10,239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20,933</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11,085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18,209</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17,505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7,503</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8,677</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20,319</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20,020</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24,011</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28,720</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35,484</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11,841</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15,501</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.86</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Weighted average number of</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shares outstanding..........</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29,984</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29,940</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29,638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28,778</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28,158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27,884</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28,712</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15"/>
                <w:szCs w:val="15"/>
                <w:color w:val="auto"/>
              </w:rPr>
            </w:pPr>
          </w:p>
        </w:tc>
        <w:tc>
          <w:tcPr>
            <w:tcW w:w="12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0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Working capital...............</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14,345</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33,716</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15,500</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14,607</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21,905</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15,593</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16,125</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Total assets..................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500,706</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472,427</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460,422</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521,492</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748,051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539,232</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767,942</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Long-term borrowings..........</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127,235</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114,959</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75,081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85,125</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237,086</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75,038</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230,401</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Total debt....................</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179,872</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118,696</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79,394</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92,361</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244,211</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82,213</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237,381</w:t>
            </w:r>
          </w:p>
        </w:tc>
      </w:tr>
      <w:tr>
        <w:trPr>
          <w:trHeight w:val="183"/>
        </w:trPr>
        <w:tc>
          <w:tcPr>
            <w:tcW w:w="3040" w:type="dxa"/>
            <w:vAlign w:val="bottom"/>
          </w:tcPr>
          <w:p>
            <w:pPr>
              <w:ind w:left="100"/>
              <w:spacing w:after="0"/>
              <w:rPr>
                <w:sz w:val="20"/>
                <w:szCs w:val="20"/>
                <w:color w:val="auto"/>
              </w:rPr>
            </w:pPr>
            <w:r>
              <w:rPr>
                <w:rFonts w:ascii="Courier New" w:cs="Courier New" w:eastAsia="Courier New" w:hAnsi="Courier New"/>
                <w:sz w:val="16"/>
                <w:szCs w:val="16"/>
                <w:color w:val="auto"/>
              </w:rPr>
              <w:t>Total stockholders' equity....</w:t>
            </w:r>
          </w:p>
        </w:tc>
        <w:tc>
          <w:tcPr>
            <w:tcW w:w="40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184,353</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202,903</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224,488</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260,629</w:t>
            </w:r>
          </w:p>
        </w:tc>
        <w:tc>
          <w:tcPr>
            <w:tcW w:w="38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297,700</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272,888</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315,826</w:t>
            </w:r>
          </w:p>
        </w:tc>
      </w:tr>
      <w:tr>
        <w:trPr>
          <w:trHeight w:val="550"/>
        </w:trPr>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520"/>
          </w:cols>
          <w:pgMar w:left="240" w:top="481" w:right="139" w:bottom="1440" w:gutter="0" w:footer="0" w:header="0"/>
        </w:sectPr>
      </w:pPr>
    </w:p>
    <w:bookmarkStart w:id="26" w:name="page27"/>
    <w:bookmarkEnd w:id="26"/>
    <w:p>
      <w:pPr>
        <w:jc w:val="center"/>
        <w:ind w:right="2679"/>
        <w:spacing w:after="0"/>
        <w:rPr>
          <w:sz w:val="20"/>
          <w:szCs w:val="20"/>
          <w:color w:val="auto"/>
        </w:rPr>
      </w:pPr>
      <w:r>
        <w:rPr>
          <w:rFonts w:ascii="Courier New" w:cs="Courier New" w:eastAsia="Courier New" w:hAnsi="Courier New"/>
          <w:sz w:val="16"/>
          <w:szCs w:val="16"/>
          <w:color w:val="auto"/>
        </w:rPr>
        <w:t>MANAGEMENT'S DISCUSSION AND ANALYSIS OF FINANCIAL CONDITION AND RESULTS</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OF 1996 COMPARED TO THREE MONTHS OF 1995 (CONSOLIDATED)</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Net revenues increased 23% ($51 million) for the three months ended March 31, 1996, over the comparable prior year period due primarily to the acquisitions of a 225-bed acute care facility and a 512-bed acute care facility acquired during the third quarter of 1995, net of revenue effects of three acute care facilities divested during the third and fourth quarters of 1995, and revenue growth at facilities owned during both periods. Net revenues at hospital facilities owned during both periods increased 4% ($8 million) for the three months ended March 31, 1996 over the comparable prior year period, excluding the additional revenues received from the special Medicaid reimbursements received by two of the Company's acute care facilities which participate in the Texas Medical Assistance Program. Upon meeting certain conditions of participation and serving a disproportionately high share of the state's low income patients, these hospitals became eligible and received additional reimbursements totaling $1.8 million during the first quarter of 1996 and $3.8 million during the first quarter of 1995. These programs are scheduled to terminate in August 1996 and the Company cannot predict whether these programs will continue beyond the scheduled termination date.</w:t>
      </w:r>
    </w:p>
    <w:p>
      <w:pPr>
        <w:spacing w:after="0" w:line="194"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Excluding the net revenue effects of the special Medicaid reimbursement programs mentioned above, earnings before interest, income taxes, depreciation, amortization and lease and rental expense ("EBITDAR") increased 37% ($14 million) to $51 million for the three months ended March 31, 1996 as compared to $37 million in the comparable prior year period. Overall operating margins, excluding the special Medicaid reimbursements, were 19.0% for the three months ended March 31, 1996 as compared to 17.2% in the comparable prior year period.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ACUTE CARE SERVICES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Net revenues from the Company's acute care hospitals and ambulatory treatment centers accounted for 88% and 86% of the consolidated net revenues for the three month periods ended March 31, 1996 and 1995, respectively. Net revenues at the Company's acute care hospitals owned during both periods increased 6% after excluding the revenues received from the special Medicaid reimbursements described above. Despite the continued shift in the delivery of healthcare services to outpatient care, the Company's acute care hospitals owned during both periods experienced a 6% increase in inpatient admissions and a 4% increase in patient days in 1996 as compared to 1995. Outpatient activity at the Company's acute care hospitals continues to increase as a result of advances in medical technologies, which allow more services to be provided on an outpatient basis, and increased pressure from Medicare, Medicaid, health maintenance organizations ("HMOs"), preferred provider organizations ("PPOs") and insurers to reduce hospital stays and provide services, where possible, on a less expensive outpatient basis. To accommodate the increased utilization of outpatient services, the Company has expanded or redesigned several of its outpatient facilities and services.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BEHAVIORAL HEALTH SERVICES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Net revenues from the Company's behavioral health services facilities accounted for 12% and 14% of the consolidated net revenues for the three month periods ended March 31, 1996 and 1995, respectively. Net revenues at the Company's psychiatric hospitals owned during both periods decreased 6% during the three months ended March 31, 1996 as compared to the comparable prior year period. Although the admissions, patient days and length of stay at these facilities increased approximately 1% during the 1996 quarter as compared to the 1995 quarter, the decrease in net revenues resulted primarily from the fact that residential treatment days, which reimburse the Company at lower rates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81" w:right="1440" w:bottom="1440" w:gutter="0" w:footer="0" w:header="0"/>
        </w:sectPr>
      </w:pPr>
    </w:p>
    <w:bookmarkStart w:id="27" w:name="page28"/>
    <w:bookmarkEnd w:id="27"/>
    <w:p>
      <w:pPr>
        <w:ind w:right="2679"/>
        <w:spacing w:after="0" w:line="242" w:lineRule="auto"/>
        <w:rPr>
          <w:sz w:val="20"/>
          <w:szCs w:val="20"/>
          <w:color w:val="auto"/>
        </w:rPr>
      </w:pPr>
      <w:r>
        <w:rPr>
          <w:rFonts w:ascii="Courier New" w:cs="Courier New" w:eastAsia="Courier New" w:hAnsi="Courier New"/>
          <w:sz w:val="16"/>
          <w:szCs w:val="16"/>
          <w:color w:val="auto"/>
        </w:rPr>
        <w:t>per day as compared to other behavioral health care services, constituted a greater percentage of patient days than in the prior year period. The Company's behavioral health care facilities have continued to be affected by changes in the delivery of psychiatric services and continued cost containment pressures from payors which includes a greater emphasis on the utilization of outpatient services. Management of the Company has responded to these trends by developing and marketing new outpatient treatment programs.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OPERATING RESULTS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Depreciation and amortization expense increased 31% or $3.5 million for the three months ended March 31, 1996 as compared to the comparable prior year period due primarily to the Company's acquisition of two acute care hospitals in July and August of 1995, partially offset by the effect of three acute care facilities divested in July and October of 1995.</w:t>
      </w:r>
    </w:p>
    <w:p>
      <w:pPr>
        <w:spacing w:after="0" w:line="190"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Interest expense increased $3.0 million for the three month period ended March 31, 1996 over the 1995 quarter due primarily to increased borrowings used to finance the purchase of two acute care hospitals during the third quarter of 1995.</w:t>
      </w:r>
    </w:p>
    <w:p>
      <w:pPr>
        <w:spacing w:after="0" w:line="189" w:lineRule="exact"/>
        <w:rPr>
          <w:sz w:val="20"/>
          <w:szCs w:val="20"/>
          <w:color w:val="auto"/>
        </w:rPr>
      </w:pPr>
    </w:p>
    <w:p>
      <w:pPr>
        <w:ind w:right="2879" w:firstLine="382"/>
        <w:spacing w:after="0"/>
        <w:rPr>
          <w:sz w:val="20"/>
          <w:szCs w:val="20"/>
          <w:color w:val="auto"/>
        </w:rPr>
      </w:pPr>
      <w:r>
        <w:rPr>
          <w:rFonts w:ascii="Courier New" w:cs="Courier New" w:eastAsia="Courier New" w:hAnsi="Courier New"/>
          <w:sz w:val="16"/>
          <w:szCs w:val="16"/>
          <w:color w:val="auto"/>
        </w:rPr>
        <w:t>The effective tax rate was 36% and 39% for the three month periods ended March 31, 1996 and 1995, respectively. The decrease in the effective rate was due primarily to the financing of employee benefit programs.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TRENDS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An increased proportion of the Company's revenue is derived from fixed payment services, including Medicare and Medicaid which accounted for 48% and 43% of the Company's net patient revenues for the three months ended March 31, 1996 and 1995, respectively, excluding the additional revenues from special Medicaid reimbursement programs. The Medicare program reimburses the Company's hospitals primarily based on established rates by a diagnosis related group for acute care hospitals and by cost-based formulae for psychiatric hospitals.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In addition, other payors continue to actively negotiate the amounts they will pay for services performed. In general, the Company expects the percentage of its business from managed care programs to grow, including HMOs, PPOs and Medicare and Medicaid beneficiaries enrolled in such programs. The consequent growth in managed care networks and the resulting impact of these networks on the operating results of the Company's facilities vary among the markets in which the Company operates.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addition to the trends described above that continue to have an impact on operating results, there are a number of other, more general factors affecting the Company's business. Both the House of Representatives and the Senate are considering legislation providing for substantial Medicare savings over an extended period, including reductions in payments to hospitals, which would limit the rate of growth of the program. The Company cannot predict what new legislation may ultimately be enacted, and if enacted, no assurance can be given that the implementation of such reforms will not have a material adverse effect on the Company's business. In Texas, a law has been passed which mandates that the state senate apply for a waiver from current Medicaid regulations to allow the state to require that certain Medicaid participants be serviced through managed care providers. The Company is unable to predict whether Texas will be granted such a waiver or the effect on the Company's business of such waiver. See "Risk Factors--Health Reform Legislation."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COMPARED TO 1994 AND 1993 (CONSOLIDATED)</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Net revenues increased 19% ($149 million) to $931 million in 1995 over 1994 and 3% ($21 million) to $782 million in 1994 as compared to 1993. The increase during 1995 was primarily attributable to</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84" w:right="1440" w:bottom="1440" w:gutter="0" w:footer="0" w:header="0"/>
        </w:sectPr>
      </w:pPr>
    </w:p>
    <w:bookmarkStart w:id="28" w:name="page29"/>
    <w:bookmarkEnd w:id="28"/>
    <w:p>
      <w:pPr>
        <w:ind w:right="2599"/>
        <w:spacing w:after="0" w:line="242" w:lineRule="auto"/>
        <w:rPr>
          <w:sz w:val="20"/>
          <w:szCs w:val="20"/>
          <w:color w:val="auto"/>
        </w:rPr>
      </w:pPr>
      <w:r>
        <w:rPr>
          <w:rFonts w:ascii="Courier New" w:cs="Courier New" w:eastAsia="Courier New" w:hAnsi="Courier New"/>
          <w:sz w:val="16"/>
          <w:szCs w:val="16"/>
          <w:color w:val="auto"/>
        </w:rPr>
        <w:t>revenues generated at two acute care facilities acquired by the Company during 1995 net of the revenue effects of the three acute care facilities divested during the year ($58 million), revenue growth at acute care facilities owned during both years ($44 million) and a full year of revenue generated at an acute care facility acquired by the Company in November 1994 ($29 million). The increase in net revenues in 1994 as compared to 1993 resulted primarily from revenue growth at facilities owned during both years and the acquisition and development of ambulatory treatment centers.</w:t>
      </w:r>
    </w:p>
    <w:p>
      <w:pPr>
        <w:spacing w:after="0" w:line="189" w:lineRule="exact"/>
        <w:rPr>
          <w:sz w:val="20"/>
          <w:szCs w:val="20"/>
          <w:color w:val="auto"/>
        </w:rPr>
      </w:pPr>
    </w:p>
    <w:p>
      <w:pPr>
        <w:ind w:right="2599" w:firstLine="382"/>
        <w:spacing w:after="0" w:line="259" w:lineRule="auto"/>
        <w:rPr>
          <w:sz w:val="20"/>
          <w:szCs w:val="20"/>
          <w:color w:val="auto"/>
        </w:rPr>
      </w:pPr>
      <w:r>
        <w:rPr>
          <w:rFonts w:ascii="Courier New" w:cs="Courier New" w:eastAsia="Courier New" w:hAnsi="Courier New"/>
          <w:sz w:val="15"/>
          <w:szCs w:val="15"/>
          <w:color w:val="auto"/>
        </w:rPr>
        <w:t>Net revenues at hospital facilities owned during all three periods increased by 7% ($47 million) in 1995 over 1994 and 7% ($42 million) in 1994 over 1993, excluding the additional revenues received by two of the Company's acute care facilities which participate in the Texas Medical Assistance Program. Upon meeting certain conditions of participation and serving a disproportionately high share of the state's low income patients, these two hospitals became eligible and received additional reimbursements totalling $12.6 million in 1995, $12.7 million in 1994 and $13.5 million in 1993. These programs are scheduled to terminate in August 1996 and the Company cannot predict whether these programs will continue beyond the scheduled termination date. The Company acquired a</w:t>
      </w:r>
    </w:p>
    <w:p>
      <w:pPr>
        <w:ind w:right="2679"/>
        <w:spacing w:after="0" w:line="261" w:lineRule="auto"/>
        <w:rPr>
          <w:sz w:val="20"/>
          <w:szCs w:val="20"/>
          <w:color w:val="auto"/>
        </w:rPr>
      </w:pPr>
      <w:r>
        <w:rPr>
          <w:rFonts w:ascii="Courier New" w:cs="Courier New" w:eastAsia="Courier New" w:hAnsi="Courier New"/>
          <w:sz w:val="15"/>
          <w:szCs w:val="15"/>
          <w:color w:val="auto"/>
        </w:rPr>
        <w:t>225-bed acute care hospital in July 1995 and a 512-bed acute care hospital in August 1995 which contributed combined net revenues of $89 million during 1995. The Company divested three acute care hospitals during 1995 and two acute care hospitals during 1993 which contributed combined net revenues of $50 million, $81 million and $115 million during 1995, 1994 and 1993, respectively. Net revenues at the Company's ambulatory treatment centers increased to $23 million in 1995 from $17 million in 1994 and $11 million in 1993.</w:t>
      </w:r>
    </w:p>
    <w:p>
      <w:pPr>
        <w:spacing w:after="0" w:line="174" w:lineRule="exact"/>
        <w:rPr>
          <w:sz w:val="20"/>
          <w:szCs w:val="20"/>
          <w:color w:val="auto"/>
        </w:rPr>
      </w:pPr>
    </w:p>
    <w:p>
      <w:pPr>
        <w:ind w:right="2879" w:firstLine="382"/>
        <w:spacing w:after="0" w:line="259" w:lineRule="auto"/>
        <w:rPr>
          <w:sz w:val="20"/>
          <w:szCs w:val="20"/>
          <w:color w:val="auto"/>
        </w:rPr>
      </w:pPr>
      <w:r>
        <w:rPr>
          <w:rFonts w:ascii="Courier New" w:cs="Courier New" w:eastAsia="Courier New" w:hAnsi="Courier New"/>
          <w:sz w:val="15"/>
          <w:szCs w:val="15"/>
          <w:color w:val="auto"/>
        </w:rPr>
        <w:t>Excluding the revenue effects of the special Medicaid reimbursement programs, EBITDAR increased to $151 million in 1995 from $127 million in 1994 and $113 million in 1993. The Company's consolidated operating margins were</w:t>
      </w:r>
    </w:p>
    <w:p>
      <w:pPr>
        <w:ind w:right="2599"/>
        <w:spacing w:after="0" w:line="242" w:lineRule="auto"/>
        <w:rPr>
          <w:sz w:val="20"/>
          <w:szCs w:val="20"/>
          <w:color w:val="auto"/>
        </w:rPr>
      </w:pPr>
      <w:r>
        <w:rPr>
          <w:rFonts w:ascii="Courier New" w:cs="Courier New" w:eastAsia="Courier New" w:hAnsi="Courier New"/>
          <w:sz w:val="16"/>
          <w:szCs w:val="16"/>
          <w:color w:val="auto"/>
        </w:rPr>
        <w:t>16.4% in 1995, 16.5% in 1994 and 15.1% in 1993. While operating margins at the Company's acute care and behavioral health services facilities owned during both 1995 and 1994 increased, the Company's consolidated margin was lower in 1995 as compared to 1994 due to losses sustained at the three acute care facilities divested during 1995. The improvement in the Company's consolidated operating margins in 1994 compared to 1993 was due primarily to the divestiture of two low margin acute care facilities in 1993 and lower insurance expense in 1994 as compared to 1993.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ACUTE CARE SERVICES</w:t>
      </w:r>
    </w:p>
    <w:p>
      <w:pPr>
        <w:spacing w:after="0" w:line="188" w:lineRule="exact"/>
        <w:rPr>
          <w:sz w:val="20"/>
          <w:szCs w:val="20"/>
          <w:color w:val="auto"/>
        </w:rPr>
      </w:pPr>
    </w:p>
    <w:p>
      <w:pPr>
        <w:ind w:right="2599" w:firstLine="382"/>
        <w:spacing w:after="0"/>
        <w:rPr>
          <w:sz w:val="20"/>
          <w:szCs w:val="20"/>
          <w:color w:val="auto"/>
        </w:rPr>
      </w:pPr>
      <w:r>
        <w:rPr>
          <w:rFonts w:ascii="Courier New" w:cs="Courier New" w:eastAsia="Courier New" w:hAnsi="Courier New"/>
          <w:sz w:val="16"/>
          <w:szCs w:val="16"/>
          <w:color w:val="auto"/>
        </w:rPr>
        <w:t>Net revenues from the Company's acute care hospitals and ambulatory treatment centers accounted for 86%, 85% and 84% of consolidated net revenues in 1995, 1994 and 1993, respectively.</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Net revenues at the Company's acute care hospitals owned during each of the last three years increased 9% in 1995 over 1994 and 10% in 1994 over 1993, after excluding the revenues received from the special Medicaid reimbursements described above. Despite the continued shift in the delivery of healthcare services to outpatient care, the Company's acute care hospitals experienced a 9% increase in inpatient admissions and a 5% increase in patient days in 1995 as compared to 1994 due primarily to increased impatient volume at two of the Company's larger facilities. Admissions and patient days at acute care facilities owned during each of the last three years increased 10% and 8%, respectively, in 1994 as compared to 1993 due primarily to additional capacity and expansion of service lines at two of the Company's larger facilities. Outpatient activity at the Company's acute care hospitals continues to increase as gross outpatient revenues at these hospitals increased 17% in 1995 over 1994 and 15% in 1994 over 1993 and comprised 22% of the Company's gross patient revenues in each of the last three years. The increase is primarily the result of advances in medical technologies, which allow more services to be provided on an outpatient basis, and increased pressure from Medicare, Medicaid, HMOs, PPOs and insurers to reduce hospital stays and provide services, where possible, on a less expensive outpatient basis. To accommodate the increased utilization of outpatient services, the Company has expanded or redesigned several of its outpatient facilities and services.</w:t>
      </w:r>
    </w:p>
    <w:p>
      <w:pPr>
        <w:spacing w:after="0" w:line="1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84" w:right="1440" w:bottom="1440" w:gutter="0" w:footer="0" w:header="0"/>
        </w:sectPr>
      </w:pPr>
    </w:p>
    <w:bookmarkStart w:id="29" w:name="page30"/>
    <w:bookmarkEnd w:id="29"/>
    <w:p>
      <w:pPr>
        <w:ind w:right="2599" w:firstLine="382"/>
        <w:spacing w:after="0" w:line="242" w:lineRule="auto"/>
        <w:rPr>
          <w:sz w:val="20"/>
          <w:szCs w:val="20"/>
          <w:color w:val="auto"/>
        </w:rPr>
      </w:pPr>
      <w:r>
        <w:rPr>
          <w:rFonts w:ascii="Courier New" w:cs="Courier New" w:eastAsia="Courier New" w:hAnsi="Courier New"/>
          <w:sz w:val="16"/>
          <w:szCs w:val="16"/>
          <w:color w:val="auto"/>
        </w:rPr>
        <w:t>To take advantage of the trend toward increased outpatient services, the Company has continued to invest in the acquisition and development of outpatient surgery and radiation therapy centers. As of December 31, 1995, the Company operated or managed twenty-five outpatient treatment centers, including four added during 1995, which have contributed to the increase in the Company's outpatient revenues. The Company expects the growth in outpatient services to continue, although the rate of growth may be moderated in the future.</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Excluding the revenues received from the special Medicaid reimbursements described above, operating margins (EBITDAR) at the Company's acute care hospitals owned during all three years were 22.6%, 22.1% and 21.3% in 1995, 1994 and 1993, respectively. The improvement in 1995 over 1994 was primarily the result of increased operating margins at certain of the Company's acute care facilities. The margin improvement in 1994 over 1993 resulted primarily from lower insurance expense. Although the Company's acute care operating margins have increased during the last three years, pressure on operating margins is expected to continue due to the industry-wide trend away from charge-based payors which limits the Company's ability to increase its prices.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BEHAVIORAL HEALTH SERVICES</w:t>
      </w:r>
    </w:p>
    <w:p>
      <w:pPr>
        <w:spacing w:after="0" w:line="188" w:lineRule="exact"/>
        <w:rPr>
          <w:sz w:val="20"/>
          <w:szCs w:val="20"/>
          <w:color w:val="auto"/>
        </w:rPr>
      </w:pPr>
    </w:p>
    <w:p>
      <w:pPr>
        <w:ind w:right="2599" w:firstLine="382"/>
        <w:spacing w:after="0" w:line="259" w:lineRule="auto"/>
        <w:rPr>
          <w:sz w:val="20"/>
          <w:szCs w:val="20"/>
          <w:color w:val="auto"/>
        </w:rPr>
      </w:pPr>
      <w:r>
        <w:rPr>
          <w:rFonts w:ascii="Courier New" w:cs="Courier New" w:eastAsia="Courier New" w:hAnsi="Courier New"/>
          <w:sz w:val="15"/>
          <w:szCs w:val="15"/>
          <w:color w:val="auto"/>
        </w:rPr>
        <w:t>Net revenues from the Company's behavioral health services hospitals accounted for 13%, 14% and 15% of consolidated net revenues in 1995, 1994 and 1993, respectively. Net revenues at the Company's behavioral health hospitals owned during each of the last three years increased 1% in 1995 over 1994 and decreased 7% in 1994 as compared to 1993. The increase in 1995 over 1994 resulted primarily from a 4% increase in admissions and a 2% increase in patient days while the average length of stay decreased 2% to 13.5 days in 1995 from</w:t>
      </w:r>
    </w:p>
    <w:p>
      <w:pPr>
        <w:ind w:right="2599"/>
        <w:spacing w:after="0" w:line="242" w:lineRule="auto"/>
        <w:rPr>
          <w:sz w:val="20"/>
          <w:szCs w:val="20"/>
          <w:color w:val="auto"/>
        </w:rPr>
      </w:pPr>
      <w:r>
        <w:rPr>
          <w:rFonts w:ascii="Courier New" w:cs="Courier New" w:eastAsia="Courier New" w:hAnsi="Courier New"/>
          <w:sz w:val="16"/>
          <w:szCs w:val="16"/>
          <w:color w:val="auto"/>
        </w:rPr>
        <w:t>13.8 days in 1994. During 1994 admissions increased 12% over 1993 while patient days decreased 3% due to a 13% decrease in the average length of stay to 13.8 days in 1994 from 15.8 days in 1993. The reduction in the average length of stay during the last three years is a result of changing practices in the delivery of psychiatric services and continued cost containment pressures from payors which includes a greater emphasis on the utilization of outpatient services. Management of the Company has responded to these trends by developing and marketing new outpatient treatment programs. The shift to outpatient care is reflected in higher revenues from outpatient services, as gross outpatient revenues at the Company's behavioral health services hospitals increased 10% in 1995 over 1994 and 17% in 1994 over 1993 and now comprises 16% of the Company's behavioral health services gross patient revenues as compared to 15% in 1994 and 13% in 1993.</w:t>
      </w:r>
    </w:p>
    <w:p>
      <w:pPr>
        <w:spacing w:after="0" w:line="19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Operating margins (EBITDAR) at the facilities owned during all three years were 19.7% in 1995, 15.8% in 1994 and 21.5% in 1993. The increase in the profit margin in 1995 as compared to 1994 was caused by an increase in admissions, stabilization in length of stay and cost reductions implemented in response to the managed care environment. The decrease in the profit margin in 1994 as compared to 1993 was primarily caused by the decrease in net revenues at certain facilities which declined due to an increase in Medicaid denials, a decrease in days of care delivered and a decline in the net revenue per day.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OPERATING RESULTS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1995, the Company recorded $11.6 million of net nonrecurring charges which consists of: (i) a $14.2 million pre-tax charge due to impairment of long-lived assets; (ii) a $2.7 million loss on disposal of two acute care facilities which were exchanged along with $44 million of cash for a 225-bed acute care hospital; and (iii) a $5.3 million pre-tax gain realized on the sale of a 202-bed acute care hospital which was divested during the fourth quarter of 1995 for cash proceeds of $19.5 million.</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As discussed elsewhere, changes in third party payment methods, advances in medical technologies, legislative and regulatory initiatives at the Federal and state levels along with increased competition from other providers have impacted operating margins at the Company's facilities in recent years.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84" w:right="1440" w:bottom="1440" w:gutter="0" w:footer="0" w:header="0"/>
        </w:sectPr>
      </w:pPr>
    </w:p>
    <w:bookmarkStart w:id="30" w:name="page31"/>
    <w:bookmarkEnd w:id="30"/>
    <w:p>
      <w:pPr>
        <w:ind w:right="2779"/>
        <w:spacing w:after="0"/>
        <w:rPr>
          <w:sz w:val="20"/>
          <w:szCs w:val="20"/>
          <w:color w:val="auto"/>
        </w:rPr>
      </w:pPr>
      <w:r>
        <w:rPr>
          <w:rFonts w:ascii="Courier New" w:cs="Courier New" w:eastAsia="Courier New" w:hAnsi="Courier New"/>
          <w:sz w:val="16"/>
          <w:szCs w:val="16"/>
          <w:color w:val="auto"/>
        </w:rPr>
        <w:t>These industry conditions have adversely impacted certain of the Company's specialized facilities and certain of the Company's smaller facilities in more competitive markets.</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conjunction with the development of the Company's operating plan and 1996 budget, management assessed the current competitive position of these facilities and estimated future cash flows expected from these facilities. As a result, the Company recorded a $14.2 million pre-tax charge during 1995 to write-down the carrying value of certain intangible and tangible assets at these facilities. In measuring the impairment loss, the Company estimated fair value by discounting expected future cash flows from each facility using the Company's internal hurdle rate. The impairment loss primarily related to four facilities in the Company's behavioral health services division and three facilities in its ambulatory treatment center division.</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1995, the impact of managed care was most dramatically felt at the Company's free standing chemical dependency and residential treatment centers. The Company operates two chemical dependency facilities with combined 1995 net revenues of $8.6 million. Substantially all of the non-Medicare business at these facilities is now managed to a large degree by third-party payors. The increased penetration of managed care into this segment has resulted in a continued shift from inpatient care as the primary treatment model to a detoxification/partial hospitalization program resulting in fewer admissions and patient days. Combined with increasing emphasis by payors on price as the most important variable among providers and the increased competition resulting from acute care providers expanding to offer dual diagnosis and ambulatory detoxification services, the Company has determined that both profit margins and volumes at these facilities have been permanently impaired. In addition, CHAMPUS patients account for a significant portion of the Company's net revenue at its two residential treatment centers which had combined net revenues of $10.9 million in 1995. Changes in CHAMPUS regulations and managed care penetration into this segment of the business have driven down lengths of stay dramatically. At these facilities, whose profitability is largely dependent on very long lengths of stay, the decline in the average length of stay has resulted in a permanent impairment.</w:t>
      </w:r>
    </w:p>
    <w:p>
      <w:pPr>
        <w:spacing w:after="0" w:line="196"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Within the Company's ambulatory treatment center division, three centers with combined 1995 net revenues of $3.7 million, are located in highly competitive markets which have become heavily penetrated with managed care. As a result, net revenues per case and case volumes at these centers have decreased 11% and 7%, respectively, in 1995 as compared to 1994 due primarily to increased influence of payors, increased monitoring of outpatient services and willingness of hospitals to compete with ambulatory treatment centers on price. The Company expects these unfavorable trends to continue within these two geographical markets resulting in a permanent impairment.</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1994, nonrecurring charges of $9.8 million were recorded consisting of the following: (i) a $4.3 million estimated loss on the disposal of two acute care facilities mentioned above; (ii) a $2.8 million write-down of the carrying value of a psychiatric hospital owned by the Company and leased to an unaffiliated third party which is currently in default under the terms of the lease agreement; (iii) a $1.4 million write-down recorded against the book value of the real property of a behavioral health services hospital; and (iv) $1.3 million of expenses related to the disposition of a non-strategic business. Included in the $8.8 million of nonrecurring charges recorded in 1993 is a $4.4 million loss on disposal of two acute care facilities divested during the fourth quarter of 1993 and $4.4 million related to the winding down or disposition of non-strategic businesses.</w:t>
      </w:r>
    </w:p>
    <w:p>
      <w:pPr>
        <w:spacing w:after="0" w:line="19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Depreciation and amortization expense increased $9.0 million in 1995 over 1994 due primarily to the Company's acquisition of two acute care hospitals in July and August of 1995, net of effects of three acute care facilities divested during the year ($5.6 million), a full year of depreciation expense of an acute care hospital acquired in November of 1994 ($1.1 million) and the increased depreciation expense related to capital expenditures and acquisition of outpatient treatment centers ($2.3 million). Depreciation and amortization expense increased $2.8 million in 1994 over 1993 due primarily to $1.9 million of</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84" w:right="1440" w:bottom="1440" w:gutter="0" w:footer="0" w:header="0"/>
        </w:sectPr>
      </w:pPr>
    </w:p>
    <w:bookmarkStart w:id="31" w:name="page32"/>
    <w:bookmarkEnd w:id="31"/>
    <w:p>
      <w:pPr>
        <w:ind w:right="2779"/>
        <w:spacing w:after="0"/>
        <w:rPr>
          <w:sz w:val="20"/>
          <w:szCs w:val="20"/>
          <w:color w:val="auto"/>
        </w:rPr>
      </w:pPr>
      <w:r>
        <w:rPr>
          <w:rFonts w:ascii="Courier New" w:cs="Courier New" w:eastAsia="Courier New" w:hAnsi="Courier New"/>
          <w:sz w:val="16"/>
          <w:szCs w:val="16"/>
          <w:color w:val="auto"/>
        </w:rPr>
        <w:t>such expenses related to the Company's acquisition of outpatient treatment centers and the increased depreciation expense related to capital expenditures made in the Company's acute care division.</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Interest expense increased $4.9 million or 78% during 1995 over 1994 due primarily to borrowings used to finance the purchase of two acute care hospitals during 1995. The Company issued $135 million of Senior Notes during 1995 which have a coupon rate of 8.75% (9.2% effective rate including amortization of interest rate swap termination fees and amortization of bond discount). The $131 million of net proceeds generated from the issuance of these notes were used to finance the cash purchase price of the two acute care hospitals acquired during 1995 while the excess of the purchase price over the net proceeds ($52 million) was financed from operating cash flows and borrowings under the Company's commercial paper and revolving credit facilities. Interest expense decreased $2.4 million or 27% in 1994 as compared to 1993 was due to lower average outstanding borrowings.</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effective tax rate was 33%, 39% and 32% in 1995, 1994 and 1993, respectively. The decrease in effective tax rate in 1995 as compared to 1994 was due to: (i) the deductibility of previously non-deductible goodwill amortization resulting from the sale of three acute care hospitals; and (ii) the financing of employee benefit programs. The increase in the effective tax rate for 1994 as compared to 1993 was due to the 1993 tax provision containing a reduction in the state tax provision.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healthcare industry is very labor-intensive and salaries and benefits are subject to inflationary pressures, as are supply costs which tend to escalate as vendors pass on the rising costs through price increases. Although the Company cannot predict its ability to continue to cover future costs increases, management believes that through the adherence to cost containment policies, labor management and reasonable price increases, the effects of inflation, which has not had a material impact on the results of operations during the last three years, on future operating margins should be manageable. However, the Company's ability to pass on these increased costs associated with providing healthcare to Medicare and Medicaid patients may be limited since although these fixed payments rates are indexed for inflation annually, the increases have historically lagged behind actual inflation.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Net cash provided by operating activities was $32.7 million for the three months ended March 31, 1996 and $91.7 million, $60.6 million and $84.6 million for the 1995, 1994 and 1993 fiscal years, respectively. In addition, cash flow from operating activities in the first quarter of 1995 was adversely impacted by an increase in accounts receivable resulting from a temporary decline in cash collections due to information systems conversions at the Company's hospitals. Partially offsetting these changes was a $2.7 million increase in payments made in settlement of self-insurance claims. The net cash provided by operating activities substantially exceeded the scheduled maturities of long-term debt.</w:t>
      </w:r>
    </w:p>
    <w:p>
      <w:pPr>
        <w:spacing w:after="0" w:line="177"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During the first three months of 1996, the Company used $25.7 million of its operating cash flow to finance capital expenditures (including $7 million spent on the construction of a new medical complex in Summerlin, Nevada) and $6.8 million to reduce outstanding debt.</w:t>
      </w:r>
    </w:p>
    <w:p>
      <w:pPr>
        <w:spacing w:after="0" w:line="189"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In June 1996, the Company acquired four behavioral health care hospitals located in Pennsylvania and, subject to the facilities' approval, seven contracts to manage behavioral health programs. The total purchase price for the acquisition of these hospitals and management contracts was $39.5 million in cash for the operations, the property, plant and equipment and working capital and up to an additional $5 million which is contingent upon the future operating performance of the acquired assets. In connection with this transaction, the Company entered into a $7 million loan agreement which, as amended, is secured by the stock of a subsidiary of the seller and matures on September 18, 1997.</w:t>
      </w:r>
    </w:p>
    <w:p>
      <w:pPr>
        <w:spacing w:after="0" w:line="1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84" w:right="1440" w:bottom="1440" w:gutter="0" w:footer="0" w:header="0"/>
        </w:sectPr>
      </w:pPr>
    </w:p>
    <w:bookmarkStart w:id="32" w:name="page33"/>
    <w:bookmarkEnd w:id="32"/>
    <w:p>
      <w:pPr>
        <w:ind w:right="2599" w:firstLine="382"/>
        <w:spacing w:after="0" w:line="260" w:lineRule="auto"/>
        <w:rPr>
          <w:sz w:val="20"/>
          <w:szCs w:val="20"/>
          <w:color w:val="auto"/>
        </w:rPr>
      </w:pPr>
      <w:r>
        <w:rPr>
          <w:rFonts w:ascii="Courier New" w:cs="Courier New" w:eastAsia="Courier New" w:hAnsi="Courier New"/>
          <w:sz w:val="15"/>
          <w:szCs w:val="15"/>
          <w:color w:val="auto"/>
        </w:rPr>
        <w:t>In May 1996, the Company acquired substantially all of the assets and operations of Northwest Texas Health, a medical complex located in Amarillo, Texas for $126 million in cash. The assets acquired include the real and personal property, working capital and tangible assets. The Company also will be required to pay additional amounts to the seller equal to 15% of any amount of the hospital's earnings before depreciation, interest and taxes in excess of $24 million in each year of the seven year period commencing April 1, 1996 and ending March 31, 2003. In addition, under terms of the agreement, the seller will pay the Company $8 million per year for the first four years and $6 million per year (subject to certain adjustments for inflation) for up to an additional 36 years to help support the cost of medical services to indigent patients. Northwest Texas Health consists of a 360 licensed bed full service acute care hospital and free standing behavioral health hospital, two urgent care clinics and other operations. The funds used to finance the above mentioned transactions were borrowed on the Company's revolving credit facility.</w:t>
      </w:r>
    </w:p>
    <w:p>
      <w:pPr>
        <w:spacing w:after="0" w:line="35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expects to finance all capital expenditures and acquisitions with internally generated funds, borrowed funds or the sale of debt or equity securities. As of March 31, 1996, after including the $168.5 million of additional borrowings for the purchase transactions described above, the Company had $42 million of unused borrowing capacity under its commercial paper and revolving credit facilities.</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484" w:right="1440" w:bottom="1440" w:gutter="0" w:footer="0" w:header="0"/>
        </w:sectPr>
      </w:pPr>
    </w:p>
    <w:bookmarkStart w:id="33" w:name="page34"/>
    <w:bookmarkEnd w:id="33"/>
    <w:p>
      <w:pPr>
        <w:ind w:left="3440"/>
        <w:spacing w:after="0"/>
        <w:rPr>
          <w:sz w:val="20"/>
          <w:szCs w:val="20"/>
          <w:color w:val="auto"/>
        </w:rPr>
      </w:pPr>
      <w:r>
        <w:rPr>
          <w:rFonts w:ascii="Courier New" w:cs="Courier New" w:eastAsia="Courier New" w:hAnsi="Courier New"/>
          <w:sz w:val="16"/>
          <w:szCs w:val="16"/>
          <w:color w:val="auto"/>
        </w:rPr>
        <w:t>BUSINESS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principal business of the Company is owning and operating acute care hospitals, behavioral health centers, ambulatory surgery centers and radiation oncology centers. Currently, the Company operates 35 hospitals, consisting of 16 acute care hospitals and 19 behavioral health centers, in Arkansas, California, Florida, Georgia, Illinois, Louisiana, Massachusetts, Michigan, Missouri, Nevada, Oklahoma, Pennsylvania, South Carolina, Texas and Washington. The Company, as part of its Ambulatory Treatment Centers Division, owns outright, or in partnership with physicians, and operates or manages 26 surgery and radiation oncology centers located in 15 states.</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Services provided by the Company's hospitals include general surgery, internal medicine, obstetrics, emergency room care, radiology, oncology, diagnostic care, coronary care, pediatric services and psychiatric services. The Company provides capital resources as well as a variety of management services to its facilities, including central purchasing, data processing, finance and control systems, facilities planning, physician recruitment services, administrative personnel management, marketing and public relations.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OVERVIEW</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Healthcare is one of the largest industries in the United States, representing total expenditures of approximately $938.3 billion, or 13.9% of gross domestic product, in 1994 according to the Federal Healthcare Financing Administration ("HCFA"). Increases in healthcare expenditures, including hospital expenditures, historically have outpaced inflation due to, among other factors, the aging of the population and the increased availability and use of high-technology treatments and tests. According to HCFA, healthcare expenditures increased by approximately 6.1% in 1994 from approximately $884.0 billion in 1993.</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response to escalating healthcare costs, government and private purchasers of healthcare services have undertaken substantial revisions in their payment methodologies and have increased significantly the degree to which they monitor the utilization of services. Additionally, payors increasingly are utilizing HMOs and PPOs as cost-effective alternatives to traditional fee-for-service health insurance plans. Under these systems, hospitals bear the financial risk of providing healthcare services since they receive either a specific, fixed reimbursement for each treatment or specific fixed periodic payments based on the number of members of the HMO or PPO served or eligible for service by that hospital, regardless of the actual costs of providing the care. These payment systems have resulted in increased contractual allowances and discounts to hospitals' standard charges for services and a shift from inpatient to outpatient care.</w:t>
      </w:r>
    </w:p>
    <w:p>
      <w:pPr>
        <w:spacing w:after="0" w:line="19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These changes in payment methodologies have created many changes in the provision of healthcare. A significant shift from inpatient to outpatient care has resulted in significant unused hospital capacity and increases in the utilization of outpatient services and greater outpatient revenues. As a result, in part, of the changes in the industry, there has been significant consolidation in the hospital industry over the past few years. In response to payor trends, integrated healthcare networks have been established to provide a continuum of patient care in a cost-effective framework.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STRATEGY</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The Company's strategy to enhance its profitability and to continue to provide high quality, cost-effective healthcare services includes the following key elements:</w:t>
      </w:r>
    </w:p>
    <w:p>
      <w:pPr>
        <w:spacing w:after="0" w:line="190" w:lineRule="exact"/>
        <w:rPr>
          <w:sz w:val="20"/>
          <w:szCs w:val="20"/>
          <w:color w:val="auto"/>
        </w:rPr>
      </w:pPr>
    </w:p>
    <w:p>
      <w:pPr>
        <w:ind w:left="860" w:right="3359" w:hanging="195"/>
        <w:spacing w:after="0" w:line="239"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and maintain market leadership positions in small and medium-sized markets with favorable demographics;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81" w:right="1440" w:bottom="1440" w:gutter="0" w:footer="0" w:header="0"/>
        </w:sectPr>
      </w:pPr>
    </w:p>
    <w:bookmarkStart w:id="34" w:name="page35"/>
    <w:bookmarkEnd w:id="34"/>
    <w:p>
      <w:pPr>
        <w:ind w:left="860" w:right="2879" w:hanging="195"/>
        <w:spacing w:after="0" w:line="239"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 or participate in the leading integrated healthcare delivery system in each of its hospital's markets;</w:t>
      </w:r>
    </w:p>
    <w:p>
      <w:pPr>
        <w:spacing w:after="0" w:line="186"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 develop and maintain strong relationships with physicians;</w:t>
      </w:r>
    </w:p>
    <w:p>
      <w:pPr>
        <w:spacing w:after="0" w:line="186" w:lineRule="exact"/>
        <w:rPr>
          <w:sz w:val="20"/>
          <w:szCs w:val="20"/>
          <w:color w:val="auto"/>
        </w:rPr>
      </w:pPr>
    </w:p>
    <w:p>
      <w:pPr>
        <w:ind w:left="860" w:hanging="195"/>
        <w:spacing w:after="0"/>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 low cost structure while providing high quality care; and</w:t>
      </w:r>
    </w:p>
    <w:p>
      <w:pPr>
        <w:spacing w:after="0" w:line="185" w:lineRule="exact"/>
        <w:rPr>
          <w:rFonts w:ascii="Courier New" w:cs="Courier New" w:eastAsia="Courier New" w:hAnsi="Courier New"/>
          <w:sz w:val="16"/>
          <w:szCs w:val="16"/>
          <w:color w:val="auto"/>
        </w:rPr>
      </w:pPr>
    </w:p>
    <w:p>
      <w:pPr>
        <w:ind w:left="860" w:hanging="195"/>
        <w:spacing w:after="0"/>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managed care contracts.</w:t>
      </w:r>
    </w:p>
    <w:p>
      <w:pPr>
        <w:spacing w:after="0" w:line="188" w:lineRule="exact"/>
        <w:rPr>
          <w:sz w:val="20"/>
          <w:szCs w:val="20"/>
          <w:color w:val="auto"/>
        </w:rPr>
      </w:pPr>
    </w:p>
    <w:p>
      <w:pPr>
        <w:ind w:right="2679" w:firstLine="191"/>
        <w:spacing w:after="0" w:line="239" w:lineRule="auto"/>
        <w:rPr>
          <w:sz w:val="20"/>
          <w:szCs w:val="20"/>
          <w:color w:val="auto"/>
        </w:rPr>
      </w:pPr>
      <w:r>
        <w:rPr>
          <w:rFonts w:ascii="Courier New" w:cs="Courier New" w:eastAsia="Courier New" w:hAnsi="Courier New"/>
          <w:sz w:val="16"/>
          <w:szCs w:val="16"/>
          <w:color w:val="auto"/>
        </w:rPr>
        <w:t>Establish and Maintain Leadership Positions in Small and Medium-Sized Markets with Favorable Demographics</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believes that small and medium-sized markets provide the Company with strong opportunities for profitability since such markets typically are less competitive than major metropolitan markets and have lower cost structures. The Company strives to enhance its leadership position in its existing markets by improving the hospital's physical plant, improving and increasing the services offered by the hospital and making complementary acquisitions or constructing additional facilities. In determining whether to enter new markets, the Company considers, among other factors, the competitive situation and demographic profile.</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Examples of the Company's development and expansion of operations in small and medium-sized markets are the Company's recent acquisition and development activities. In Las Vegas, which is located in the fastest growing MSA in the nation, the Company owns the 398-bed Valley Hospital. At Valley Hospital, the Company recently developed an outpatient surgery center, conducted a major renovation of its emergency room and is establishing a neonatal intensive care unit. In addition, to further enhance the Company's leadership in Las Vegas, the Company is developing, with the Howard Hughes Corporation, a medical complex, including a 148-bed acute care hospital, an ambulatory surgery center, a medical office building and a diagnostic center in the community of Summerlin, Nevada, in western Las Vegas. Howard Hughes Corporation has granted to the Company the exclusive right to operate medical facilities in Summerlin.</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McAllen, Texas, to complement the Company's market leading 475-bed McAllen Medical Center, the Company recently acquired Edinburg Hospital, located in Edinburg, north of McAllen. McAllen is in the fourth fastest growing MSA in the nation. The Company is further expanding its presence in the McAllen market by building a new 124-bed acute care hospital in Edinburg and converting the existing property to a nursing and rehabilitation facility.</w:t>
      </w:r>
    </w:p>
    <w:p>
      <w:pPr>
        <w:spacing w:after="0" w:line="18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Company's recent acquisitions of Aiken and Manatee in 1995 provide the Company with two market leaders in markets with favorable demographics. Aiken, a 225-bed medical complex located in Aiken, South Carolina, is the only hospital located in Aiken County, South Carolina. In addition, to acquire Aiken, the Company exchanged Dallas Family Hospital and Westlake Medical Center, two hospitals which are not leaders in their markets and which the Company was unable to link to their respective market leaders. Manatee, a 512-bed acute care hospital, is one of two hospitals in Manatee County, Florida.</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Company's recent acquisition of Northwest Texas Health also provides the Company with a market leader. Northwest Texas Health is one of two hospitals located in Amarillo, Texas. Amarillo is located 90 miles from the next largest city and has a population of approximately 200,000 people, growing 22% faster than the population of the U.S. as a whole. The Company intends to position Northwest Texas Health as the hub of a health care delivery system. Northwest Texas Health is a full service tertiary health care system with market leading cardiac, obstetrics, pediatrics, trauma, and behavioral health services. In addition to the acute care and behavioral health hospitals, Northwest Texas Health also operates two fully equipped outpatient urgent care clinics and the county's only ambulance and only rescue helicopter services. Northwest Texas Health had been government operated. The Company expects to improve the operating performance of Northwest Texas Health by adding</w:t>
      </w:r>
    </w:p>
    <w:p>
      <w:pPr>
        <w:spacing w:after="0" w:line="18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84"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services, more aggressively marketing existing capabilities,</w:t>
      </w:r>
    </w:p>
    <w:p>
      <w:pPr>
        <w:spacing w:after="0" w:line="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reducing supply expenses, reducing the expense of purchased services, and reducing labor costs.</w:t>
      </w:r>
    </w:p>
    <w:p>
      <w:pPr>
        <w:spacing w:after="0" w:line="189"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The majority of the Company's behavioral health centers are either the first or second largest facility in their respective markets, ranked by beds/revenues. In June 1996, the Company acquired the First Hospital Properties. This acquisition augments the Company's presence in Pennsylvania. Each of the First Hospital Facilities is the leading provider of behavioral health services in its market. The combination of the First Hospital Facilities and their related outpatient activities plus the four managed units in Pennsylvania, subject to the facilities' approval, create the largest comprehensive behavioral health network in Pennsylvania. The Company believes its historical success in operating behavioral health facilities, when coupled with the acquired contract management business of the First Hospital Properties, will make it an effective competitor for new contracts to manage behavioral health units of hospitals.</w:t>
      </w:r>
    </w:p>
    <w:p>
      <w:pPr>
        <w:spacing w:after="0" w:line="175"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Company has also established market leadership positions with most of its ambulatory surgery centers and radiation oncology centers. The majority of the Company's surgery centers are the sole free standing providers in their respective markets and all except one of the Company's free standing radiation centers are the sole providers. The Company seeks to acquire ambulatory surgery centers and radiation oncology centers which are the sole free standing providers in a market, since these centers provide a cost-effective alternative to the local hospital.</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Develop Integrated Healthcare Delivery Systems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each of its hospital's markets, the Company has established or is developing an integrated healthcare delivery system to offer a full range of patient care on a cost-effective basis. Through the development of integrated healthcare delivery systems, the Company believes that it will augment revenues and market share by attracting an increasing share of large, sophisticated governmental and private sector managed care contracts. The Company believes that hospitals are the logical hubs for the development of integrated healthcare delivery systems due to their highly developed infrastructure, extensive base of services, sophisticated equipment and skilled personnel. The Company believes that the development of integrated healthcare delivery systems is accomplished by (i) maintaining a single hospital's leadership in its market or (ii) coordinating the services of its hospital with the market leader.</w:t>
      </w:r>
    </w:p>
    <w:p>
      <w:pPr>
        <w:spacing w:after="0" w:line="191"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In certain markets where the Company is a market leader, for example Las Vegas, Nevada and McAllen, Texas, the Company has positioned its hospitals as the center of healthcare delivery systems by responding to community needs and developing new services. In Las Vegas, the Company developed an outpatient surgery center, conducted a major renovation of its emergency room and is establishing a neonatal intensive care unit. In the Las Vegas and McAllen markets, the Company has also undertaken development activities. In addition, as a market leader, the Company intends to position Northwest Texas Health as the center of a healthcare delivery system. See "Prospectus Summary--The Company."</w:t>
      </w:r>
    </w:p>
    <w:p>
      <w:pPr>
        <w:spacing w:after="0" w:line="17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To increase the presence of the Company's behavioral health centers in southeastern Massachusetts, the Company recently acquired Fuller Memorial Psychiatric Hospital. Fuller, which is located in close proximity to two of the Company's other behavioral health centers and its 11 day-treatment clinics, will augment the Company's ability to serve additional patients in southeastern Massachusetts.</w:t>
      </w:r>
    </w:p>
    <w:p>
      <w:pPr>
        <w:spacing w:after="0" w:line="187"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In markets where the Company is not by itself a market share leader, the Company attempts to link its hospitals with the market leader. The Company has effected such a linkage in New Orleans, where its hospitals are linked with Methodist Hospital and East Jefferson Hospital, both of which are their respective market leaders.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481" w:right="1440" w:bottom="1440" w:gutter="0" w:footer="0" w:header="0"/>
        </w:sectPr>
      </w:pPr>
    </w:p>
    <w:bookmarkStart w:id="36" w:name="page37"/>
    <w:bookmarkEnd w:id="36"/>
    <w:p>
      <w:pPr>
        <w:ind w:left="100"/>
        <w:spacing w:after="0"/>
        <w:rPr>
          <w:sz w:val="20"/>
          <w:szCs w:val="20"/>
          <w:color w:val="auto"/>
        </w:rPr>
      </w:pPr>
      <w:r>
        <w:rPr>
          <w:rFonts w:ascii="Courier New" w:cs="Courier New" w:eastAsia="Courier New" w:hAnsi="Courier New"/>
          <w:sz w:val="16"/>
          <w:szCs w:val="16"/>
          <w:color w:val="auto"/>
        </w:rPr>
        <w:t>Develop and Maintain Strong Relationships with Physicians</w:t>
      </w:r>
    </w:p>
    <w:p>
      <w:pPr>
        <w:spacing w:after="0" w:line="188" w:lineRule="exact"/>
        <w:rPr>
          <w:sz w:val="20"/>
          <w:szCs w:val="20"/>
          <w:color w:val="auto"/>
        </w:rPr>
      </w:pPr>
    </w:p>
    <w:p>
      <w:pPr>
        <w:ind w:right="2679" w:firstLine="382"/>
        <w:spacing w:after="0" w:line="259" w:lineRule="auto"/>
        <w:rPr>
          <w:sz w:val="20"/>
          <w:szCs w:val="20"/>
          <w:color w:val="auto"/>
        </w:rPr>
      </w:pPr>
      <w:r>
        <w:rPr>
          <w:rFonts w:ascii="Courier New" w:cs="Courier New" w:eastAsia="Courier New" w:hAnsi="Courier New"/>
          <w:sz w:val="15"/>
          <w:szCs w:val="15"/>
          <w:color w:val="auto"/>
        </w:rPr>
        <w:t>The Company believes that its success will depend in large part on maintaining strong relationships with physicians, and has, therefore, devoted substantial management effort and resources to establish and maintain such relationships and to foster a physician-friendly culture at each of its hospitals. The Company attracts physicians to its hospitals by equipping its hospitals with sophisticated equipment, constructing medical office buildings adjacent to many of its hospitals, providing physicians with a large degree of independence in conducting their hospital practice, supplying a quality nursing and technical staff and sponsoring training programs to educate physicians on advanced medical procedures. These efforts help develop and maintain strong relationships with physicians and better serve the needs of patients. In addition, consistent with the Company's goal of establishing integrated healthcare delivery systems, the Company is expanding its alliances with physicians to create long term hospital/physician linkages. These arrangements will allow physicians to participate in the delivery of healthcare at the network level. For example, in Nevada, the Company has established Universal Health Network, a PPO with approximately 125,000 covered lives.</w:t>
      </w:r>
    </w:p>
    <w:p>
      <w:pPr>
        <w:spacing w:after="0" w:line="36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Maintain a Low Cost Structure While Providing High Quality Care</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has taken steps to create a low cost structure, which the Company believes will enable it to continue to compete effectively in each of its current markets. The Company has established standardized management information systems which provide accurate clinical and financial data for use by hospital staff, physicians and corporate management. In addition, the Company closely monitors departmental staffing and has established staffing level targets for each hospital based on the amount and type of services provided. The Company reviews compliance with these staffing targets on a monthly basis. The Company also reviews patient length of stay, service utilization, cash flow, accounts receivable collection, inventory levels and outside purchases. To reduce the cost of supplies, the Company has entered into national purchasing contracts.</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While maintaining its commitment to a low cost structure, the Company has developed and implemented a continuous quality improvement program designed to assess all levels of patient care provided in its hospitals. While the basics of the program are mandated by federal, state and Joint Commission on Accreditation of Healthcare Organizations ("JCAHO") regulations and standards, the objective of the program is to meet or exceed the mandates by focusing on hospital systems, patient, physician and employee concerns. The quality improvement program is managed in each hospital by a multidisciplinary committee consisting of physicians, nurses, ancillary managers and administration. The committee performs peer review, monitoring all functions within the hospital, identifying opportunities to improve, recommending actions and following up on the changes to assure improvement. The committee and its administrative support department, quality management and the corporate quality improvement services department meet regularly to address specific problems, program integrity, and ways to improve patients care under a "Total Quality Management System." Continual review, analysis and training provided through the quality improvement program provides patients, physicians and third party payors assurance that efficient, quality patient care receives the highest priority at each of the Company's hospitals. The Company's efforts in maintaining high quality care have been recognized. Recent awards include (i) the 1994 Quality and Productivity Award being given by the United States Senate to Valley Hospital Medical Center; (ii) 30% of the Company's hospitals, consisting of Keystone Center, Chalmette Medical Center, Turning Point Hospital, HRI Hospital, The Arbour, Del Amo Hospital, River Parishes Hospital, Two Rivers Psychiatric Hospital and Manatee, receiving JCAHO Accreditation with Commendation (awarded to only 5% of hospitals, nationally); and (iii) the Company being recognized by the Pennsylvania Council of Excellence for quality management accomplishment. Northwest Texas Health, recently acquired by the Company, also received JCAHO Accreditation with Commendation.</w:t>
      </w:r>
    </w:p>
    <w:p>
      <w:pPr>
        <w:spacing w:after="0" w:line="19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64" w:right="1440" w:bottom="1440" w:gutter="0" w:footer="0" w:header="0"/>
        </w:sectPr>
      </w:pPr>
    </w:p>
    <w:bookmarkStart w:id="37" w:name="page38"/>
    <w:bookmarkEnd w:id="37"/>
    <w:p>
      <w:pPr>
        <w:ind w:left="180"/>
        <w:spacing w:after="0"/>
        <w:rPr>
          <w:sz w:val="20"/>
          <w:szCs w:val="20"/>
          <w:color w:val="auto"/>
        </w:rPr>
      </w:pPr>
      <w:r>
        <w:rPr>
          <w:rFonts w:ascii="Courier New" w:cs="Courier New" w:eastAsia="Courier New" w:hAnsi="Courier New"/>
          <w:sz w:val="16"/>
          <w:szCs w:val="16"/>
          <w:color w:val="auto"/>
        </w:rPr>
        <w:t>Attract Managed Care Contracts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has extensive experience in working with managed care providers. Pressures to control healthcare costs have resulted in a continuing increase in the percentage of the United States population that is covered by managed healthcare plans. To increase the cost-effectiveness of healthcare delivery, managed care payors have introduced new utilization review systems and have increased the use of discounted and capitated fee arrangements. Further, managed care payors have attempted, where appropriate, to direct patients to less intensive alternatives along the continuum of patient care. Management has responded to this trend by increasing the outpatient services offered at its hospitals and behavioral health centers. In addition, the Company also continues to add to its Ambulatory Treatment Centers Division, acquiring nine facilities in 1994, and four facilities in 1995. In determining with which providers to contract, payors consider, among other factors, the quality of care provided, the range of services, the geographic coverage and the cost-effectiveness of the care provided. The Company believes that the development and expansion of its integrated healthcare delivery systems will enable it to better compete for managed care contracts with payors, which, in turn, should allow it to expand its patient volume and cash flow, notwithstanding the reduced rates at which services are provided.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After giving effect to the recent acquisition of Northwest Texas Health, the Company will derive the majority of its revenue from McAllen Medical Center, Valley Hospital, Manatee, Aiken and Northwest Texas Health. Following is a brief discussion of these facilities and their respective geographic areas and certain of the Company's other operations:</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McAllen, Texas. McAllen, located in the Rio Grande Valley area of Texas, is the center of a 200-mile wide consumer market area with more than ten million people. McAllen and its surrounding communities are in the fourth fastest growing MSA in the country. Furthermore, the population in McAllen increases significantly in the winter months with the inflow of retirees from the northern states. The Company's McAllen Medical Center, a 475-bed facility, is the largest hospital in the Rio Grande Valley and is the hub of a five-hospital delivery network organized by the Company. The medical center offers a wide range of services including general medical/surgical care, a 24-hour emergency room, oncology care, cardiac care, obstetric, pediatric and neonatal care and laser surgery. On a pro forma basis, assuming the Adjustments and excluding the Indigent Care Reimbursements, McAllen Medical Center would have contributed 15% of the Company's net revenues for the year ended December 31, 1995, and 30% of the Company's EBITDAR for such period.</w:t>
      </w:r>
    </w:p>
    <w:p>
      <w:pPr>
        <w:spacing w:after="0" w:line="192"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Company acquired Edinburg Hospital in 1994, a 112-bed acute care facility. Located eight miles north of McAllen, this facility enhances the Company's delivery network in this rapidly growing area. The Company is further expanding its presence in the McAllen market by building a new 124-bed acute care hospital in Edinburg and converting the existing property to a nursing and rehabilitation facility.</w:t>
      </w:r>
    </w:p>
    <w:p>
      <w:pPr>
        <w:spacing w:after="0" w:line="18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Las Vegas, Nevada. The Company's Valley Hospital is a 398-bed hospital located in Las Vegas. Las Vegas is in the fastest growing MSA in the country. On a pro forma basis, assuming the Adjustments and excluding the Indigent Care Reimbursements, Valley Hospital would have contributed 14% of the Company's net revenues for the year ended December 31, 1995, and 24% of the Company's EBITDAR for such periods. To enhance its competitive position in the Las Vegas market, Valley Hospital recently underwent a major expansion of its emergency room facility, established an outpatient surgery center and is establishing a neonatal intensive care unit.</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has begun construction of a new facility in Summerlin, Nevada which is a master planned community located in western Las Vegas. The new Summerlin Medical Center will be completed in three phases and will consist of a 100,000 square foot medical building, an outpatient surgery and diagnostic center and a 148-bed acute care hospital. Howard Hughes Corporation has granted to the Company the exclusive right to operate medical facilities in Summerlin. See "Prospectus Summary--Recent Events."</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481" w:right="1440" w:bottom="1440" w:gutter="0" w:footer="0" w:header="0"/>
        </w:sectPr>
      </w:pPr>
    </w:p>
    <w:bookmarkStart w:id="38" w:name="page39"/>
    <w:bookmarkEnd w:id="38"/>
    <w:p>
      <w:pPr>
        <w:ind w:right="2599" w:firstLine="382"/>
        <w:spacing w:after="0" w:line="242" w:lineRule="auto"/>
        <w:rPr>
          <w:sz w:val="20"/>
          <w:szCs w:val="20"/>
          <w:color w:val="auto"/>
        </w:rPr>
      </w:pPr>
      <w:r>
        <w:rPr>
          <w:rFonts w:ascii="Courier New" w:cs="Courier New" w:eastAsia="Courier New" w:hAnsi="Courier New"/>
          <w:sz w:val="16"/>
          <w:szCs w:val="16"/>
          <w:color w:val="auto"/>
        </w:rPr>
        <w:t>Manatee County, Florida. Manatee County is located approximately 50 miles south of Tampa on the Gulf Coast of Florida. The County has a current population of approximately 250,000. The Company's Manatee Memorial Hospital ("Manatee"), a 512-bed facility, has a location which will benefit from the continuing eastern expansion of the County. Manatee offers a wide range of services from primary medical and surgical procedures to obstetric, pediatric, psychiatric and a broad range of specialized programs. The Manatee Heart Center offers the full range of cardiac care from catheterization and non-invasive procedures to open heart surgery. The Manatee Center for Women's Health offers neonatal care in addition to its obstetric and gynecological services. The Emergency Care Center is a state-of-the-art facility servicing 90% of the trauma cases in the County. Manatee also offers a full range of outpatient services to the community. It is the only hospital in the County to operate a Life Management inpatient and outpatient program for mentally ill individuals. Recently, Manatee opened its new Surgery and Outpatient Services Center which provides outpatient services to the community through twelve new surgical suites and arrays of diagnostic tests and surgical procedures.</w:t>
      </w:r>
    </w:p>
    <w:p>
      <w:pPr>
        <w:spacing w:after="0" w:line="194" w:lineRule="exact"/>
        <w:rPr>
          <w:sz w:val="20"/>
          <w:szCs w:val="20"/>
          <w:color w:val="auto"/>
        </w:rPr>
      </w:pPr>
    </w:p>
    <w:p>
      <w:pPr>
        <w:ind w:right="2879" w:firstLine="382"/>
        <w:spacing w:after="0" w:line="265" w:lineRule="auto"/>
        <w:rPr>
          <w:sz w:val="20"/>
          <w:szCs w:val="20"/>
          <w:color w:val="auto"/>
        </w:rPr>
      </w:pPr>
      <w:r>
        <w:rPr>
          <w:rFonts w:ascii="Courier New" w:cs="Courier New" w:eastAsia="Courier New" w:hAnsi="Courier New"/>
          <w:sz w:val="15"/>
          <w:szCs w:val="15"/>
          <w:color w:val="auto"/>
        </w:rPr>
        <w:t>Assuming the Adjustments and excluding the Indigent Care Reimbursements, Manatee would have contributed 11% of the Company's net revenues for the year ended December 31, 1995, and 12% of the Company's EBITDAR for such period.</w:t>
      </w:r>
    </w:p>
    <w:p>
      <w:pPr>
        <w:spacing w:after="0" w:line="171"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Aiken, South Carolina. Aiken Regional Medical Centers ("Aiken"), a 225-bed medical complex, is the only hospital located in Aiken County, South Carolina. Aiken County, which is located in west central South Carolina, has a population of approximately 130,000 people. Aiken serves Aiken County, as well as three other counties in South Carolina with a total market of approximately 180,000 people. Aiken's facilities include a modern, full service acute care hospital, which recently commenced offering open heart surgeries, and a behavioral health center.</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Amarillo, Texas. Amarillo is located in the Texas panhandle, has a current population of approximately 200,000 and is located 90 miles from the next largest city. Northwest Texas Health, a 360-bed medical complex, includes a full service acute care hospital offering primary medical and surgical procedures and specialized programs. The hospital is the leading provider of emergency, trauma, obstetrics, neonatal and pediatric care in the market. Northwest Texas Health is one of two hospitals in Amarillo and is the teaching facility of Texas Tech University.</w:t>
      </w:r>
    </w:p>
    <w:p>
      <w:pPr>
        <w:spacing w:after="0" w:line="189" w:lineRule="exact"/>
        <w:rPr>
          <w:sz w:val="20"/>
          <w:szCs w:val="20"/>
          <w:color w:val="auto"/>
        </w:rPr>
      </w:pPr>
    </w:p>
    <w:p>
      <w:pPr>
        <w:ind w:right="2779" w:firstLine="382"/>
        <w:spacing w:after="0"/>
        <w:rPr>
          <w:sz w:val="20"/>
          <w:szCs w:val="20"/>
          <w:color w:val="auto"/>
        </w:rPr>
      </w:pPr>
      <w:r>
        <w:rPr>
          <w:rFonts w:ascii="Courier New" w:cs="Courier New" w:eastAsia="Courier New" w:hAnsi="Courier New"/>
          <w:sz w:val="16"/>
          <w:szCs w:val="16"/>
          <w:color w:val="auto"/>
        </w:rPr>
        <w:t>Behavioral Health Centers. The majority of the Company's behavioral health centers are either the first or second largest facility in their respective markets, ranked by beds/revenues.</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Ambulatory Treatment Centers. The Company has also established market leadership positions with most of its ambulatory surgery centers and radiation oncology centers. The majority of the Company's surgery centers are the sole free standing providers in their respective markets and all except one of the Company's free standing radiation centers are the sole providers. The Company seeks to acquire ambulatory surgery centers and radiation oncology centers which are the sole free standing providers in a market since these centers provide a cost-effective alternative to the local hospital.</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Other Activities. The Company recently has constructed and opened its first combined women's hospital and obstetrician physician practice management center in Edmond, Oklahoma, a suburb of Oklahoma City. The strategy of the Company in establishing this hospital, Renaissance Centers For Women, is to develop and manage fully integrated specialty hospitals and physician clinic practices of obstetricians. The hospital houses the most modern LDRP suites, operating rooms, laboratory, and imaging capabilities generally available to this physician specialty. The Company may construct additional centers and manage additional OB/GYN practices in the future.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w:t>
      </w:r>
    </w:p>
    <w:p>
      <w:pPr>
        <w:spacing w:after="0" w:line="188" w:lineRule="exact"/>
        <w:rPr>
          <w:sz w:val="20"/>
          <w:szCs w:val="20"/>
          <w:color w:val="auto"/>
        </w:rPr>
      </w:pPr>
    </w:p>
    <w:p>
      <w:pPr>
        <w:jc w:val="both"/>
        <w:ind w:right="2599" w:firstLine="382"/>
        <w:spacing w:after="0"/>
        <w:rPr>
          <w:sz w:val="20"/>
          <w:szCs w:val="20"/>
          <w:color w:val="auto"/>
        </w:rPr>
      </w:pPr>
      <w:r>
        <w:rPr>
          <w:rFonts w:ascii="Courier New" w:cs="Courier New" w:eastAsia="Courier New" w:hAnsi="Courier New"/>
          <w:sz w:val="16"/>
          <w:szCs w:val="16"/>
          <w:color w:val="auto"/>
        </w:rPr>
        <w:t>The following tables set forth the name, location, type of facility and, for acute care hospitals and behavioral health centers, the number of beds, for each of the Company's facilities: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484" w:right="1440" w:bottom="1440" w:gutter="0" w:footer="0" w:header="0"/>
        </w:sectPr>
      </w:pPr>
    </w:p>
    <w:bookmarkStart w:id="39" w:name="page40"/>
    <w:bookmarkEnd w:id="39"/>
    <w:p>
      <w:pPr>
        <w:ind w:left="2860"/>
        <w:spacing w:after="0"/>
        <w:rPr>
          <w:sz w:val="20"/>
          <w:szCs w:val="20"/>
          <w:color w:val="auto"/>
        </w:rPr>
      </w:pPr>
      <w:r>
        <w:rPr>
          <w:rFonts w:ascii="Courier New" w:cs="Courier New" w:eastAsia="Courier New" w:hAnsi="Courier New"/>
          <w:sz w:val="15"/>
          <w:szCs w:val="15"/>
          <w:color w:val="auto"/>
        </w:rPr>
        <w:t>ACUTE CARE HOSPITALS</w:t>
      </w:r>
    </w:p>
    <w:p>
      <w:pPr>
        <w:sectPr>
          <w:pgSz w:w="11900" w:h="16838" w:orient="portrait"/>
          <w:cols w:equalWidth="0" w:num="1">
            <w:col w:w="10219"/>
          </w:cols>
          <w:pgMar w:left="240" w:top="4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NAME OF FACILITY</w:t>
      </w:r>
    </w:p>
    <w:p>
      <w:pPr>
        <w:spacing w:after="0" w:line="13"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BEDS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ectPr>
          <w:pgSz w:w="11900" w:h="16838" w:orient="portrait"/>
          <w:cols w:equalWidth="0" w:num="4">
            <w:col w:w="3760" w:space="720"/>
            <w:col w:w="1560" w:space="720"/>
            <w:col w:w="680" w:space="560"/>
            <w:col w:w="2219"/>
          </w:cols>
          <w:pgMar w:left="240" w:top="484" w:right="1440"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3340" w:type="dxa"/>
            <w:vAlign w:val="bottom"/>
          </w:tcPr>
          <w:p>
            <w:pPr>
              <w:spacing w:after="0"/>
              <w:rPr>
                <w:sz w:val="20"/>
                <w:szCs w:val="20"/>
                <w:color w:val="auto"/>
              </w:rPr>
            </w:pPr>
            <w:r>
              <w:rPr>
                <w:rFonts w:ascii="Courier New" w:cs="Courier New" w:eastAsia="Courier New" w:hAnsi="Courier New"/>
                <w:sz w:val="16"/>
                <w:szCs w:val="16"/>
                <w:color w:val="auto"/>
              </w:rPr>
              <w:t>Aiken Regional Medical Centers...</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Aiken, South Carolina</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225</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Auburn General Hospital..........</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Auburn, Washington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Chalmette Medical Center(1)......</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Chalmette, Louisiana</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Doctors' Hospital of</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Shreveport, Louisiana</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Shreveport(2)....................</w:t>
            </w:r>
          </w:p>
        </w:tc>
        <w:tc>
          <w:tcPr>
            <w:tcW w:w="3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Edinburg Hospital................</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Edinburg, Texas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Inland Valley Regional Medical</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Wildomar,California</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Center(1)........................</w:t>
            </w:r>
          </w:p>
        </w:tc>
        <w:tc>
          <w:tcPr>
            <w:tcW w:w="3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Manatee Memorial Hospital........</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Bradenton, Florida</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512</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McAllen Medical Center(1)........</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McAllen, Texas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475</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Northern Nevada Medical</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Sparks, Nevada</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Center(3)........................</w:t>
            </w:r>
          </w:p>
        </w:tc>
        <w:tc>
          <w:tcPr>
            <w:tcW w:w="3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Northwest Texas Health Systems...</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Amarillo, Texas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360</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Renaissance Centers for</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Edmond, Oklahoma</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Women(4).........................</w:t>
            </w:r>
          </w:p>
        </w:tc>
        <w:tc>
          <w:tcPr>
            <w:tcW w:w="3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River Parishes Hospitals(5)......</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LaPlace and Chalmette, Louisiana</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175</w:t>
            </w:r>
          </w:p>
        </w:tc>
        <w:tc>
          <w:tcPr>
            <w:tcW w:w="21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Leased/Owned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Valley Hospital Medical Center...</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Las Vegas, Nevada</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398</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Victoria Regional Medical</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Victoria, Texas</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Center...........................</w:t>
            </w:r>
          </w:p>
        </w:tc>
        <w:tc>
          <w:tcPr>
            <w:tcW w:w="3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Wellington Regional Medical</w:t>
            </w:r>
          </w:p>
        </w:tc>
        <w:tc>
          <w:tcPr>
            <w:tcW w:w="3340" w:type="dxa"/>
            <w:vAlign w:val="bottom"/>
          </w:tcPr>
          <w:p>
            <w:pPr>
              <w:spacing w:after="0"/>
              <w:rPr>
                <w:sz w:val="20"/>
                <w:szCs w:val="20"/>
                <w:color w:val="auto"/>
              </w:rPr>
            </w:pPr>
            <w:r>
              <w:rPr>
                <w:rFonts w:ascii="Courier New" w:cs="Courier New" w:eastAsia="Courier New" w:hAnsi="Courier New"/>
                <w:sz w:val="16"/>
                <w:szCs w:val="16"/>
                <w:color w:val="auto"/>
              </w:rPr>
              <w:t>West Palm Beach, Florida</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Center(1)........................</w:t>
            </w:r>
          </w:p>
        </w:tc>
        <w:tc>
          <w:tcPr>
            <w:tcW w:w="3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c>
          <w:tcPr>
            <w:tcW w:w="860" w:type="dxa"/>
            <w:vAlign w:val="bottom"/>
          </w:tcPr>
          <w:p>
            <w:pPr>
              <w:spacing w:after="0"/>
              <w:rPr>
                <w:sz w:val="15"/>
                <w:szCs w:val="15"/>
                <w:color w:val="auto"/>
              </w:rPr>
            </w:pP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Leased</w:t>
            </w:r>
          </w:p>
        </w:tc>
      </w:tr>
      <w:tr>
        <w:trPr>
          <w:trHeight w:val="550"/>
        </w:trPr>
        <w:tc>
          <w:tcPr>
            <w:tcW w:w="6680" w:type="dxa"/>
            <w:vAlign w:val="bottom"/>
            <w:gridSpan w:val="2"/>
          </w:tcPr>
          <w:p>
            <w:pPr>
              <w:ind w:left="2580"/>
              <w:spacing w:after="0"/>
              <w:rPr>
                <w:sz w:val="20"/>
                <w:szCs w:val="20"/>
                <w:color w:val="auto"/>
              </w:rPr>
            </w:pPr>
            <w:r>
              <w:rPr>
                <w:rFonts w:ascii="Courier New" w:cs="Courier New" w:eastAsia="Courier New" w:hAnsi="Courier New"/>
                <w:sz w:val="16"/>
                <w:szCs w:val="16"/>
                <w:color w:val="auto"/>
              </w:rPr>
              <w:t>BEHAVIORAL HEALTH CENTERS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34"/>
        </w:trPr>
        <w:tc>
          <w:tcPr>
            <w:tcW w:w="3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NUMBER</w:t>
            </w:r>
          </w:p>
        </w:tc>
        <w:tc>
          <w:tcPr>
            <w:tcW w:w="1280" w:type="dxa"/>
            <w:vAlign w:val="bottom"/>
          </w:tcPr>
          <w:p>
            <w:pPr>
              <w:spacing w:after="0"/>
              <w:rPr>
                <w:sz w:val="24"/>
                <w:szCs w:val="24"/>
                <w:color w:val="auto"/>
              </w:rPr>
            </w:pPr>
          </w:p>
        </w:tc>
      </w:tr>
      <w:tr>
        <w:trPr>
          <w:trHeight w:val="183"/>
        </w:trPr>
        <w:tc>
          <w:tcPr>
            <w:tcW w:w="3340" w:type="dxa"/>
            <w:vAlign w:val="bottom"/>
          </w:tcPr>
          <w:p>
            <w:pPr>
              <w:ind w:left="860"/>
              <w:spacing w:after="0"/>
              <w:rPr>
                <w:sz w:val="20"/>
                <w:szCs w:val="20"/>
                <w:color w:val="auto"/>
              </w:rPr>
            </w:pPr>
            <w:r>
              <w:rPr>
                <w:rFonts w:ascii="Courier New" w:cs="Courier New" w:eastAsia="Courier New" w:hAnsi="Courier New"/>
                <w:sz w:val="16"/>
                <w:szCs w:val="16"/>
                <w:color w:val="auto"/>
              </w:rPr>
              <w:t>NAME OF FACILITY</w:t>
            </w:r>
          </w:p>
        </w:tc>
        <w:tc>
          <w:tcPr>
            <w:tcW w:w="3340" w:type="dxa"/>
            <w:vAlign w:val="bottom"/>
          </w:tcPr>
          <w:p>
            <w:pPr>
              <w:ind w:left="1420"/>
              <w:spacing w:after="0"/>
              <w:rPr>
                <w:sz w:val="20"/>
                <w:szCs w:val="20"/>
                <w:color w:val="auto"/>
              </w:rPr>
            </w:pPr>
            <w:r>
              <w:rPr>
                <w:rFonts w:ascii="Courier New" w:cs="Courier New" w:eastAsia="Courier New" w:hAnsi="Courier New"/>
                <w:sz w:val="16"/>
                <w:szCs w:val="16"/>
                <w:color w:val="auto"/>
              </w:rPr>
              <w:t>LOCATION</w:t>
            </w:r>
          </w:p>
        </w:tc>
        <w:tc>
          <w:tcPr>
            <w:tcW w:w="14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OF BEDS</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OWNERSHIP</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3"/>
              </w:rPr>
              <w:t>- -----------------------------------</w:t>
            </w:r>
          </w:p>
        </w:tc>
        <w:tc>
          <w:tcPr>
            <w:tcW w:w="39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The Arbour Hospital................</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Boston, Massachusetts</w:t>
            </w:r>
          </w:p>
        </w:tc>
        <w:tc>
          <w:tcPr>
            <w:tcW w:w="620" w:type="dxa"/>
            <w:vAlign w:val="bottom"/>
          </w:tcPr>
          <w:p>
            <w:pPr>
              <w:spacing w:after="0"/>
              <w:rPr>
                <w:sz w:val="24"/>
                <w:szCs w:val="24"/>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118</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The BridgeWay(1)...................</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North Little Rock, Arkansas</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70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Clarion Psychiatric Center.........</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Clarion, Pennsylvania</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52</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Del Amo Hospital...................</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Torrance, California</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166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Forest View Hospital...............</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Grand Rapids, Michigan</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62</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Fuller Memorial Psychiatric</w:t>
            </w:r>
          </w:p>
        </w:tc>
        <w:tc>
          <w:tcPr>
            <w:tcW w:w="3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Hospital...........................</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South Attleboro, Massachusetts</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82</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Glen Oaks Hospital.................</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Greenville, Texas</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54</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The Horsham Clinic.................</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Ambler, Pennsylvania</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138</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HRI Hospital.......................</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Brookline, Massachusetts</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68</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KeyStone Center(6).................</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Wallingford, Pennsylvania</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84</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La Amistad Residential Treatment</w:t>
            </w:r>
          </w:p>
        </w:tc>
        <w:tc>
          <w:tcPr>
            <w:tcW w:w="3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Center.............................</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Maitland, Florida</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56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Meridell Achievement Center(1).....</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Austin, Texas</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114</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Leased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The Meadows Psychiatric Center.....</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Centre Hall, Pennsylvania</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101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The Pavilion.......................</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Champaign, Illinois</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46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River Crest Hospital...............</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San Angelo, Texas</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River Oaks Hospital................</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New Orleans, Louisiana</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126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Roxbury Psychiatric Center.........</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Shippensburg, Pennsylvania</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71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Turning Point Hospital(6)..........</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Moultrie, Georgia</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59</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Two Rivers Psychiatric Hospital....</w:t>
            </w:r>
          </w:p>
        </w:tc>
        <w:tc>
          <w:tcPr>
            <w:tcW w:w="3340" w:type="dxa"/>
            <w:vAlign w:val="bottom"/>
          </w:tcPr>
          <w:p>
            <w:pPr>
              <w:ind w:left="180"/>
              <w:spacing w:after="0"/>
              <w:rPr>
                <w:sz w:val="20"/>
                <w:szCs w:val="20"/>
                <w:color w:val="auto"/>
              </w:rPr>
            </w:pPr>
            <w:r>
              <w:rPr>
                <w:rFonts w:ascii="Courier New" w:cs="Courier New" w:eastAsia="Courier New" w:hAnsi="Courier New"/>
                <w:sz w:val="16"/>
                <w:szCs w:val="16"/>
                <w:color w:val="auto"/>
              </w:rPr>
              <w:t>Kansas City, Missouri</w:t>
            </w:r>
          </w:p>
        </w:tc>
        <w:tc>
          <w:tcPr>
            <w:tcW w:w="62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Owned</w:t>
            </w:r>
          </w:p>
        </w:tc>
      </w:tr>
      <w:tr>
        <w:trPr>
          <w:trHeight w:val="550"/>
        </w:trPr>
        <w:tc>
          <w:tcPr>
            <w:tcW w:w="3340" w:type="dxa"/>
            <w:vAlign w:val="bottom"/>
          </w:tcPr>
          <w:p>
            <w:pPr>
              <w:spacing w:after="0"/>
              <w:rPr>
                <w:sz w:val="24"/>
                <w:szCs w:val="24"/>
                <w:color w:val="auto"/>
              </w:rPr>
            </w:pPr>
          </w:p>
        </w:tc>
        <w:tc>
          <w:tcPr>
            <w:tcW w:w="3340" w:type="dxa"/>
            <w:vAlign w:val="bottom"/>
          </w:tcPr>
          <w:p>
            <w:pPr>
              <w:ind w:left="380"/>
              <w:spacing w:after="0"/>
              <w:rPr>
                <w:sz w:val="20"/>
                <w:szCs w:val="20"/>
                <w:color w:val="auto"/>
              </w:rPr>
            </w:pPr>
            <w:r>
              <w:rPr>
                <w:rFonts w:ascii="Courier New" w:cs="Courier New" w:eastAsia="Courier New" w:hAnsi="Courier New"/>
                <w:sz w:val="16"/>
                <w:szCs w:val="16"/>
                <w:color w:val="auto"/>
              </w:rPr>
              <w:t>36</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484" w:right="1440" w:bottom="1440" w:gutter="0" w:footer="0" w:header="0"/>
          <w:type w:val="continuous"/>
        </w:sectPr>
      </w:pPr>
    </w:p>
    <w:bookmarkStart w:id="40" w:name="page41"/>
    <w:bookmarkEnd w:id="40"/>
    <w:p>
      <w:pPr>
        <w:ind w:left="2582"/>
        <w:spacing w:after="0"/>
        <w:rPr>
          <w:sz w:val="20"/>
          <w:szCs w:val="20"/>
          <w:color w:val="auto"/>
        </w:rPr>
      </w:pPr>
      <w:r>
        <w:rPr>
          <w:rFonts w:ascii="Courier New" w:cs="Courier New" w:eastAsia="Courier New" w:hAnsi="Courier New"/>
          <w:sz w:val="15"/>
          <w:szCs w:val="15"/>
          <w:color w:val="auto"/>
        </w:rPr>
        <w:t>AMBULATORY SURGERY CENTERS</w:t>
      </w:r>
    </w:p>
    <w:p>
      <w:pPr>
        <w:sectPr>
          <w:pgSz w:w="11900" w:h="16838" w:orient="portrait"/>
          <w:cols w:equalWidth="0" w:num="1">
            <w:col w:w="10221"/>
          </w:cols>
          <w:pgMar w:left="238" w:top="484" w:right="1440" w:bottom="1440" w:gutter="0" w:footer="0" w:header="0"/>
        </w:sectPr>
      </w:pPr>
    </w:p>
    <w:p>
      <w:pPr>
        <w:spacing w:after="0" w:line="377"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NAME OF FACILITY(8)</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Arkansas Surgery Center of Fayetteville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Goldring Surgical and Diagnostic Center</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M.D. Physicians Surgicenter of Midwest City</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Outpatient Surgical Center of Ponca City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St. George Surgical Center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Seacoast Outpatient Surgical Center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Centers of the Desert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Surgery Center of Chalmette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 of Littleton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 of Springfield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 of Texas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Surgical Center of New Albany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 of Corona</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Surgery Center of Waltham</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LOCATION</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Fayetteville, Arkansas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 Vegas, Nevada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Midwest City, Oklahoma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Ponca City, Oklahoma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George, Utah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Somersworth, New Hampshire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Rancho Mirage,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Palm Springs,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Chalmette, Louisiana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Littleton, 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Springfield, Missouri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Odessa,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Albany, Indiana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Corona,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Waltham, Massachusetts</w:t>
      </w:r>
    </w:p>
    <w:p>
      <w:pPr>
        <w:spacing w:after="0" w:line="200" w:lineRule="exact"/>
        <w:rPr>
          <w:sz w:val="20"/>
          <w:szCs w:val="20"/>
          <w:color w:val="auto"/>
        </w:rPr>
      </w:pPr>
    </w:p>
    <w:p>
      <w:pPr>
        <w:sectPr>
          <w:pgSz w:w="11900" w:h="16838" w:orient="portrait"/>
          <w:cols w:equalWidth="0" w:num="2">
            <w:col w:w="4102" w:space="380"/>
            <w:col w:w="5739"/>
          </w:cols>
          <w:pgMar w:left="238" w:top="484" w:right="1440" w:bottom="1440" w:gutter="0" w:footer="0" w:header="0"/>
          <w:type w:val="continuous"/>
        </w:sectPr>
      </w:pPr>
    </w:p>
    <w:p>
      <w:pPr>
        <w:spacing w:after="0" w:line="172" w:lineRule="exact"/>
        <w:rPr>
          <w:sz w:val="20"/>
          <w:szCs w:val="20"/>
          <w:color w:val="auto"/>
        </w:rPr>
      </w:pPr>
    </w:p>
    <w:p>
      <w:pPr>
        <w:ind w:left="2582"/>
        <w:spacing w:after="0"/>
        <w:rPr>
          <w:sz w:val="20"/>
          <w:szCs w:val="20"/>
          <w:color w:val="auto"/>
        </w:rPr>
      </w:pPr>
      <w:r>
        <w:rPr>
          <w:rFonts w:ascii="Courier New" w:cs="Courier New" w:eastAsia="Courier New" w:hAnsi="Courier New"/>
          <w:sz w:val="15"/>
          <w:szCs w:val="15"/>
          <w:color w:val="auto"/>
        </w:rPr>
        <w:t>RADIATION ONCOLOGY CENTERS</w:t>
      </w:r>
    </w:p>
    <w:p>
      <w:pPr>
        <w:sectPr>
          <w:pgSz w:w="11900" w:h="16838" w:orient="portrait"/>
          <w:cols w:equalWidth="0" w:num="1">
            <w:col w:w="10221"/>
          </w:cols>
          <w:pgMar w:left="238" w:top="484" w:right="1440" w:bottom="1440" w:gutter="0" w:footer="0" w:header="0"/>
          <w:type w:val="continuous"/>
        </w:sectPr>
      </w:pPr>
    </w:p>
    <w:p>
      <w:pPr>
        <w:spacing w:after="0" w:line="37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NAME OF FACILITY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Auburn Regional Center for Cancer Care</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Bowling Green Radiation Oncology</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LOCATION</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Auburn, 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Bowling Green, Kentucky</w:t>
      </w:r>
    </w:p>
    <w:p>
      <w:pPr>
        <w:spacing w:after="0" w:line="13" w:lineRule="exact"/>
        <w:rPr>
          <w:sz w:val="20"/>
          <w:szCs w:val="20"/>
          <w:color w:val="auto"/>
        </w:rPr>
      </w:pPr>
    </w:p>
    <w:p>
      <w:pPr>
        <w:sectPr>
          <w:pgSz w:w="11900" w:h="16838" w:orient="portrait"/>
          <w:cols w:equalWidth="0" w:num="2">
            <w:col w:w="3762" w:space="720"/>
            <w:col w:w="5739"/>
          </w:cols>
          <w:pgMar w:left="238" w:top="484" w:right="1440" w:bottom="1440" w:gutter="0" w:footer="0" w:header="0"/>
          <w:type w:val="continuous"/>
        </w:sectPr>
      </w:pPr>
    </w:p>
    <w:p>
      <w:pPr>
        <w:ind w:left="182"/>
        <w:spacing w:after="0"/>
        <w:rPr>
          <w:sz w:val="20"/>
          <w:szCs w:val="20"/>
          <w:color w:val="auto"/>
        </w:rPr>
      </w:pPr>
      <w:r>
        <w:rPr>
          <w:rFonts w:ascii="Courier New" w:cs="Courier New" w:eastAsia="Courier New" w:hAnsi="Courier New"/>
          <w:sz w:val="15"/>
          <w:szCs w:val="15"/>
          <w:color w:val="auto"/>
        </w:rPr>
        <w:t>Associates(7)</w:t>
      </w:r>
    </w:p>
    <w:p>
      <w:pPr>
        <w:sectPr>
          <w:pgSz w:w="11900" w:h="16838" w:orient="portrait"/>
          <w:cols w:equalWidth="0" w:num="1">
            <w:col w:w="10221"/>
          </w:cols>
          <w:pgMar w:left="238" w:top="484" w:right="1440" w:bottom="1440" w:gutter="0" w:footer="0" w:header="0"/>
          <w:type w:val="continuous"/>
        </w:sectPr>
      </w:pP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Blue Grass Regional Cancer Center(7)</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Columbia Radiation Oncology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Danville Radiation Therapy Center(7)</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Glasgow Radiation Oncology Associates(7)</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Louisville Radiation Oncology(7)</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Madison Radiation Oncology Associates(9)</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McAllen Medical Center Cancer Institute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Regional Cancer Center at Wellington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Southern Indiana Radiation Therapy(9)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Frankfort, Kentucky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Danville, Kentucky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Glasgow, Kentucky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Louisville, Kentucky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Madison, Indiana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McAllen,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Palm Beach, Florida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Jeffersonville, Indiana</w:t>
      </w:r>
    </w:p>
    <w:p>
      <w:pPr>
        <w:spacing w:after="0" w:line="186" w:lineRule="exact"/>
        <w:rPr>
          <w:sz w:val="20"/>
          <w:szCs w:val="20"/>
          <w:color w:val="auto"/>
        </w:rPr>
      </w:pPr>
    </w:p>
    <w:p>
      <w:pPr>
        <w:sectPr>
          <w:pgSz w:w="11900" w:h="16838" w:orient="portrait"/>
          <w:cols w:equalWidth="0" w:num="2">
            <w:col w:w="3822" w:space="660"/>
            <w:col w:w="5739"/>
          </w:cols>
          <w:pgMar w:left="238" w:top="484" w:right="1440" w:bottom="1440" w:gutter="0" w:footer="0" w:header="0"/>
          <w:type w:val="continuous"/>
        </w:sect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879" w:hanging="382"/>
        <w:spacing w:after="0"/>
        <w:tabs>
          <w:tab w:leader="none" w:pos="3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property leased from Universal Health Realty Income Trust, a real estate investment trust, for which the Company provides advisory services ("UHT").</w:t>
      </w:r>
    </w:p>
    <w:p>
      <w:pPr>
        <w:spacing w:after="0" w:line="187"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property leased with an option to purchase.</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partnership interest in limited partnership.</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88% of stock owned by the Company.</w:t>
      </w:r>
    </w:p>
    <w:p>
      <w:pPr>
        <w:spacing w:after="0" w:line="188" w:lineRule="exact"/>
        <w:rPr>
          <w:rFonts w:ascii="Courier New" w:cs="Courier New" w:eastAsia="Courier New" w:hAnsi="Courier New"/>
          <w:sz w:val="16"/>
          <w:szCs w:val="16"/>
          <w:color w:val="auto"/>
        </w:rPr>
      </w:pPr>
    </w:p>
    <w:p>
      <w:pPr>
        <w:jc w:val="both"/>
        <w:ind w:left="382" w:right="2779" w:hanging="382"/>
        <w:spacing w:after="0"/>
        <w:tabs>
          <w:tab w:leader="none" w:pos="3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Chalmette Hospital, a 73-bed rehabilitation facility. The Company owns the LaPlace real property and leases the Chalmette real property from UHT.</w:t>
      </w:r>
    </w:p>
    <w:p>
      <w:pPr>
        <w:spacing w:after="0" w:line="187"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Addictive disease facility.</w:t>
      </w:r>
    </w:p>
    <w:p>
      <w:pPr>
        <w:spacing w:after="0" w:line="188" w:lineRule="exact"/>
        <w:rPr>
          <w:rFonts w:ascii="Courier New" w:cs="Courier New" w:eastAsia="Courier New" w:hAnsi="Courier New"/>
          <w:sz w:val="16"/>
          <w:szCs w:val="16"/>
          <w:color w:val="auto"/>
        </w:rPr>
      </w:pPr>
    </w:p>
    <w:p>
      <w:pPr>
        <w:ind w:left="382" w:right="3359" w:hanging="382"/>
        <w:spacing w:after="0" w:line="239" w:lineRule="auto"/>
        <w:tabs>
          <w:tab w:leader="none" w:pos="3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Managed Facility. A partnership, in which the Company is the general partner, owns the real property.</w:t>
      </w:r>
    </w:p>
    <w:p>
      <w:pPr>
        <w:spacing w:after="0" w:line="189" w:lineRule="exact"/>
        <w:rPr>
          <w:rFonts w:ascii="Courier New" w:cs="Courier New" w:eastAsia="Courier New" w:hAnsi="Courier New"/>
          <w:sz w:val="16"/>
          <w:szCs w:val="16"/>
          <w:color w:val="auto"/>
        </w:rPr>
      </w:pPr>
    </w:p>
    <w:p>
      <w:pPr>
        <w:ind w:left="382" w:right="2779" w:hanging="382"/>
        <w:spacing w:after="0" w:line="241" w:lineRule="auto"/>
        <w:tabs>
          <w:tab w:leader="none" w:pos="3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facility other than Goldring Surgical and Diagnostic Center and The Surgery Center of Chalmette are owned in partnership form with the Company owning general and limited partnership interests in a limited partnership. The real property is leased from third parties.</w:t>
      </w:r>
    </w:p>
    <w:p>
      <w:pPr>
        <w:spacing w:after="0" w:line="189" w:lineRule="exact"/>
        <w:rPr>
          <w:rFonts w:ascii="Courier New" w:cs="Courier New" w:eastAsia="Courier New" w:hAnsi="Courier New"/>
          <w:sz w:val="16"/>
          <w:szCs w:val="16"/>
          <w:color w:val="auto"/>
        </w:rPr>
      </w:pPr>
    </w:p>
    <w:p>
      <w:pPr>
        <w:ind w:left="382" w:right="3059" w:hanging="382"/>
        <w:spacing w:after="0" w:line="239" w:lineRule="auto"/>
        <w:tabs>
          <w:tab w:leader="none" w:pos="3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partnership in which the Company is the general partner owns the real property.</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1"/>
          </w:cols>
          <w:pgMar w:left="238" w:top="484" w:right="1440" w:bottom="1440" w:gutter="0" w:footer="0" w:header="0"/>
          <w:type w:val="continuous"/>
        </w:sectPr>
      </w:pPr>
    </w:p>
    <w:bookmarkStart w:id="41" w:name="page42"/>
    <w:bookmarkEnd w:id="41"/>
    <w:p>
      <w:pPr>
        <w:ind w:left="2"/>
        <w:spacing w:after="0"/>
        <w:rPr>
          <w:sz w:val="20"/>
          <w:szCs w:val="20"/>
          <w:color w:val="auto"/>
        </w:rPr>
      </w:pPr>
      <w:r>
        <w:rPr>
          <w:rFonts w:ascii="Courier New" w:cs="Courier New" w:eastAsia="Courier New" w:hAnsi="Courier New"/>
          <w:sz w:val="16"/>
          <w:szCs w:val="16"/>
          <w:color w:val="auto"/>
        </w:rPr>
        <w:t>BED UTILIZATION AND OCCUPANCY RATES</w:t>
      </w:r>
    </w:p>
    <w:p>
      <w:pPr>
        <w:spacing w:after="0" w:line="188" w:lineRule="exact"/>
        <w:rPr>
          <w:sz w:val="20"/>
          <w:szCs w:val="20"/>
          <w:color w:val="auto"/>
        </w:rPr>
      </w:pPr>
    </w:p>
    <w:p>
      <w:pPr>
        <w:ind w:left="2" w:right="3440" w:firstLine="382"/>
        <w:spacing w:after="0" w:line="242" w:lineRule="auto"/>
        <w:rPr>
          <w:sz w:val="20"/>
          <w:szCs w:val="20"/>
          <w:color w:val="auto"/>
        </w:rPr>
      </w:pPr>
      <w:r>
        <w:rPr>
          <w:rFonts w:ascii="Courier New" w:cs="Courier New" w:eastAsia="Courier New" w:hAnsi="Courier New"/>
          <w:sz w:val="16"/>
          <w:szCs w:val="16"/>
          <w:color w:val="auto"/>
        </w:rPr>
        <w:t>The following table shows the bed utilization and occupancy rates for the hospitals operated by the Company as of March 31, 1996, for the periods indicated. Accordingly, the information is presented on a basis different from that used in preparing the historical financial information included or incorporated by reference in this Prospectus. 1995 (Pro forma) and the three months ended March 31, 1996 (pro forma) assumes the effect of the Adjustments as if they occurred on the first day of the period presented.</w:t>
      </w:r>
    </w:p>
    <w:p>
      <w:pPr>
        <w:spacing w:after="0" w:line="200" w:lineRule="exact"/>
        <w:rPr>
          <w:sz w:val="20"/>
          <w:szCs w:val="20"/>
          <w:color w:val="auto"/>
        </w:rPr>
      </w:pPr>
    </w:p>
    <w:p>
      <w:pPr>
        <w:spacing w:after="0" w:line="35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40" w:type="dxa"/>
            <w:vAlign w:val="bottom"/>
            <w:gridSpan w:val="2"/>
          </w:tcPr>
          <w:p>
            <w:pPr>
              <w:jc w:val="right"/>
              <w:ind w:right="881"/>
              <w:spacing w:after="0"/>
              <w:rPr>
                <w:sz w:val="20"/>
                <w:szCs w:val="20"/>
                <w:color w:val="auto"/>
              </w:rPr>
            </w:pPr>
            <w:r>
              <w:rPr>
                <w:rFonts w:ascii="Courier New" w:cs="Courier New" w:eastAsia="Courier New" w:hAnsi="Courier New"/>
                <w:sz w:val="16"/>
                <w:szCs w:val="16"/>
                <w:color w:val="auto"/>
              </w:rPr>
              <w:t>(UNAUDITED)</w:t>
            </w:r>
          </w:p>
        </w:tc>
      </w:tr>
      <w:tr>
        <w:trPr>
          <w:trHeight w:val="183"/>
        </w:trPr>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10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w w:val="97"/>
              </w:rPr>
              <w:t>MARCH 31,</w:t>
            </w:r>
          </w:p>
        </w:tc>
        <w:tc>
          <w:tcPr>
            <w:tcW w:w="1040" w:type="dxa"/>
            <w:vAlign w:val="bottom"/>
          </w:tcPr>
          <w:p>
            <w:pPr>
              <w:spacing w:after="0"/>
              <w:rPr>
                <w:sz w:val="15"/>
                <w:szCs w:val="15"/>
                <w:color w:val="auto"/>
              </w:rPr>
            </w:pPr>
          </w:p>
        </w:tc>
      </w:tr>
      <w:tr>
        <w:trPr>
          <w:trHeight w:val="183"/>
        </w:trPr>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286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1992</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1994</w:t>
            </w: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1995</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 FORMA)</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1996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(PRO FORMA)</w:t>
            </w:r>
          </w:p>
        </w:tc>
      </w:tr>
      <w:tr>
        <w:trPr>
          <w:trHeight w:val="183"/>
        </w:trPr>
        <w:tc>
          <w:tcPr>
            <w:tcW w:w="286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2860" w:type="dxa"/>
            <w:vAlign w:val="bottom"/>
          </w:tcPr>
          <w:p>
            <w:pPr>
              <w:spacing w:after="0"/>
              <w:rPr>
                <w:sz w:val="20"/>
                <w:szCs w:val="20"/>
                <w:color w:val="auto"/>
              </w:rPr>
            </w:pPr>
            <w:r>
              <w:rPr>
                <w:rFonts w:ascii="Courier New" w:cs="Courier New" w:eastAsia="Courier New" w:hAnsi="Courier New"/>
                <w:sz w:val="16"/>
                <w:szCs w:val="16"/>
                <w:color w:val="auto"/>
              </w:rPr>
              <w:t>Average Licensed Beds</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2,645</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2,730</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2,791</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2,808</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3,168</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2,789</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2,797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3,154</w:t>
            </w: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1,216</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1,224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1,256</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1,631</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1,265</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1,267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1,633</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Hospital Admissions</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83,826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87,174</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92,911</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100,004</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113,476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25,704</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27,551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30,887</w:t>
            </w: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13,505</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15,560</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16,804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17,888</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24,848</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4,197</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4,298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6,019</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Average Length of Patient</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Stay (Days)</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Acute Care Hospitals.........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5.3</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5.2</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w:t>
            </w: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15.6</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11.6</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12.3</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12.1</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13.1</w:t>
            </w:r>
          </w:p>
        </w:tc>
      </w:t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Patient Days (1)</w:t>
            </w: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Acute Care Hospitals........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485,015</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486,291</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496,462</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511,487</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595,328</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134,470</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140,088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158,726</w:t>
            </w:r>
          </w:p>
        </w:tc>
      </w:tr>
      <w:tr>
        <w:trPr>
          <w:trHeight w:val="183"/>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Behavioral Health Centers...</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211,390</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202,047</w:t>
            </w:r>
          </w:p>
        </w:tc>
        <w:tc>
          <w:tcPr>
            <w:tcW w:w="9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195,004</w:t>
            </w:r>
          </w:p>
        </w:tc>
        <w:tc>
          <w:tcPr>
            <w:tcW w:w="9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200,857</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304,800</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50,553</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52,083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78,659</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2" w:right="3620" w:hanging="382"/>
        <w:spacing w:after="0" w:line="239" w:lineRule="auto"/>
        <w:tabs>
          <w:tab w:leader="none" w:pos="3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"Patient Days" is the aggregate sum for all patients of the number of days that hospital care is provided to each patient.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SOURCES OF REVENUE</w:t>
      </w:r>
    </w:p>
    <w:p>
      <w:pPr>
        <w:spacing w:after="0" w:line="188" w:lineRule="exact"/>
        <w:rPr>
          <w:sz w:val="20"/>
          <w:szCs w:val="20"/>
          <w:color w:val="auto"/>
        </w:rPr>
      </w:pPr>
    </w:p>
    <w:p>
      <w:pPr>
        <w:ind w:left="2" w:right="3440" w:firstLine="382"/>
        <w:spacing w:after="0" w:line="242" w:lineRule="auto"/>
        <w:rPr>
          <w:sz w:val="20"/>
          <w:szCs w:val="20"/>
          <w:color w:val="auto"/>
        </w:rPr>
      </w:pPr>
      <w:r>
        <w:rPr>
          <w:rFonts w:ascii="Courier New" w:cs="Courier New" w:eastAsia="Courier New" w:hAnsi="Courier New"/>
          <w:sz w:val="16"/>
          <w:szCs w:val="16"/>
          <w:color w:val="auto"/>
        </w:rPr>
        <w:t>The Company receives payment for services rendered from private insurers, including managed care plans, the Federal government under the Medicare program, state governments under their respective Medicaid programs and directly from patients. All of the Company's acute care hospitals and most of the Company's behavioral health centers are certified as providers of Medicare and Medicaid services by the appropriate governmental authorities. The requirements for certification are subject to change and, in order to remain qualified for such programs, it may be necessary for the Company to make changes from time to time in its facilities, equipment, personnel and services. Although the Company intends to continue in such programs, there is no assurance that it will continue to qualify for participation.</w:t>
      </w:r>
    </w:p>
    <w:p>
      <w:pPr>
        <w:spacing w:after="0" w:line="191" w:lineRule="exact"/>
        <w:rPr>
          <w:sz w:val="20"/>
          <w:szCs w:val="20"/>
          <w:color w:val="auto"/>
        </w:rPr>
      </w:pPr>
    </w:p>
    <w:p>
      <w:pPr>
        <w:ind w:left="2" w:right="3440" w:firstLine="382"/>
        <w:spacing w:after="0" w:line="260" w:lineRule="auto"/>
        <w:rPr>
          <w:sz w:val="20"/>
          <w:szCs w:val="20"/>
          <w:color w:val="auto"/>
        </w:rPr>
      </w:pPr>
      <w:r>
        <w:rPr>
          <w:rFonts w:ascii="Courier New" w:cs="Courier New" w:eastAsia="Courier New" w:hAnsi="Courier New"/>
          <w:sz w:val="15"/>
          <w:szCs w:val="15"/>
          <w:color w:val="auto"/>
        </w:rPr>
        <w:t>The sources of the Company's hospital revenues are charges related to the services provided by the hospitals and their staffs, such as radiology, operating rooms, pharmacy, physiotherapy and laboratory procedures, and basic charges for the hospital room and related services such as general nursing care, meals, maintenance and housekeeping. Hospital revenues depend upon the occupancy for inpatient routine services, the extent to which ancillary services and therapy programs are ordered by physicians and provided to patients, the volume of out-patient procedures and the charges or negotiated payment rates for such services. Charges and reimbursement rates for inpatient routine services vary depending on the type of bed occupied (e.g., medical/surgical, intensive care or psychiatric) and the geographic location of the hospital.</w:t>
      </w:r>
    </w:p>
    <w:p>
      <w:pPr>
        <w:spacing w:after="0" w:line="176" w:lineRule="exact"/>
        <w:rPr>
          <w:sz w:val="20"/>
          <w:szCs w:val="20"/>
          <w:color w:val="auto"/>
        </w:rPr>
      </w:pPr>
    </w:p>
    <w:p>
      <w:pPr>
        <w:ind w:left="2" w:right="3440" w:firstLine="382"/>
        <w:spacing w:after="0" w:line="241" w:lineRule="auto"/>
        <w:rPr>
          <w:sz w:val="20"/>
          <w:szCs w:val="20"/>
          <w:color w:val="auto"/>
        </w:rPr>
      </w:pPr>
      <w:r>
        <w:rPr>
          <w:rFonts w:ascii="Courier New" w:cs="Courier New" w:eastAsia="Courier New" w:hAnsi="Courier New"/>
          <w:sz w:val="16"/>
          <w:szCs w:val="16"/>
          <w:color w:val="auto"/>
        </w:rPr>
        <w:t>The following table shows the approximate percentages of net patient revenue derived by the Company's hospitals owned as of December 31, 1995, since their respective dates of acquisition by the Company, from third party sources excluding the effect of special Medicaid reimbursements received at</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1062"/>
          </w:cols>
          <w:pgMar w:left="238" w:top="481" w:right="599" w:bottom="1440" w:gutter="0" w:footer="0" w:header="0"/>
        </w:sectPr>
      </w:pPr>
    </w:p>
    <w:bookmarkStart w:id="42" w:name="page43"/>
    <w:bookmarkEnd w:id="42"/>
    <w:p>
      <w:pPr>
        <w:ind w:right="2599"/>
        <w:spacing w:after="0" w:line="260" w:lineRule="auto"/>
        <w:rPr>
          <w:sz w:val="20"/>
          <w:szCs w:val="20"/>
          <w:color w:val="auto"/>
        </w:rPr>
      </w:pPr>
      <w:r>
        <w:rPr>
          <w:rFonts w:ascii="Courier New" w:cs="Courier New" w:eastAsia="Courier New" w:hAnsi="Courier New"/>
          <w:sz w:val="15"/>
          <w:szCs w:val="15"/>
          <w:color w:val="auto"/>
        </w:rPr>
        <w:t>the Company's Texas acute care hospitals of $12.6 million in 1995, $12.7 million in 1994, $13.5 million in 1993 and $29.8 million in 1992, and from all other sources during the five years ended December 31, 1995. 1995 (Pro forma) assumes the following transactions occurred on January 1, 1995: (i) Northwest Texas Health acquisition (acquired in May 1996); (ii) First Hospital Properties acquisition (acquired in June 1996); (iii) acquisition of Manatee (acquired in August 1995); (iv) the acquisition of Aiken and the divestiture of Dallas Family Hospital and Westlake Medical Center (transaction completed in July 1995); and (v) the disposition of Universal Medical Center (disposed of in October 1995).</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Percentage of Net Patient Revenues</w:t>
            </w:r>
          </w:p>
        </w:tc>
        <w:tc>
          <w:tcPr>
            <w:tcW w:w="1040" w:type="dxa"/>
            <w:vAlign w:val="bottom"/>
          </w:tcPr>
          <w:p>
            <w:pPr>
              <w:spacing w:after="0"/>
              <w:rPr>
                <w:sz w:val="15"/>
                <w:szCs w:val="15"/>
                <w:color w:val="auto"/>
              </w:rPr>
            </w:pPr>
          </w:p>
        </w:tc>
      </w:tr>
      <w:tr>
        <w:trPr>
          <w:trHeight w:val="183"/>
        </w:trPr>
        <w:tc>
          <w:tcPr>
            <w:tcW w:w="4240" w:type="dxa"/>
            <w:vAlign w:val="bottom"/>
          </w:tcPr>
          <w:p>
            <w:pPr>
              <w:spacing w:after="0"/>
              <w:rPr>
                <w:sz w:val="15"/>
                <w:szCs w:val="15"/>
                <w:color w:val="auto"/>
              </w:rPr>
            </w:pPr>
          </w:p>
        </w:tc>
        <w:tc>
          <w:tcPr>
            <w:tcW w:w="54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240" w:type="dxa"/>
            <w:vAlign w:val="bottom"/>
          </w:tcPr>
          <w:p>
            <w:pPr>
              <w:spacing w:after="0"/>
              <w:rPr>
                <w:sz w:val="15"/>
                <w:szCs w:val="15"/>
                <w:color w:val="auto"/>
              </w:rPr>
            </w:pP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1991</w:t>
            </w: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1994</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(Pro forma)</w:t>
            </w:r>
          </w:p>
        </w:tc>
      </w:tr>
      <w:tr>
        <w:trPr>
          <w:trHeight w:val="183"/>
        </w:trPr>
        <w:tc>
          <w:tcPr>
            <w:tcW w:w="424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4240" w:type="dxa"/>
            <w:vAlign w:val="bottom"/>
          </w:tcPr>
          <w:p>
            <w:pPr>
              <w:jc w:val="right"/>
              <w:ind w:right="2361"/>
              <w:spacing w:after="0"/>
              <w:rPr>
                <w:sz w:val="20"/>
                <w:szCs w:val="20"/>
                <w:color w:val="auto"/>
              </w:rPr>
            </w:pPr>
            <w:r>
              <w:rPr>
                <w:rFonts w:ascii="Courier New" w:cs="Courier New" w:eastAsia="Courier New" w:hAnsi="Courier New"/>
                <w:sz w:val="16"/>
                <w:szCs w:val="16"/>
                <w:color w:val="auto"/>
                <w:w w:val="97"/>
              </w:rPr>
              <w:t>Third Party Payors:</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2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Medicare...................................</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29.7%</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32.2%</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32.1%</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32.7%</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33.7%</w:t>
            </w:r>
          </w:p>
        </w:tc>
      </w:tr>
      <w:tr>
        <w:trPr>
          <w:trHeight w:val="183"/>
        </w:trPr>
        <w:tc>
          <w:tcPr>
            <w:tcW w:w="42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Medicaid...................................</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10.4%</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15.3%</w:t>
            </w:r>
          </w:p>
        </w:tc>
      </w:tr>
      <w:tr>
        <w:trPr>
          <w:trHeight w:val="183"/>
        </w:trPr>
        <w:tc>
          <w:tcPr>
            <w:tcW w:w="42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Other Sources (including Blue Cross).......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65.4%</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60.7%</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57.5%</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55.5%</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51.0%</w:t>
            </w:r>
          </w:p>
        </w:tc>
      </w:tr>
      <w:tr>
        <w:trPr>
          <w:trHeight w:val="183"/>
        </w:trPr>
        <w:tc>
          <w:tcPr>
            <w:tcW w:w="424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w:t>
            </w:r>
          </w:p>
        </w:tc>
      </w:tr>
      <w:tr>
        <w:trPr>
          <w:trHeight w:val="183"/>
        </w:trPr>
        <w:tc>
          <w:tcPr>
            <w:tcW w:w="424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Net revenues of the Company are reported at the estimated net realizable amounts from patients, third-party payors, and others for services rendered, including estimated retroactive adjustments under reimbursement agreements with third-party payors.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484" w:right="1440" w:bottom="1440" w:gutter="0" w:footer="0" w:header="0"/>
        </w:sectPr>
      </w:pPr>
    </w:p>
    <w:bookmarkStart w:id="43" w:name="page44"/>
    <w:bookmarkEnd w:id="43"/>
    <w:p>
      <w:pPr>
        <w:ind w:left="2862"/>
        <w:spacing w:after="0"/>
        <w:rPr>
          <w:sz w:val="20"/>
          <w:szCs w:val="20"/>
          <w:color w:val="auto"/>
        </w:rPr>
      </w:pPr>
      <w:r>
        <w:rPr>
          <w:rFonts w:ascii="Courier New" w:cs="Courier New" w:eastAsia="Courier New" w:hAnsi="Courier New"/>
          <w:sz w:val="16"/>
          <w:szCs w:val="16"/>
          <w:color w:val="auto"/>
        </w:rPr>
        <w:t>SELLING STOCKHOLDER</w:t>
      </w:r>
    </w:p>
    <w:p>
      <w:pPr>
        <w:spacing w:after="0" w:line="369" w:lineRule="exact"/>
        <w:rPr>
          <w:sz w:val="20"/>
          <w:szCs w:val="20"/>
          <w:color w:val="auto"/>
        </w:rPr>
      </w:pPr>
    </w:p>
    <w:p>
      <w:pPr>
        <w:ind w:left="5922"/>
        <w:spacing w:after="0"/>
        <w:rPr>
          <w:sz w:val="20"/>
          <w:szCs w:val="20"/>
          <w:color w:val="auto"/>
        </w:rPr>
      </w:pPr>
      <w:r>
        <w:rPr>
          <w:rFonts w:ascii="Courier New" w:cs="Courier New" w:eastAsia="Courier New" w:hAnsi="Courier New"/>
          <w:sz w:val="16"/>
          <w:szCs w:val="16"/>
          <w:color w:val="auto"/>
        </w:rPr>
        <w:t>NUMBER OF SHARES OF</w:t>
      </w:r>
    </w:p>
    <w:p>
      <w:pPr>
        <w:spacing w:after="0" w:line="2" w:lineRule="exact"/>
        <w:rPr>
          <w:sz w:val="20"/>
          <w:szCs w:val="20"/>
          <w:color w:val="auto"/>
        </w:rPr>
      </w:pPr>
    </w:p>
    <w:p>
      <w:pPr>
        <w:ind w:left="3442"/>
        <w:spacing w:after="0"/>
        <w:tabs>
          <w:tab w:leader="none" w:pos="6562" w:val="left"/>
        </w:tabs>
        <w:rPr>
          <w:sz w:val="20"/>
          <w:szCs w:val="20"/>
          <w:color w:val="auto"/>
        </w:rPr>
      </w:pPr>
      <w:r>
        <w:rPr>
          <w:rFonts w:ascii="Courier New" w:cs="Courier New" w:eastAsia="Courier New" w:hAnsi="Courier New"/>
          <w:sz w:val="16"/>
          <w:szCs w:val="16"/>
          <w:color w:val="auto"/>
        </w:rPr>
        <w:t>SHARES BENEFICIALLY</w:t>
      </w:r>
      <w:r>
        <w:rPr>
          <w:sz w:val="20"/>
          <w:szCs w:val="20"/>
          <w:color w:val="auto"/>
        </w:rPr>
        <w:tab/>
      </w:r>
      <w:r>
        <w:rPr>
          <w:rFonts w:ascii="Courier New" w:cs="Courier New" w:eastAsia="Courier New" w:hAnsi="Courier New"/>
          <w:sz w:val="16"/>
          <w:szCs w:val="16"/>
          <w:color w:val="auto"/>
        </w:rPr>
        <w:t>COMMON</w:t>
      </w:r>
    </w:p>
    <w:p>
      <w:pPr>
        <w:spacing w:after="0" w:line="2" w:lineRule="exact"/>
        <w:rPr>
          <w:sz w:val="20"/>
          <w:szCs w:val="20"/>
          <w:color w:val="auto"/>
        </w:rPr>
      </w:pPr>
    </w:p>
    <w:p>
      <w:pPr>
        <w:ind w:left="182"/>
        <w:spacing w:after="0"/>
        <w:tabs>
          <w:tab w:leader="none" w:pos="3322" w:val="left"/>
          <w:tab w:leader="none" w:pos="5802" w:val="left"/>
        </w:tabs>
        <w:rPr>
          <w:sz w:val="20"/>
          <w:szCs w:val="20"/>
          <w:color w:val="auto"/>
        </w:rPr>
      </w:pPr>
      <w:r>
        <w:rPr>
          <w:rFonts w:ascii="Courier New" w:cs="Courier New" w:eastAsia="Courier New" w:hAnsi="Courier New"/>
          <w:sz w:val="16"/>
          <w:szCs w:val="16"/>
          <w:color w:val="auto"/>
        </w:rPr>
        <w:t>NAME OF SELLING STOCKHOLDER</w:t>
      </w:r>
      <w:r>
        <w:rPr>
          <w:sz w:val="20"/>
          <w:szCs w:val="20"/>
          <w:color w:val="auto"/>
        </w:rPr>
        <w:tab/>
      </w:r>
      <w:r>
        <w:rPr>
          <w:rFonts w:ascii="Courier New" w:cs="Courier New" w:eastAsia="Courier New" w:hAnsi="Courier New"/>
          <w:sz w:val="16"/>
          <w:szCs w:val="16"/>
          <w:color w:val="auto"/>
        </w:rPr>
        <w:t>OWNED BEFORE OFFERING</w:t>
      </w:r>
      <w:r>
        <w:rPr>
          <w:sz w:val="20"/>
          <w:szCs w:val="20"/>
          <w:color w:val="auto"/>
        </w:rPr>
        <w:tab/>
      </w:r>
      <w:r>
        <w:rPr>
          <w:rFonts w:ascii="Courier New" w:cs="Courier New" w:eastAsia="Courier New" w:hAnsi="Courier New"/>
          <w:sz w:val="15"/>
          <w:szCs w:val="15"/>
          <w:color w:val="auto"/>
        </w:rPr>
        <w:t>STOCK OFFERED FOR SALE</w:t>
      </w:r>
    </w:p>
    <w:p>
      <w:pPr>
        <w:spacing w:after="0" w:line="2" w:lineRule="exact"/>
        <w:rPr>
          <w:sz w:val="20"/>
          <w:szCs w:val="20"/>
          <w:color w:val="auto"/>
        </w:rPr>
      </w:pPr>
    </w:p>
    <w:p>
      <w:pPr>
        <w:ind w:left="2"/>
        <w:spacing w:after="0"/>
        <w:tabs>
          <w:tab w:leader="none" w:pos="3502" w:val="left"/>
          <w:tab w:leader="none" w:pos="5982" w:val="left"/>
        </w:tabs>
        <w:rPr>
          <w:sz w:val="20"/>
          <w:szCs w:val="20"/>
          <w:color w:val="auto"/>
        </w:rPr>
      </w:pPr>
      <w:r>
        <w:rPr>
          <w:rFonts w:ascii="Courier New" w:cs="Courier New" w:eastAsia="Courier New" w:hAnsi="Courier New"/>
          <w:sz w:val="16"/>
          <w:szCs w:val="16"/>
          <w:color w:val="auto"/>
        </w:rPr>
        <w:t>- --------------------------------</w:t>
        <w:tab/>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3442"/>
        <w:spacing w:after="0"/>
        <w:tabs>
          <w:tab w:leader="none" w:pos="4742"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2" w:lineRule="exact"/>
        <w:rPr>
          <w:sz w:val="20"/>
          <w:szCs w:val="20"/>
          <w:color w:val="auto"/>
        </w:rPr>
      </w:pPr>
    </w:p>
    <w:p>
      <w:pPr>
        <w:ind w:left="3342"/>
        <w:spacing w:after="0"/>
        <w:tabs>
          <w:tab w:leader="none" w:pos="474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Alan B. Miller</w:t>
      </w:r>
    </w:p>
    <w:p>
      <w:pPr>
        <w:spacing w:after="0" w:line="2" w:lineRule="exact"/>
        <w:rPr>
          <w:sz w:val="20"/>
          <w:szCs w:val="20"/>
          <w:color w:val="auto"/>
        </w:rPr>
      </w:pPr>
    </w:p>
    <w:p>
      <w:pPr>
        <w:ind w:left="182"/>
        <w:spacing w:after="0"/>
        <w:tabs>
          <w:tab w:leader="none" w:pos="3322" w:val="left"/>
          <w:tab w:leader="none" w:pos="4942" w:val="left"/>
          <w:tab w:leader="none" w:pos="6662" w:val="left"/>
        </w:tabs>
        <w:rPr>
          <w:sz w:val="20"/>
          <w:szCs w:val="20"/>
          <w:color w:val="auto"/>
        </w:rPr>
      </w:pPr>
      <w:r>
        <w:rPr>
          <w:rFonts w:ascii="Courier New" w:cs="Courier New" w:eastAsia="Courier New" w:hAnsi="Courier New"/>
          <w:sz w:val="16"/>
          <w:szCs w:val="16"/>
          <w:color w:val="auto"/>
        </w:rPr>
        <w:t>Class A Common Stock(1)(2)....</w:t>
      </w:r>
      <w:r>
        <w:rPr>
          <w:sz w:val="20"/>
          <w:szCs w:val="20"/>
          <w:color w:val="auto"/>
        </w:rPr>
        <w:tab/>
      </w:r>
      <w:r>
        <w:rPr>
          <w:rFonts w:ascii="Courier New" w:cs="Courier New" w:eastAsia="Courier New" w:hAnsi="Courier New"/>
          <w:sz w:val="16"/>
          <w:szCs w:val="16"/>
          <w:color w:val="auto"/>
        </w:rPr>
        <w:t>2,035,016</w:t>
      </w:r>
      <w:r>
        <w:rPr>
          <w:sz w:val="20"/>
          <w:szCs w:val="20"/>
          <w:color w:val="auto"/>
        </w:rPr>
        <w:tab/>
      </w:r>
      <w:r>
        <w:rPr>
          <w:rFonts w:ascii="Courier New" w:cs="Courier New" w:eastAsia="Courier New" w:hAnsi="Courier New"/>
          <w:sz w:val="16"/>
          <w:szCs w:val="16"/>
          <w:color w:val="auto"/>
        </w:rPr>
        <w:t>93%</w:t>
      </w:r>
      <w:r>
        <w:rPr>
          <w:sz w:val="20"/>
          <w:szCs w:val="20"/>
          <w:color w:val="auto"/>
        </w:rPr>
        <w:tab/>
      </w:r>
      <w:r>
        <w:rPr>
          <w:rFonts w:ascii="Courier New" w:cs="Courier New" w:eastAsia="Courier New" w:hAnsi="Courier New"/>
          <w:sz w:val="15"/>
          <w:szCs w:val="15"/>
          <w:color w:val="auto"/>
        </w:rPr>
        <w:t>25,127(1)</w:t>
      </w:r>
    </w:p>
    <w:p>
      <w:pPr>
        <w:spacing w:after="0" w:line="2" w:lineRule="exact"/>
        <w:rPr>
          <w:sz w:val="20"/>
          <w:szCs w:val="20"/>
          <w:color w:val="auto"/>
        </w:rPr>
      </w:pPr>
    </w:p>
    <w:p>
      <w:pPr>
        <w:ind w:left="182"/>
        <w:spacing w:after="0"/>
        <w:tabs>
          <w:tab w:leader="none" w:pos="3502" w:val="left"/>
          <w:tab w:leader="none" w:pos="5042" w:val="left"/>
          <w:tab w:leader="none" w:pos="6562" w:val="left"/>
        </w:tabs>
        <w:rPr>
          <w:sz w:val="20"/>
          <w:szCs w:val="20"/>
          <w:color w:val="auto"/>
        </w:rPr>
      </w:pPr>
      <w:r>
        <w:rPr>
          <w:rFonts w:ascii="Courier New" w:cs="Courier New" w:eastAsia="Courier New" w:hAnsi="Courier New"/>
          <w:sz w:val="16"/>
          <w:szCs w:val="16"/>
          <w:color w:val="auto"/>
        </w:rPr>
        <w:t>Class B Common Stock..........</w:t>
      </w:r>
      <w:r>
        <w:rPr>
          <w:sz w:val="20"/>
          <w:szCs w:val="20"/>
          <w:color w:val="auto"/>
        </w:rPr>
        <w:tab/>
      </w:r>
      <w:r>
        <w:rPr>
          <w:rFonts w:ascii="Courier New" w:cs="Courier New" w:eastAsia="Courier New" w:hAnsi="Courier New"/>
          <w:sz w:val="16"/>
          <w:szCs w:val="16"/>
          <w:color w:val="auto"/>
        </w:rPr>
        <w:t>184,211</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5"/>
          <w:szCs w:val="15"/>
          <w:color w:val="auto"/>
        </w:rPr>
        <w:t>172,361</w:t>
      </w:r>
    </w:p>
    <w:p>
      <w:pPr>
        <w:spacing w:after="0" w:line="2" w:lineRule="exact"/>
        <w:rPr>
          <w:sz w:val="20"/>
          <w:szCs w:val="20"/>
          <w:color w:val="auto"/>
        </w:rPr>
      </w:pPr>
    </w:p>
    <w:p>
      <w:pPr>
        <w:ind w:left="182"/>
        <w:spacing w:after="0"/>
        <w:tabs>
          <w:tab w:leader="none" w:pos="3502" w:val="left"/>
          <w:tab w:leader="none" w:pos="4942" w:val="left"/>
          <w:tab w:leader="none" w:pos="6742" w:val="left"/>
        </w:tabs>
        <w:rPr>
          <w:sz w:val="20"/>
          <w:szCs w:val="20"/>
          <w:color w:val="auto"/>
        </w:rPr>
      </w:pPr>
      <w:r>
        <w:rPr>
          <w:rFonts w:ascii="Courier New" w:cs="Courier New" w:eastAsia="Courier New" w:hAnsi="Courier New"/>
          <w:sz w:val="16"/>
          <w:szCs w:val="16"/>
          <w:color w:val="auto"/>
        </w:rPr>
        <w:t>Class C Common Stock(1)(2)....</w:t>
      </w:r>
      <w:r>
        <w:rPr>
          <w:sz w:val="20"/>
          <w:szCs w:val="20"/>
          <w:color w:val="auto"/>
        </w:rPr>
        <w:tab/>
      </w:r>
      <w:r>
        <w:rPr>
          <w:rFonts w:ascii="Courier New" w:cs="Courier New" w:eastAsia="Courier New" w:hAnsi="Courier New"/>
          <w:sz w:val="16"/>
          <w:szCs w:val="16"/>
          <w:color w:val="auto"/>
        </w:rPr>
        <w:t>203,460</w:t>
      </w:r>
      <w:r>
        <w:rPr>
          <w:sz w:val="20"/>
          <w:szCs w:val="20"/>
          <w:color w:val="auto"/>
        </w:rPr>
        <w:tab/>
      </w:r>
      <w:r>
        <w:rPr>
          <w:rFonts w:ascii="Courier New" w:cs="Courier New" w:eastAsia="Courier New" w:hAnsi="Courier New"/>
          <w:sz w:val="16"/>
          <w:szCs w:val="16"/>
          <w:color w:val="auto"/>
        </w:rPr>
        <w:t>93%</w:t>
      </w:r>
      <w:r>
        <w:rPr>
          <w:sz w:val="20"/>
          <w:szCs w:val="20"/>
          <w:color w:val="auto"/>
        </w:rPr>
        <w:tab/>
      </w:r>
      <w:r>
        <w:rPr>
          <w:rFonts w:ascii="Courier New" w:cs="Courier New" w:eastAsia="Courier New" w:hAnsi="Courier New"/>
          <w:sz w:val="16"/>
          <w:szCs w:val="16"/>
          <w:color w:val="auto"/>
        </w:rPr>
        <w:t>2,512(1)</w:t>
      </w:r>
    </w:p>
    <w:p>
      <w:pPr>
        <w:spacing w:after="0" w:line="2" w:lineRule="exact"/>
        <w:rPr>
          <w:sz w:val="20"/>
          <w:szCs w:val="20"/>
          <w:color w:val="auto"/>
        </w:rPr>
      </w:pPr>
    </w:p>
    <w:p>
      <w:pPr>
        <w:ind w:left="182"/>
        <w:spacing w:after="0"/>
        <w:tabs>
          <w:tab w:leader="none" w:pos="4082" w:val="left"/>
          <w:tab w:leader="none" w:pos="4842" w:val="left"/>
          <w:tab w:leader="none" w:pos="6362" w:val="left"/>
        </w:tabs>
        <w:rPr>
          <w:sz w:val="20"/>
          <w:szCs w:val="20"/>
          <w:color w:val="auto"/>
        </w:rPr>
      </w:pPr>
      <w:r>
        <w:rPr>
          <w:rFonts w:ascii="Courier New" w:cs="Courier New" w:eastAsia="Courier New" w:hAnsi="Courier New"/>
          <w:sz w:val="16"/>
          <w:szCs w:val="16"/>
          <w:color w:val="auto"/>
        </w:rPr>
        <w:t>Class D Common Stock..........</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69" w:lineRule="exact"/>
        <w:rPr>
          <w:sz w:val="20"/>
          <w:szCs w:val="20"/>
          <w:color w:val="auto"/>
        </w:rPr>
      </w:pPr>
    </w:p>
    <w:p>
      <w:pPr>
        <w:ind w:left="182" w:hanging="182"/>
        <w:spacing w:after="0"/>
        <w:tabs>
          <w:tab w:leader="none" w:pos="1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188" w:lineRule="exact"/>
        <w:rPr>
          <w:sz w:val="20"/>
          <w:szCs w:val="20"/>
          <w:color w:val="auto"/>
        </w:rPr>
      </w:pPr>
    </w:p>
    <w:p>
      <w:pPr>
        <w:ind w:left="382" w:right="760" w:hanging="382"/>
        <w:spacing w:after="0" w:line="241" w:lineRule="auto"/>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Class A and Class C Common Stock are convertible on a share-for-share basis into Class B Common Stock. Mr. Miller will convert 25,127 shares of Class A Common Stock and 2,512 shares of Class C Common Stock into 25,127 and 2,512 shares of Class B Common Stock, respectively, immediately prior to the Offering.</w:t>
      </w:r>
    </w:p>
    <w:p>
      <w:pPr>
        <w:spacing w:after="0" w:line="190" w:lineRule="exact"/>
        <w:rPr>
          <w:rFonts w:ascii="Courier New" w:cs="Courier New" w:eastAsia="Courier New" w:hAnsi="Courier New"/>
          <w:sz w:val="16"/>
          <w:szCs w:val="16"/>
          <w:color w:val="auto"/>
        </w:rPr>
      </w:pPr>
    </w:p>
    <w:p>
      <w:pPr>
        <w:jc w:val="both"/>
        <w:ind w:left="382" w:right="480" w:hanging="382"/>
        <w:spacing w:after="0" w:line="241" w:lineRule="auto"/>
        <w:tabs>
          <w:tab w:leader="none" w:pos="3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126,138 shares of Class A Common Stock and 12,724 shares of Class C Common Stock owned by two directors of the Company which Mr. Miller, pursuant to the terms of a Stockholders' Agreement, has the right to vote in certain circumstances.</w:t>
      </w:r>
    </w:p>
    <w:p>
      <w:pPr>
        <w:spacing w:after="0" w:line="186" w:lineRule="exact"/>
        <w:rPr>
          <w:sz w:val="20"/>
          <w:szCs w:val="20"/>
          <w:color w:val="auto"/>
        </w:rPr>
      </w:pPr>
    </w:p>
    <w:p>
      <w:pPr>
        <w:jc w:val="center"/>
        <w:ind w:right="558"/>
        <w:spacing w:after="0"/>
        <w:rPr>
          <w:sz w:val="20"/>
          <w:szCs w:val="20"/>
          <w:color w:val="auto"/>
        </w:rPr>
      </w:pPr>
      <w:r>
        <w:rPr>
          <w:rFonts w:ascii="Courier New" w:cs="Courier New" w:eastAsia="Courier New" w:hAnsi="Courier New"/>
          <w:sz w:val="16"/>
          <w:szCs w:val="16"/>
          <w:color w:val="auto"/>
        </w:rPr>
        <w:t>DESCRIPTION OF COMMON STOCK</w:t>
      </w:r>
    </w:p>
    <w:p>
      <w:pPr>
        <w:spacing w:after="0" w:line="188" w:lineRule="exact"/>
        <w:rPr>
          <w:sz w:val="20"/>
          <w:szCs w:val="20"/>
          <w:color w:val="auto"/>
        </w:rPr>
      </w:pPr>
    </w:p>
    <w:p>
      <w:pPr>
        <w:ind w:left="2" w:right="660" w:firstLine="382"/>
        <w:spacing w:after="0" w:line="241" w:lineRule="auto"/>
        <w:rPr>
          <w:sz w:val="20"/>
          <w:szCs w:val="20"/>
          <w:color w:val="auto"/>
        </w:rPr>
      </w:pPr>
      <w:r>
        <w:rPr>
          <w:rFonts w:ascii="Courier New" w:cs="Courier New" w:eastAsia="Courier New" w:hAnsi="Courier New"/>
          <w:sz w:val="16"/>
          <w:szCs w:val="16"/>
          <w:color w:val="auto"/>
        </w:rPr>
        <w:t>The Company's authorized capital stock consists of 12,000,000 shares of Class A Common Stock, $.01 par value per share, 50,000,000 shares of Class B Common Stock, $.01 par value per share, 1,200,000 shares of Class C Common Stock, $.01 par value per share, and 5,000,000 shares of Class D Common Stock, $.01 par value per share.</w:t>
      </w:r>
    </w:p>
    <w:p>
      <w:pPr>
        <w:spacing w:after="0" w:line="190" w:lineRule="exact"/>
        <w:rPr>
          <w:sz w:val="20"/>
          <w:szCs w:val="20"/>
          <w:color w:val="auto"/>
        </w:rPr>
      </w:pPr>
    </w:p>
    <w:p>
      <w:pPr>
        <w:ind w:left="2" w:right="480" w:firstLine="382"/>
        <w:spacing w:after="0" w:line="242" w:lineRule="auto"/>
        <w:rPr>
          <w:sz w:val="20"/>
          <w:szCs w:val="20"/>
          <w:color w:val="auto"/>
        </w:rPr>
      </w:pPr>
      <w:r>
        <w:rPr>
          <w:rFonts w:ascii="Courier New" w:cs="Courier New" w:eastAsia="Courier New" w:hAnsi="Courier New"/>
          <w:sz w:val="16"/>
          <w:szCs w:val="16"/>
          <w:color w:val="auto"/>
        </w:rPr>
        <w:t>Class A Common Stock, Class B Common Stock, Class C Common Stock and Class D Common Stock are substantially similar except that each class has different voting rights. Each share of Class A Common Stock has one vote per share; each share of Class B Common Stock has one-tenth vote per share; each share of Class C Common Stock has one hundred votes per share; and each share of Class D Common Stock has ten votes per share. Notwithstanding the foregoing, if a holder of Class C or Class D Common Stock holds a number of shares of Class A or Class B Common Stock, respectively, which is less than ten times the number of shares of Class C or Class D Common Stock, respectively, that such holder holds, then such holder will only be entitled to one vote per share of Class C Common Stock and one-tenth vote per share of Class D Common Stock.</w:t>
      </w:r>
    </w:p>
    <w:p>
      <w:pPr>
        <w:spacing w:after="0" w:line="191" w:lineRule="exact"/>
        <w:rPr>
          <w:sz w:val="20"/>
          <w:szCs w:val="20"/>
          <w:color w:val="auto"/>
        </w:rPr>
      </w:pPr>
    </w:p>
    <w:p>
      <w:pPr>
        <w:ind w:left="2" w:right="560" w:firstLine="382"/>
        <w:spacing w:after="0" w:line="260" w:lineRule="auto"/>
        <w:rPr>
          <w:sz w:val="20"/>
          <w:szCs w:val="20"/>
          <w:color w:val="auto"/>
        </w:rPr>
      </w:pPr>
      <w:r>
        <w:rPr>
          <w:rFonts w:ascii="Courier New" w:cs="Courier New" w:eastAsia="Courier New" w:hAnsi="Courier New"/>
          <w:sz w:val="15"/>
          <w:szCs w:val="15"/>
          <w:color w:val="auto"/>
        </w:rPr>
        <w:t>The holders of Class B and Class D Common Stock, voting together, with each share of Class B and Class D Common Stock having one vote per share, are entitled to elect the greater of 20% of the Company's Board of Directors or one director. The holders of Class B and Class D Common Stock are also permitted to vote together as a separate class with respect to certain other matters or as required by applicable law. Holders of Class A and Class C Common Stock, voting as a single class, elect the remaining directors and vote together with the holders of Class B and Class D Common Stock on all other matters.</w:t>
      </w:r>
    </w:p>
    <w:p>
      <w:pPr>
        <w:spacing w:after="0" w:line="17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0"/>
        <w:spacing w:after="0" w:line="259" w:lineRule="auto"/>
        <w:rPr>
          <w:sz w:val="20"/>
          <w:szCs w:val="20"/>
          <w:color w:val="auto"/>
        </w:rPr>
      </w:pPr>
      <w:r>
        <w:rPr>
          <w:rFonts w:ascii="Courier New" w:cs="Courier New" w:eastAsia="Courier New" w:hAnsi="Courier New"/>
          <w:sz w:val="15"/>
          <w:szCs w:val="15"/>
          <w:color w:val="auto"/>
        </w:rPr>
        <w:t>SHARES BENEFICIALLY OWNED AFTER OFFERING</w:t>
      </w:r>
    </w:p>
    <w:p>
      <w:pPr>
        <w:ind w:left="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NUMBER</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w w:val="95"/>
              </w:rPr>
              <w:t>PERCENT</w:t>
            </w:r>
          </w:p>
        </w:tc>
      </w:tr>
      <w:tr>
        <w:trPr>
          <w:trHeight w:val="183"/>
        </w:trPr>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w w:val="95"/>
              </w:rPr>
              <w:t>-------</w:t>
            </w:r>
          </w:p>
        </w:tc>
      </w:tr>
      <w:tr>
        <w:trPr>
          <w:trHeight w:val="550"/>
        </w:trPr>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2,009,889</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93%</w:t>
            </w:r>
          </w:p>
        </w:tc>
      </w:tr>
      <w:tr>
        <w:trPr>
          <w:trHeight w:val="183"/>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11,850(2)</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3"/>
        </w:trPr>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200,948</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93%</w:t>
            </w:r>
          </w:p>
        </w:tc>
      </w:tr>
      <w:tr>
        <w:trPr>
          <w:trHeight w:val="183"/>
        </w:trPr>
        <w:tc>
          <w:tcPr>
            <w:tcW w:w="11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8102" w:space="200"/>
            <w:col w:w="2100"/>
          </w:cols>
          <w:pgMar w:left="238" w:top="481" w:right="1259" w:bottom="1440" w:gutter="0" w:footer="0" w:header="0"/>
        </w:sectPr>
      </w:pPr>
    </w:p>
    <w:bookmarkStart w:id="44" w:name="page45"/>
    <w:bookmarkEnd w:id="44"/>
    <w:p>
      <w:pPr>
        <w:ind w:left="3240"/>
        <w:spacing w:after="0"/>
        <w:rPr>
          <w:sz w:val="20"/>
          <w:szCs w:val="20"/>
          <w:color w:val="auto"/>
        </w:rPr>
      </w:pPr>
      <w:r>
        <w:rPr>
          <w:rFonts w:ascii="Courier New" w:cs="Courier New" w:eastAsia="Courier New" w:hAnsi="Courier New"/>
          <w:sz w:val="16"/>
          <w:szCs w:val="16"/>
          <w:color w:val="auto"/>
        </w:rPr>
        <w:t>UNDERWRITING</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Upon the terms and subject to conditions stated in the Underwriting Agreement dated the date hereof, each Underwriter named below has severally agreed to purchase, and the Company and the Selling Stockholder have agreed to sell to such Underwriter, shares of Class B Common Stock which equal the number of shares set forth opposite the name of such Underwriter below.</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NUMBER OF</w:t>
            </w:r>
          </w:p>
        </w:tc>
      </w:tr>
      <w:tr>
        <w:trPr>
          <w:trHeight w:val="183"/>
        </w:trPr>
        <w:tc>
          <w:tcPr>
            <w:tcW w:w="7860" w:type="dxa"/>
            <w:vAlign w:val="bottom"/>
          </w:tcPr>
          <w:p>
            <w:pPr>
              <w:ind w:left="380"/>
              <w:spacing w:after="0"/>
              <w:rPr>
                <w:sz w:val="20"/>
                <w:szCs w:val="20"/>
                <w:color w:val="auto"/>
              </w:rPr>
            </w:pPr>
            <w:r>
              <w:rPr>
                <w:rFonts w:ascii="Courier New" w:cs="Courier New" w:eastAsia="Courier New" w:hAnsi="Courier New"/>
                <w:sz w:val="16"/>
                <w:szCs w:val="16"/>
                <w:color w:val="auto"/>
              </w:rPr>
              <w:t>UNDERWRITER</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SHARES</w:t>
            </w:r>
          </w:p>
        </w:tc>
      </w:tr>
      <w:tr>
        <w:trPr>
          <w:trHeight w:val="183"/>
        </w:trPr>
        <w:tc>
          <w:tcPr>
            <w:tcW w:w="78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860" w:type="dxa"/>
            <w:vAlign w:val="bottom"/>
          </w:tcPr>
          <w:p>
            <w:pPr>
              <w:spacing w:after="0"/>
              <w:rPr>
                <w:sz w:val="20"/>
                <w:szCs w:val="20"/>
                <w:color w:val="auto"/>
              </w:rPr>
            </w:pPr>
            <w:r>
              <w:rPr>
                <w:rFonts w:ascii="Courier New" w:cs="Courier New" w:eastAsia="Courier New" w:hAnsi="Courier New"/>
                <w:sz w:val="16"/>
                <w:szCs w:val="16"/>
                <w:color w:val="auto"/>
              </w:rPr>
              <w:t>Smith Barney Inc.................................................................</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840,000</w:t>
            </w: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Bear, Stearns &amp; Co. Inc..........................................................</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840,000</w:t>
            </w: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Dillon, Read &amp; Co. Inc...........................................................</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840,000</w:t>
            </w: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Donaldson, Lufkin &amp; Jenrette Securities Corporation..............................</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840,000</w:t>
            </w: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J.P. Morgan Securities Inc.......................................................</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840,000</w:t>
            </w:r>
          </w:p>
        </w:tc>
      </w:tr>
      <w:tr>
        <w:trPr>
          <w:trHeight w:val="183"/>
        </w:trPr>
        <w:tc>
          <w:tcPr>
            <w:tcW w:w="78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ind w:left="580"/>
              <w:spacing w:after="0"/>
              <w:rPr>
                <w:sz w:val="20"/>
                <w:szCs w:val="20"/>
                <w:color w:val="auto"/>
              </w:rPr>
            </w:pPr>
            <w:r>
              <w:rPr>
                <w:rFonts w:ascii="Courier New" w:cs="Courier New" w:eastAsia="Courier New" w:hAnsi="Courier New"/>
                <w:sz w:val="16"/>
                <w:szCs w:val="16"/>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4,200,000</w:t>
            </w:r>
          </w:p>
        </w:tc>
      </w:tr>
      <w:tr>
        <w:trPr>
          <w:trHeight w:val="183"/>
        </w:trPr>
        <w:tc>
          <w:tcPr>
            <w:tcW w:w="78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8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7860" w:type="dxa"/>
            <w:vAlign w:val="bottom"/>
          </w:tcPr>
          <w:p>
            <w:pPr>
              <w:ind w:left="380"/>
              <w:spacing w:after="0"/>
              <w:rPr>
                <w:sz w:val="20"/>
                <w:szCs w:val="20"/>
                <w:color w:val="auto"/>
              </w:rPr>
            </w:pPr>
            <w:r>
              <w:rPr>
                <w:rFonts w:ascii="Courier New" w:cs="Courier New" w:eastAsia="Courier New" w:hAnsi="Courier New"/>
                <w:sz w:val="16"/>
                <w:szCs w:val="16"/>
                <w:color w:val="auto"/>
              </w:rPr>
              <w:t>The Underwriting Agreement provides that the obligations of the several</w:t>
            </w:r>
          </w:p>
        </w:tc>
        <w:tc>
          <w:tcPr>
            <w:tcW w:w="1000" w:type="dxa"/>
            <w:vAlign w:val="bottom"/>
          </w:tcPr>
          <w:p>
            <w:pPr>
              <w:spacing w:after="0"/>
              <w:rPr>
                <w:sz w:val="24"/>
                <w:szCs w:val="24"/>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Underwriters to pay for and accept delivery of the Class B Common Stock are</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subject to the approval of certain legal matters by counsel and to certain other</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conditions. The Underwriters are obligated to take and pay for all of the shares</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offered hereby if any are taken (other than those covered by the overallotment</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option described below).</w:t>
            </w:r>
          </w:p>
        </w:tc>
        <w:tc>
          <w:tcPr>
            <w:tcW w:w="1000" w:type="dxa"/>
            <w:vAlign w:val="bottom"/>
          </w:tcPr>
          <w:p>
            <w:pPr>
              <w:spacing w:after="0"/>
              <w:rPr>
                <w:sz w:val="15"/>
                <w:szCs w:val="15"/>
                <w:color w:val="auto"/>
              </w:rPr>
            </w:pPr>
          </w:p>
        </w:tc>
      </w:tr>
      <w:tr>
        <w:trPr>
          <w:trHeight w:val="367"/>
        </w:trPr>
        <w:tc>
          <w:tcPr>
            <w:tcW w:w="7860" w:type="dxa"/>
            <w:vAlign w:val="bottom"/>
          </w:tcPr>
          <w:p>
            <w:pPr>
              <w:ind w:left="380"/>
              <w:spacing w:after="0"/>
              <w:rPr>
                <w:sz w:val="20"/>
                <w:szCs w:val="20"/>
                <w:color w:val="auto"/>
              </w:rPr>
            </w:pPr>
            <w:r>
              <w:rPr>
                <w:rFonts w:ascii="Courier New" w:cs="Courier New" w:eastAsia="Courier New" w:hAnsi="Courier New"/>
                <w:sz w:val="16"/>
                <w:szCs w:val="16"/>
                <w:color w:val="auto"/>
              </w:rPr>
              <w:t>The Underwriters, for whom Smith Barney Inc., Bear, Stearns &amp; Co. Inc.,</w:t>
            </w:r>
          </w:p>
        </w:tc>
        <w:tc>
          <w:tcPr>
            <w:tcW w:w="1000" w:type="dxa"/>
            <w:vAlign w:val="bottom"/>
          </w:tcPr>
          <w:p>
            <w:pPr>
              <w:spacing w:after="0"/>
              <w:rPr>
                <w:sz w:val="24"/>
                <w:szCs w:val="24"/>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Dillon, Read &amp; Co. Inc., Donaldson, Lufkin &amp; Jenrette Securities Corporation and</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J.P. Morgan Securities Inc., are acting as representatives propose to offer part</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of the shares directly to the public at the public offering price set forth on</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the cover page hereof and part to certain dealers at a price which represents a</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concession not in excess of $.66 per share. The Underwriters may allow, and such</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dealers may reallow, a discount of not more than $.10 per share to other</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Underwriters or certain other dealers.</w:t>
            </w:r>
          </w:p>
        </w:tc>
        <w:tc>
          <w:tcPr>
            <w:tcW w:w="1000" w:type="dxa"/>
            <w:vAlign w:val="bottom"/>
          </w:tcPr>
          <w:p>
            <w:pPr>
              <w:spacing w:after="0"/>
              <w:rPr>
                <w:sz w:val="15"/>
                <w:szCs w:val="15"/>
                <w:color w:val="auto"/>
              </w:rPr>
            </w:pPr>
          </w:p>
        </w:tc>
      </w:tr>
      <w:tr>
        <w:trPr>
          <w:trHeight w:val="367"/>
        </w:trPr>
        <w:tc>
          <w:tcPr>
            <w:tcW w:w="7860" w:type="dxa"/>
            <w:vAlign w:val="bottom"/>
          </w:tcPr>
          <w:p>
            <w:pPr>
              <w:ind w:left="380"/>
              <w:spacing w:after="0"/>
              <w:rPr>
                <w:sz w:val="20"/>
                <w:szCs w:val="20"/>
                <w:color w:val="auto"/>
              </w:rPr>
            </w:pPr>
            <w:r>
              <w:rPr>
                <w:rFonts w:ascii="Courier New" w:cs="Courier New" w:eastAsia="Courier New" w:hAnsi="Courier New"/>
                <w:sz w:val="16"/>
                <w:szCs w:val="16"/>
                <w:color w:val="auto"/>
              </w:rPr>
              <w:t>The Company has granted to the Underwriters a 30-day option to purchase up</w:t>
            </w:r>
          </w:p>
        </w:tc>
        <w:tc>
          <w:tcPr>
            <w:tcW w:w="1000" w:type="dxa"/>
            <w:vAlign w:val="bottom"/>
          </w:tcPr>
          <w:p>
            <w:pPr>
              <w:spacing w:after="0"/>
              <w:rPr>
                <w:sz w:val="24"/>
                <w:szCs w:val="24"/>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to 630,000 additional shares of Class B Common Stock at the price to the public</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all as set forth on the cover page of this Prospectus less the underwriting</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discounts and commissions. The Underwriters may exercise such option solely for</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the purpose of covering over allotments made in connection with the sale of</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shares offered hereby. To the extent that such option is exercised, each</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Underwriter will be obligated, subject to certain conditions, to purchase</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approximately the same percentage of such additional shares as the number of</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shares set forth opposite each Underwriter's name in the preceding table bears</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to the total number of shares listed in such table.</w:t>
            </w:r>
          </w:p>
        </w:tc>
        <w:tc>
          <w:tcPr>
            <w:tcW w:w="1000" w:type="dxa"/>
            <w:vAlign w:val="bottom"/>
          </w:tcPr>
          <w:p>
            <w:pPr>
              <w:spacing w:after="0"/>
              <w:rPr>
                <w:sz w:val="15"/>
                <w:szCs w:val="15"/>
                <w:color w:val="auto"/>
              </w:rPr>
            </w:pPr>
          </w:p>
        </w:tc>
      </w:tr>
      <w:tr>
        <w:trPr>
          <w:trHeight w:val="367"/>
        </w:trPr>
        <w:tc>
          <w:tcPr>
            <w:tcW w:w="7860" w:type="dxa"/>
            <w:vAlign w:val="bottom"/>
          </w:tcPr>
          <w:p>
            <w:pPr>
              <w:ind w:left="380"/>
              <w:spacing w:after="0"/>
              <w:rPr>
                <w:sz w:val="20"/>
                <w:szCs w:val="20"/>
                <w:color w:val="auto"/>
              </w:rPr>
            </w:pPr>
            <w:r>
              <w:rPr>
                <w:rFonts w:ascii="Courier New" w:cs="Courier New" w:eastAsia="Courier New" w:hAnsi="Courier New"/>
                <w:sz w:val="16"/>
                <w:szCs w:val="16"/>
                <w:color w:val="auto"/>
              </w:rPr>
              <w:t>The Company and its executive officers and directors have agreed that, for a</w:t>
            </w:r>
          </w:p>
        </w:tc>
        <w:tc>
          <w:tcPr>
            <w:tcW w:w="1000" w:type="dxa"/>
            <w:vAlign w:val="bottom"/>
          </w:tcPr>
          <w:p>
            <w:pPr>
              <w:spacing w:after="0"/>
              <w:rPr>
                <w:sz w:val="24"/>
                <w:szCs w:val="24"/>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period of 90 days from the date of this Prospectus, subject to limited</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exceptions, they will not, without the prior written consent of Smith Barney</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Inc., offer, sell, contract to sell, or otherwise dispose of, any shares of</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Class B Common Stock of the Company or any securities convertible into, or</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exercisable or exchangeable for Class B Common Stock of the Company, except in</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the case of the Company in connection with certain permitted issuances described</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in the Underwriting Agreement and except in the case of Alan B. Miller in</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connection with his contribution of up to 200,000 shares of Class B Common Stock</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to an investment partnership which, pursuant to applicable securities laws, will</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be restricted from selling such shares during the lock-up period. If such</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contribution is made, Mr. Miller will not withdraw such shares from such</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partnership for at least the 90-day lock-up period.</w:t>
            </w:r>
          </w:p>
        </w:tc>
        <w:tc>
          <w:tcPr>
            <w:tcW w:w="1000" w:type="dxa"/>
            <w:vAlign w:val="bottom"/>
          </w:tcPr>
          <w:p>
            <w:pPr>
              <w:spacing w:after="0"/>
              <w:rPr>
                <w:sz w:val="15"/>
                <w:szCs w:val="15"/>
                <w:color w:val="auto"/>
              </w:rPr>
            </w:pPr>
          </w:p>
        </w:tc>
      </w:tr>
      <w:tr>
        <w:trPr>
          <w:trHeight w:val="367"/>
        </w:trPr>
        <w:tc>
          <w:tcPr>
            <w:tcW w:w="7860" w:type="dxa"/>
            <w:vAlign w:val="bottom"/>
          </w:tcPr>
          <w:p>
            <w:pPr>
              <w:ind w:left="380"/>
              <w:spacing w:after="0"/>
              <w:rPr>
                <w:sz w:val="20"/>
                <w:szCs w:val="20"/>
                <w:color w:val="auto"/>
              </w:rPr>
            </w:pPr>
            <w:r>
              <w:rPr>
                <w:rFonts w:ascii="Courier New" w:cs="Courier New" w:eastAsia="Courier New" w:hAnsi="Courier New"/>
                <w:sz w:val="16"/>
                <w:szCs w:val="16"/>
                <w:color w:val="auto"/>
              </w:rPr>
              <w:t>In connection with the repayment of debt with a portion of the proceeds of</w:t>
            </w:r>
          </w:p>
        </w:tc>
        <w:tc>
          <w:tcPr>
            <w:tcW w:w="1000" w:type="dxa"/>
            <w:vAlign w:val="bottom"/>
          </w:tcPr>
          <w:p>
            <w:pPr>
              <w:spacing w:after="0"/>
              <w:rPr>
                <w:sz w:val="24"/>
                <w:szCs w:val="24"/>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the Offering, see "Use of Proceeds," more than 10% of the net offering proceeds</w:t>
            </w:r>
          </w:p>
        </w:tc>
        <w:tc>
          <w:tcPr>
            <w:tcW w:w="1000" w:type="dxa"/>
            <w:vAlign w:val="bottom"/>
          </w:tcPr>
          <w:p>
            <w:pPr>
              <w:spacing w:after="0"/>
              <w:rPr>
                <w:sz w:val="15"/>
                <w:szCs w:val="15"/>
                <w:color w:val="auto"/>
              </w:rPr>
            </w:pPr>
          </w:p>
        </w:tc>
      </w:tr>
      <w:tr>
        <w:trPr>
          <w:trHeight w:val="183"/>
        </w:trPr>
        <w:tc>
          <w:tcPr>
            <w:tcW w:w="7860" w:type="dxa"/>
            <w:vAlign w:val="bottom"/>
          </w:tcPr>
          <w:p>
            <w:pPr>
              <w:spacing w:after="0"/>
              <w:rPr>
                <w:sz w:val="20"/>
                <w:szCs w:val="20"/>
                <w:color w:val="auto"/>
              </w:rPr>
            </w:pPr>
            <w:r>
              <w:rPr>
                <w:rFonts w:ascii="Courier New" w:cs="Courier New" w:eastAsia="Courier New" w:hAnsi="Courier New"/>
                <w:sz w:val="16"/>
                <w:szCs w:val="16"/>
                <w:color w:val="auto"/>
              </w:rPr>
              <w:t>will be paid to or for the beneficial interest of</w:t>
            </w:r>
          </w:p>
        </w:tc>
        <w:tc>
          <w:tcPr>
            <w:tcW w:w="1000" w:type="dxa"/>
            <w:vAlign w:val="bottom"/>
          </w:tcPr>
          <w:p>
            <w:pPr>
              <w:spacing w:after="0"/>
              <w:rPr>
                <w:sz w:val="15"/>
                <w:szCs w:val="15"/>
                <w:color w:val="auto"/>
              </w:rPr>
            </w:pPr>
          </w:p>
        </w:tc>
      </w:tr>
      <w:tr>
        <w:trPr>
          <w:trHeight w:val="367"/>
        </w:trPr>
        <w:tc>
          <w:tcPr>
            <w:tcW w:w="7860" w:type="dxa"/>
            <w:vAlign w:val="bottom"/>
          </w:tcPr>
          <w:p>
            <w:pPr>
              <w:ind w:left="3720"/>
              <w:spacing w:after="0"/>
              <w:rPr>
                <w:sz w:val="20"/>
                <w:szCs w:val="20"/>
                <w:color w:val="auto"/>
              </w:rPr>
            </w:pPr>
            <w:r>
              <w:rPr>
                <w:rFonts w:ascii="Courier New" w:cs="Courier New" w:eastAsia="Courier New" w:hAnsi="Courier New"/>
                <w:sz w:val="16"/>
                <w:szCs w:val="16"/>
                <w:color w:val="auto"/>
              </w:rPr>
              <w:t>41</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45" w:name="page46"/>
    <w:bookmarkEnd w:id="45"/>
    <w:p>
      <w:pPr>
        <w:ind w:right="2879"/>
        <w:spacing w:after="0" w:line="241" w:lineRule="auto"/>
        <w:rPr>
          <w:sz w:val="20"/>
          <w:szCs w:val="20"/>
          <w:color w:val="auto"/>
        </w:rPr>
      </w:pPr>
      <w:r>
        <w:rPr>
          <w:rFonts w:ascii="Courier New" w:cs="Courier New" w:eastAsia="Courier New" w:hAnsi="Courier New"/>
          <w:sz w:val="16"/>
          <w:szCs w:val="16"/>
          <w:color w:val="auto"/>
        </w:rPr>
        <w:t>members of the National Association of Securities Dealers, Inc. ("NASD") and affiliated and associated persons of NASD members. Therefore, the Offering is being made in compliance with subsection (c)(8) of the NASD's Corporate Financing Rule.</w:t>
      </w:r>
    </w:p>
    <w:p>
      <w:pPr>
        <w:spacing w:after="0" w:line="189"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Robert H. Hotz, a director of the Company, is a Managing Director and Co-Head of Corporate Finance at Dillon, Read &amp; Co. Inc., a managing underwriter of this Offering. The Company has engaged and intends in the future to engage Dillon, Read &amp; Co. Inc. in connection with such financial matters as it deems appropriate.</w:t>
      </w:r>
    </w:p>
    <w:p>
      <w:pPr>
        <w:spacing w:after="0" w:line="190" w:lineRule="exact"/>
        <w:rPr>
          <w:sz w:val="20"/>
          <w:szCs w:val="20"/>
          <w:color w:val="auto"/>
        </w:rPr>
      </w:pPr>
    </w:p>
    <w:p>
      <w:pPr>
        <w:ind w:right="3259" w:firstLine="382"/>
        <w:spacing w:after="0"/>
        <w:rPr>
          <w:sz w:val="20"/>
          <w:szCs w:val="20"/>
          <w:color w:val="auto"/>
        </w:rPr>
      </w:pPr>
      <w:r>
        <w:rPr>
          <w:rFonts w:ascii="Courier New" w:cs="Courier New" w:eastAsia="Courier New" w:hAnsi="Courier New"/>
          <w:sz w:val="16"/>
          <w:szCs w:val="16"/>
          <w:color w:val="auto"/>
        </w:rPr>
        <w:t>The Company and the Selling Stockholder have agreed to indemnify the Underwriters against certain liabilities, including liabilities under the Securities Act.</w:t>
      </w:r>
    </w:p>
    <w:p>
      <w:pPr>
        <w:spacing w:after="0" w:line="187"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LEGAL MATTERS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validity of the Class B Common Stock offered hereby will be passed upon for the Company and the Selling Stockholder by Fulbright &amp; Jaworski L.L.P., 666 Fifth Avenue, New York, New York 10103. Anthony Pantaleoni, a director of the Company who owns less than one percent of the outstanding capital stock of the Company, is a partner in Fulbright &amp; Jaworski L.L.P. The validity of the Class B Common Stock offered hereby will be passed upon for the Underwriters by Dewey Ballantine, 1301 Avenue of the Americas, New York, New York 10019.</w:t>
      </w:r>
    </w:p>
    <w:p>
      <w:pPr>
        <w:spacing w:after="0" w:line="18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The consolidated financial statements and schedule of Universal Health Services, Inc. and subsidiaries as of December 31, 1994 and 1995, and for each of the three years in the period ended December 31, 1995, and the financial statements of Aiken Regional Medical Centers as of and for the year ended December 31, 1994, included or incorporated by reference in this Registration Statement have been audited by Arthur Andersen LLP, independent public accountants, as indicated in their reports with respect thereto, and are included or incorporated by reference herein in reliance upon the authority of said firm as experts in giving said reports.</w:t>
      </w:r>
    </w:p>
    <w:p>
      <w:pPr>
        <w:spacing w:after="0" w:line="189" w:lineRule="exact"/>
        <w:rPr>
          <w:sz w:val="20"/>
          <w:szCs w:val="20"/>
          <w:color w:val="auto"/>
        </w:rPr>
      </w:pPr>
    </w:p>
    <w:p>
      <w:pPr>
        <w:ind w:right="2779" w:firstLine="382"/>
        <w:spacing w:after="0" w:line="261" w:lineRule="auto"/>
        <w:rPr>
          <w:sz w:val="20"/>
          <w:szCs w:val="20"/>
          <w:color w:val="auto"/>
        </w:rPr>
      </w:pPr>
      <w:r>
        <w:rPr>
          <w:rFonts w:ascii="Courier New" w:cs="Courier New" w:eastAsia="Courier New" w:hAnsi="Courier New"/>
          <w:sz w:val="15"/>
          <w:szCs w:val="15"/>
          <w:color w:val="auto"/>
        </w:rPr>
        <w:t>The combined financial statements of Manatee Hospitals and Health Systems, Inc. at August 31, 1993 and 1994, and for the years then ended incorporated by reference in this Prospectus and Registration Statement have been audited by Ernst &amp; Young LLP, independent Certified Public Accountants, as set forth in their report thereon, and are included in reliance upon such report given upon the authority of such firm as experts in accounting and auditing.</w:t>
      </w:r>
    </w:p>
    <w:p>
      <w:pPr>
        <w:spacing w:after="0" w:line="17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financial statements of Northwest Texas Healthcare System as of September 30, 1995, and for the year then ended appearing in this Prospectus and Registration Statement have been audited by Clifton, Gunderson &amp; Co., independent Certified Public Accountants, as set forth in their report thereon appearing elsewhere herein and in the Registration Statement, and are included in reliance upon such report given upon the authority of such firm as experts in accounting and auditing. The report of Clifton, Gunderson &amp; Co. covering the September 30, 1995 financial statements refers to an emphasis of the accounting reporting entity and to a change in accounting for investment securities.</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financial statements of Northwest Texas Healthcare System as of September 30, 1994, and for the year then ended appearing in this Prospectus and Registration Statement have been audited by KPMG Peat Marwick LLP, independent Certified Public Accountants, as set forth in their report thereon appearing elsewhere herein and in the Registration Statement, and are included in reliance upon such report given upon the authority of such firm as experts in accounting and auditing. The report of KPMG Peat Marwick LLP, covering the September 30, 1994 financial statements refers to an emphasis of the financial reporting entity and to a change in accounting for investment securities.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484"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1"/>
        </w:trPr>
        <w:tc>
          <w:tcPr>
            <w:tcW w:w="8240" w:type="dxa"/>
            <w:vAlign w:val="bottom"/>
          </w:tcPr>
          <w:p>
            <w:pPr>
              <w:ind w:left="2380"/>
              <w:spacing w:after="0"/>
              <w:rPr>
                <w:sz w:val="20"/>
                <w:szCs w:val="20"/>
                <w:color w:val="auto"/>
              </w:rPr>
            </w:pPr>
            <w:r>
              <w:rPr>
                <w:rFonts w:ascii="Courier New" w:cs="Courier New" w:eastAsia="Courier New" w:hAnsi="Courier New"/>
                <w:sz w:val="16"/>
                <w:szCs w:val="16"/>
                <w:color w:val="auto"/>
              </w:rPr>
              <w:t>INDEX TO FINANCIAL STATEMENTS</w:t>
            </w:r>
          </w:p>
        </w:tc>
        <w:tc>
          <w:tcPr>
            <w:tcW w:w="540" w:type="dxa"/>
            <w:vAlign w:val="bottom"/>
          </w:tcPr>
          <w:p>
            <w:pPr>
              <w:spacing w:after="0"/>
              <w:rPr>
                <w:sz w:val="15"/>
                <w:szCs w:val="15"/>
                <w:color w:val="auto"/>
              </w:rPr>
            </w:pPr>
          </w:p>
        </w:tc>
      </w:tr>
      <w:tr>
        <w:trPr>
          <w:trHeight w:val="734"/>
        </w:trPr>
        <w:tc>
          <w:tcPr>
            <w:tcW w:w="8240" w:type="dxa"/>
            <w:vAlign w:val="bottom"/>
          </w:tcPr>
          <w:p>
            <w:pPr>
              <w:spacing w:after="0"/>
              <w:rPr>
                <w:sz w:val="20"/>
                <w:szCs w:val="20"/>
                <w:color w:val="auto"/>
              </w:rPr>
            </w:pPr>
            <w:r>
              <w:rPr>
                <w:rFonts w:ascii="Courier New" w:cs="Courier New" w:eastAsia="Courier New" w:hAnsi="Courier New"/>
                <w:sz w:val="16"/>
                <w:szCs w:val="16"/>
                <w:color w:val="auto"/>
              </w:rPr>
              <w:t>Consolidated Financial Statements:</w:t>
            </w:r>
          </w:p>
        </w:tc>
        <w:tc>
          <w:tcPr>
            <w:tcW w:w="540" w:type="dxa"/>
            <w:vAlign w:val="bottom"/>
          </w:tcPr>
          <w:p>
            <w:pPr>
              <w:spacing w:after="0"/>
              <w:rPr>
                <w:sz w:val="24"/>
                <w:szCs w:val="24"/>
                <w:color w:val="auto"/>
              </w:rPr>
            </w:pP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Report of Independent Public Accountants...........................................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Consolidated Statements of Income for the Three Years Ended December 31, 1995......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F-3</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Consolidated Balance Sheets as of December 31, 1994 and 1995.......................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F-4</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Consolidated Statements of Common Stockholders' Equity for the Three Years Ended</w:t>
            </w:r>
          </w:p>
        </w:tc>
        <w:tc>
          <w:tcPr>
            <w:tcW w:w="540" w:type="dxa"/>
            <w:vAlign w:val="bottom"/>
          </w:tcPr>
          <w:p>
            <w:pPr>
              <w:spacing w:after="0"/>
              <w:rPr>
                <w:sz w:val="15"/>
                <w:szCs w:val="15"/>
                <w:color w:val="auto"/>
              </w:rPr>
            </w:pPr>
          </w:p>
        </w:tc>
      </w:tr>
      <w:tr>
        <w:trPr>
          <w:trHeight w:val="183"/>
        </w:trPr>
        <w:tc>
          <w:tcPr>
            <w:tcW w:w="8240" w:type="dxa"/>
            <w:vAlign w:val="bottom"/>
          </w:tcPr>
          <w:p>
            <w:pPr>
              <w:spacing w:after="0"/>
              <w:rPr>
                <w:sz w:val="20"/>
                <w:szCs w:val="20"/>
                <w:color w:val="auto"/>
              </w:rPr>
            </w:pPr>
            <w:r>
              <w:rPr>
                <w:rFonts w:ascii="Courier New" w:cs="Courier New" w:eastAsia="Courier New" w:hAnsi="Courier New"/>
                <w:sz w:val="16"/>
                <w:szCs w:val="16"/>
                <w:color w:val="auto"/>
              </w:rPr>
              <w:t>December 31, 1995....................................................................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F-5</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Consolidated Statements of Cash Flows for the Three Years Ended December 31,</w:t>
            </w:r>
          </w:p>
        </w:tc>
        <w:tc>
          <w:tcPr>
            <w:tcW w:w="540" w:type="dxa"/>
            <w:vAlign w:val="bottom"/>
          </w:tcPr>
          <w:p>
            <w:pPr>
              <w:spacing w:after="0"/>
              <w:rPr>
                <w:sz w:val="15"/>
                <w:szCs w:val="15"/>
                <w:color w:val="auto"/>
              </w:rPr>
            </w:pPr>
          </w:p>
        </w:tc>
      </w:tr>
      <w:tr>
        <w:trPr>
          <w:trHeight w:val="183"/>
        </w:trPr>
        <w:tc>
          <w:tcPr>
            <w:tcW w:w="824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F-6</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F-7</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Consolidated Statements of Income for the Three Months Ended March 31, 1995 and</w:t>
            </w:r>
          </w:p>
        </w:tc>
        <w:tc>
          <w:tcPr>
            <w:tcW w:w="540" w:type="dxa"/>
            <w:vAlign w:val="bottom"/>
          </w:tcPr>
          <w:p>
            <w:pPr>
              <w:spacing w:after="0"/>
              <w:rPr>
                <w:sz w:val="15"/>
                <w:szCs w:val="15"/>
                <w:color w:val="auto"/>
              </w:rPr>
            </w:pPr>
          </w:p>
        </w:tc>
      </w:tr>
      <w:tr>
        <w:trPr>
          <w:trHeight w:val="183"/>
        </w:trPr>
        <w:tc>
          <w:tcPr>
            <w:tcW w:w="8240" w:type="dxa"/>
            <w:vAlign w:val="bottom"/>
          </w:tcPr>
          <w:p>
            <w:pPr>
              <w:spacing w:after="0"/>
              <w:rPr>
                <w:sz w:val="20"/>
                <w:szCs w:val="20"/>
                <w:color w:val="auto"/>
              </w:rPr>
            </w:pPr>
            <w:r>
              <w:rPr>
                <w:rFonts w:ascii="Courier New" w:cs="Courier New" w:eastAsia="Courier New" w:hAnsi="Courier New"/>
                <w:sz w:val="16"/>
                <w:szCs w:val="16"/>
                <w:color w:val="auto"/>
              </w:rPr>
              <w:t>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F-22</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Condensed Consolidated Balance Sheets as of December 31, 1995 and as of March 31,</w:t>
            </w:r>
          </w:p>
        </w:tc>
        <w:tc>
          <w:tcPr>
            <w:tcW w:w="540" w:type="dxa"/>
            <w:vAlign w:val="bottom"/>
          </w:tcPr>
          <w:p>
            <w:pPr>
              <w:spacing w:after="0"/>
              <w:rPr>
                <w:sz w:val="15"/>
                <w:szCs w:val="15"/>
                <w:color w:val="auto"/>
              </w:rPr>
            </w:pPr>
          </w:p>
        </w:tc>
      </w:tr>
      <w:tr>
        <w:trPr>
          <w:trHeight w:val="183"/>
        </w:trPr>
        <w:tc>
          <w:tcPr>
            <w:tcW w:w="8240" w:type="dxa"/>
            <w:vAlign w:val="bottom"/>
          </w:tcPr>
          <w:p>
            <w:pPr>
              <w:spacing w:after="0"/>
              <w:rPr>
                <w:sz w:val="20"/>
                <w:szCs w:val="20"/>
                <w:color w:val="auto"/>
              </w:rPr>
            </w:pPr>
            <w:r>
              <w:rPr>
                <w:rFonts w:ascii="Courier New" w:cs="Courier New" w:eastAsia="Courier New" w:hAnsi="Courier New"/>
                <w:sz w:val="16"/>
                <w:szCs w:val="16"/>
                <w:color w:val="auto"/>
              </w:rPr>
              <w:t>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F-23</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Condensed Consolidated Statements of Cash Flows for the Three Months Ended March</w:t>
            </w:r>
          </w:p>
        </w:tc>
        <w:tc>
          <w:tcPr>
            <w:tcW w:w="540" w:type="dxa"/>
            <w:vAlign w:val="bottom"/>
          </w:tcPr>
          <w:p>
            <w:pPr>
              <w:spacing w:after="0"/>
              <w:rPr>
                <w:sz w:val="15"/>
                <w:szCs w:val="15"/>
                <w:color w:val="auto"/>
              </w:rPr>
            </w:pPr>
          </w:p>
        </w:tc>
      </w:tr>
      <w:tr>
        <w:trPr>
          <w:trHeight w:val="183"/>
        </w:trPr>
        <w:tc>
          <w:tcPr>
            <w:tcW w:w="8240" w:type="dxa"/>
            <w:vAlign w:val="bottom"/>
          </w:tcPr>
          <w:p>
            <w:pPr>
              <w:spacing w:after="0"/>
              <w:rPr>
                <w:sz w:val="20"/>
                <w:szCs w:val="20"/>
                <w:color w:val="auto"/>
              </w:rPr>
            </w:pPr>
            <w:r>
              <w:rPr>
                <w:rFonts w:ascii="Courier New" w:cs="Courier New" w:eastAsia="Courier New" w:hAnsi="Courier New"/>
                <w:sz w:val="16"/>
                <w:szCs w:val="16"/>
                <w:color w:val="auto"/>
              </w:rPr>
              <w:t>31, 1995 and 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F-24</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F-25</w:t>
            </w:r>
          </w:p>
        </w:tc>
      </w:tr>
      <w:tr>
        <w:trPr>
          <w:trHeight w:val="367"/>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NORTHWEST TEXAS HEALTHCARE SYSTEM</w:t>
            </w:r>
          </w:p>
        </w:tc>
        <w:tc>
          <w:tcPr>
            <w:tcW w:w="540" w:type="dxa"/>
            <w:vAlign w:val="bottom"/>
          </w:tcPr>
          <w:p>
            <w:pPr>
              <w:spacing w:after="0"/>
              <w:rPr>
                <w:sz w:val="24"/>
                <w:szCs w:val="24"/>
                <w:color w:val="auto"/>
              </w:rPr>
            </w:pP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Reports of Independent Auditors....................................................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F-27</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Balance Sheets as of September 30, 1994 and 1995 and March 31, 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F-29</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Statements of Revenue and Expenses for the Years Ended September 30, 1994 and 1995</w:t>
            </w:r>
          </w:p>
        </w:tc>
        <w:tc>
          <w:tcPr>
            <w:tcW w:w="540" w:type="dxa"/>
            <w:vAlign w:val="bottom"/>
          </w:tcPr>
          <w:p>
            <w:pPr>
              <w:spacing w:after="0"/>
              <w:rPr>
                <w:sz w:val="15"/>
                <w:szCs w:val="15"/>
                <w:color w:val="auto"/>
              </w:rPr>
            </w:pPr>
          </w:p>
        </w:tc>
      </w:tr>
      <w:tr>
        <w:trPr>
          <w:trHeight w:val="183"/>
        </w:trPr>
        <w:tc>
          <w:tcPr>
            <w:tcW w:w="8240" w:type="dxa"/>
            <w:vAlign w:val="bottom"/>
          </w:tcPr>
          <w:p>
            <w:pPr>
              <w:spacing w:after="0"/>
              <w:rPr>
                <w:sz w:val="20"/>
                <w:szCs w:val="20"/>
                <w:color w:val="auto"/>
              </w:rPr>
            </w:pPr>
            <w:r>
              <w:rPr>
                <w:rFonts w:ascii="Courier New" w:cs="Courier New" w:eastAsia="Courier New" w:hAnsi="Courier New"/>
                <w:sz w:val="16"/>
                <w:szCs w:val="16"/>
                <w:color w:val="auto"/>
              </w:rPr>
              <w:t>and the Six Months Ended March 31, 1995 and 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F-30</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Statements of Changes in Fund Balances for the Years Ended September 30, 1994 and</w:t>
            </w:r>
          </w:p>
        </w:tc>
        <w:tc>
          <w:tcPr>
            <w:tcW w:w="540" w:type="dxa"/>
            <w:vAlign w:val="bottom"/>
          </w:tcPr>
          <w:p>
            <w:pPr>
              <w:spacing w:after="0"/>
              <w:rPr>
                <w:sz w:val="15"/>
                <w:szCs w:val="15"/>
                <w:color w:val="auto"/>
              </w:rPr>
            </w:pPr>
          </w:p>
        </w:tc>
      </w:tr>
      <w:tr>
        <w:trPr>
          <w:trHeight w:val="183"/>
        </w:trPr>
        <w:tc>
          <w:tcPr>
            <w:tcW w:w="8240" w:type="dxa"/>
            <w:vAlign w:val="bottom"/>
          </w:tcPr>
          <w:p>
            <w:pPr>
              <w:spacing w:after="0"/>
              <w:rPr>
                <w:sz w:val="20"/>
                <w:szCs w:val="20"/>
                <w:color w:val="auto"/>
              </w:rPr>
            </w:pPr>
            <w:r>
              <w:rPr>
                <w:rFonts w:ascii="Courier New" w:cs="Courier New" w:eastAsia="Courier New" w:hAnsi="Courier New"/>
                <w:sz w:val="16"/>
                <w:szCs w:val="16"/>
                <w:color w:val="auto"/>
              </w:rPr>
              <w:t>1995 and the Six Months Ended March 31, 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F-31</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Statements of Cash Flows for the Years Ended September 30, 1994 and 1995 and the</w:t>
            </w:r>
          </w:p>
        </w:tc>
        <w:tc>
          <w:tcPr>
            <w:tcW w:w="540" w:type="dxa"/>
            <w:vAlign w:val="bottom"/>
          </w:tcPr>
          <w:p>
            <w:pPr>
              <w:spacing w:after="0"/>
              <w:rPr>
                <w:sz w:val="15"/>
                <w:szCs w:val="15"/>
                <w:color w:val="auto"/>
              </w:rPr>
            </w:pPr>
          </w:p>
        </w:tc>
      </w:tr>
      <w:tr>
        <w:trPr>
          <w:trHeight w:val="183"/>
        </w:trPr>
        <w:tc>
          <w:tcPr>
            <w:tcW w:w="8240" w:type="dxa"/>
            <w:vAlign w:val="bottom"/>
          </w:tcPr>
          <w:p>
            <w:pPr>
              <w:spacing w:after="0"/>
              <w:rPr>
                <w:sz w:val="20"/>
                <w:szCs w:val="20"/>
                <w:color w:val="auto"/>
              </w:rPr>
            </w:pPr>
            <w:r>
              <w:rPr>
                <w:rFonts w:ascii="Courier New" w:cs="Courier New" w:eastAsia="Courier New" w:hAnsi="Courier New"/>
                <w:sz w:val="16"/>
                <w:szCs w:val="16"/>
                <w:color w:val="auto"/>
              </w:rPr>
              <w:t>Six Months Ended March 31, 1995 and 1996 (unaudited).................................</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F-32</w:t>
            </w:r>
          </w:p>
        </w:tc>
      </w:tr>
      <w:tr>
        <w:trPr>
          <w:trHeight w:val="183"/>
        </w:trPr>
        <w:tc>
          <w:tcPr>
            <w:tcW w:w="8240" w:type="dxa"/>
            <w:vAlign w:val="bottom"/>
          </w:tcPr>
          <w:p>
            <w:pPr>
              <w:ind w:left="180"/>
              <w:spacing w:after="0"/>
              <w:rPr>
                <w:sz w:val="20"/>
                <w:szCs w:val="20"/>
                <w:color w:val="auto"/>
              </w:rPr>
            </w:pPr>
            <w:r>
              <w:rPr>
                <w:rFonts w:ascii="Courier New" w:cs="Courier New" w:eastAsia="Courier New" w:hAnsi="Courier New"/>
                <w:sz w:val="16"/>
                <w:szCs w:val="16"/>
                <w:color w:val="auto"/>
              </w:rPr>
              <w:t>Notes to Financial Statements......................................................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F-33</w:t>
            </w:r>
          </w:p>
        </w:tc>
      </w:tr>
      <w:tr>
        <w:trPr>
          <w:trHeight w:val="550"/>
        </w:trPr>
        <w:tc>
          <w:tcPr>
            <w:tcW w:w="8240" w:type="dxa"/>
            <w:vAlign w:val="bottom"/>
          </w:tcPr>
          <w:p>
            <w:pPr>
              <w:ind w:left="3620"/>
              <w:spacing w:after="0"/>
              <w:rPr>
                <w:sz w:val="20"/>
                <w:szCs w:val="20"/>
                <w:color w:val="auto"/>
              </w:rPr>
            </w:pPr>
            <w:r>
              <w:rPr>
                <w:rFonts w:ascii="Courier New" w:cs="Courier New" w:eastAsia="Courier New" w:hAnsi="Courier New"/>
                <w:sz w:val="16"/>
                <w:szCs w:val="16"/>
                <w:color w:val="auto"/>
              </w:rPr>
              <w:t>F-1</w:t>
            </w:r>
          </w:p>
        </w:tc>
        <w:tc>
          <w:tcPr>
            <w:tcW w:w="54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47" w:name="page48"/>
    <w:bookmarkEnd w:id="47"/>
    <w:p>
      <w:pPr>
        <w:ind w:left="190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 UNIVERSAL HEALTH SERVICES, INC.:</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We have audited the accompanying consolidated balance sheets of Universal Health Services, Inc. (Delaware corporation) and subsidiaries as of December 31, 1994 and 1995, and the related consolidated statements of income, common stockholders' equity and cash flows for each of the three years in the period ended December 31, 1995. These consolidated financial statements are the responsibility of the Company's management. Our responsibility is to express an opinion on these consolidated financial statements based on our audits.</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Universal Health Services, Inc. and subsidiaries as of December 31, 1994 and 1995, and the consolidated results of their operations and their cash flows for each of the three years in the period ended December 31, 1995 in conformity with generally accepted accounting principles.</w:t>
      </w:r>
    </w:p>
    <w:p>
      <w:pPr>
        <w:spacing w:after="0" w:line="18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ARTHUR ANDERSEN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with respect to the matter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discussed in Note 12, as to which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is April 26, 1996)</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481" w:right="1440" w:bottom="1440" w:gutter="0" w:footer="0" w:header="0"/>
        </w:sectPr>
      </w:pPr>
    </w:p>
    <w:bookmarkStart w:id="48" w:name="page49"/>
    <w:bookmarkEnd w:id="48"/>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4"/>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1993</w:t>
            </w:r>
          </w:p>
        </w:tc>
        <w:tc>
          <w:tcPr>
            <w:tcW w:w="280" w:type="dxa"/>
            <w:vAlign w:val="bottom"/>
          </w:tcPr>
          <w:p>
            <w:pPr>
              <w:spacing w:after="0"/>
              <w:rPr>
                <w:sz w:val="24"/>
                <w:szCs w:val="24"/>
                <w:color w:val="auto"/>
              </w:rPr>
            </w:pPr>
          </w:p>
        </w:tc>
        <w:tc>
          <w:tcPr>
            <w:tcW w:w="1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24"/>
                <w:szCs w:val="24"/>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860" w:type="dxa"/>
            <w:vAlign w:val="bottom"/>
          </w:tcPr>
          <w:p>
            <w:pPr>
              <w:spacing w:after="0"/>
              <w:rPr>
                <w:sz w:val="15"/>
                <w:szCs w:val="15"/>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Net revenues....................................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761,544,000</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$782,199,000</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$931,126,000</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Operating charges</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Operating expenses............................</w:t>
            </w:r>
          </w:p>
        </w:tc>
        <w:tc>
          <w:tcPr>
            <w:tcW w:w="1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299,645,000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298,108,000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361,049,000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Salaries and wages............................</w:t>
            </w:r>
          </w:p>
        </w:tc>
        <w:tc>
          <w:tcPr>
            <w:tcW w:w="1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280,041,000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286,297,000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329,939,000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Provision for doubtful accounts...............</w:t>
            </w:r>
          </w:p>
        </w:tc>
        <w:tc>
          <w:tcPr>
            <w:tcW w:w="1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55,409,000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58,347,000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76,905,000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Depreciation &amp; amortization...................</w:t>
            </w:r>
          </w:p>
        </w:tc>
        <w:tc>
          <w:tcPr>
            <w:tcW w:w="1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39,599,000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42,383,000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51,371,000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Lease and rental expense......................</w:t>
            </w:r>
          </w:p>
        </w:tc>
        <w:tc>
          <w:tcPr>
            <w:tcW w:w="1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34,281,000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34,097,000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36,068,000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Interest expense, net.........................</w:t>
            </w:r>
          </w:p>
        </w:tc>
        <w:tc>
          <w:tcPr>
            <w:tcW w:w="1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8,645,000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6,275,000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11,195,000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Nonrecurring charges..........................</w:t>
            </w:r>
          </w:p>
        </w:tc>
        <w:tc>
          <w:tcPr>
            <w:tcW w:w="1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8,828,000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9,763,000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11,610,000</w:t>
            </w:r>
          </w:p>
        </w:tc>
      </w:tr>
      <w:tr>
        <w:trPr>
          <w:trHeight w:val="183"/>
        </w:trPr>
        <w:tc>
          <w:tcPr>
            <w:tcW w:w="4860" w:type="dxa"/>
            <w:vAlign w:val="bottom"/>
          </w:tcPr>
          <w:p>
            <w:pPr>
              <w:spacing w:after="0"/>
              <w:rPr>
                <w:sz w:val="15"/>
                <w:szCs w:val="15"/>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operating charges.......................</w:t>
            </w:r>
          </w:p>
        </w:tc>
        <w:tc>
          <w:tcPr>
            <w:tcW w:w="1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726,448,000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735,270,000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878,137,000</w:t>
            </w:r>
          </w:p>
        </w:tc>
      </w:tr>
      <w:tr>
        <w:trPr>
          <w:trHeight w:val="183"/>
        </w:trPr>
        <w:tc>
          <w:tcPr>
            <w:tcW w:w="4860" w:type="dxa"/>
            <w:vAlign w:val="bottom"/>
          </w:tcPr>
          <w:p>
            <w:pPr>
              <w:spacing w:after="0"/>
              <w:rPr>
                <w:sz w:val="15"/>
                <w:szCs w:val="15"/>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Income before income taxes....................</w:t>
            </w:r>
          </w:p>
        </w:tc>
        <w:tc>
          <w:tcPr>
            <w:tcW w:w="1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35,096,000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46,929,000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52,989,000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Provision for income taxes....................</w:t>
            </w:r>
          </w:p>
        </w:tc>
        <w:tc>
          <w:tcPr>
            <w:tcW w:w="1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11,085,000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18,209,000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17,505,000</w:t>
            </w:r>
          </w:p>
        </w:tc>
      </w:tr>
      <w:tr>
        <w:trPr>
          <w:trHeight w:val="183"/>
        </w:trPr>
        <w:tc>
          <w:tcPr>
            <w:tcW w:w="4860" w:type="dxa"/>
            <w:vAlign w:val="bottom"/>
          </w:tcPr>
          <w:p>
            <w:pPr>
              <w:spacing w:after="0"/>
              <w:rPr>
                <w:sz w:val="15"/>
                <w:szCs w:val="15"/>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Net income....................................</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24,011,000</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$ 28,720,000</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$ 35,484,000</w:t>
            </w:r>
          </w:p>
        </w:tc>
      </w:tr>
      <w:tr>
        <w:trPr>
          <w:trHeight w:val="183"/>
        </w:trPr>
        <w:tc>
          <w:tcPr>
            <w:tcW w:w="4860" w:type="dxa"/>
            <w:vAlign w:val="bottom"/>
          </w:tcPr>
          <w:p>
            <w:pPr>
              <w:spacing w:after="0"/>
              <w:rPr>
                <w:sz w:val="15"/>
                <w:szCs w:val="15"/>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Earnings per common &amp; common share equivalent</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(fully diluted).................................</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1.26</w:t>
            </w:r>
          </w:p>
        </w:tc>
      </w:tr>
      <w:tr>
        <w:trPr>
          <w:trHeight w:val="183"/>
        </w:trPr>
        <w:tc>
          <w:tcPr>
            <w:tcW w:w="4860" w:type="dxa"/>
            <w:vAlign w:val="bottom"/>
          </w:tcPr>
          <w:p>
            <w:pPr>
              <w:spacing w:after="0"/>
              <w:rPr>
                <w:sz w:val="15"/>
                <w:szCs w:val="15"/>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and</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equivalents.....................................</w:t>
            </w:r>
          </w:p>
        </w:tc>
        <w:tc>
          <w:tcPr>
            <w:tcW w:w="1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29,638,000</w:t>
            </w:r>
          </w:p>
        </w:tc>
        <w:tc>
          <w:tcPr>
            <w:tcW w:w="2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28,778,000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28,158,000</w:t>
            </w:r>
          </w:p>
        </w:tc>
      </w:tr>
      <w:tr>
        <w:trPr>
          <w:trHeight w:val="183"/>
        </w:trPr>
        <w:tc>
          <w:tcPr>
            <w:tcW w:w="4860" w:type="dxa"/>
            <w:vAlign w:val="bottom"/>
          </w:tcPr>
          <w:p>
            <w:pPr>
              <w:spacing w:after="0"/>
              <w:rPr>
                <w:sz w:val="15"/>
                <w:szCs w:val="15"/>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180" w:right="2879"/>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481" w:right="1440" w:bottom="1440" w:gutter="0" w:footer="0" w:header="0"/>
        </w:sectPr>
      </w:pPr>
    </w:p>
    <w:bookmarkStart w:id="49" w:name="page50"/>
    <w:bookmarkEnd w:id="49"/>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ind w:left="2480"/>
              <w:spacing w:after="0"/>
              <w:rPr>
                <w:sz w:val="20"/>
                <w:szCs w:val="20"/>
                <w:color w:val="auto"/>
              </w:rPr>
            </w:pPr>
            <w:r>
              <w:rPr>
                <w:rFonts w:ascii="Courier New" w:cs="Courier New" w:eastAsia="Courier New" w:hAnsi="Courier New"/>
                <w:sz w:val="16"/>
                <w:szCs w:val="16"/>
                <w:color w:val="auto"/>
              </w:rPr>
              <w:t>CONSOLIDATED BALANCE SHEETS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4"/>
        </w:trPr>
        <w:tc>
          <w:tcPr>
            <w:tcW w:w="6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3"/>
          </w:tcPr>
          <w:p>
            <w:pPr>
              <w:jc w:val="right"/>
              <w:ind w:right="78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6340" w:type="dxa"/>
            <w:vAlign w:val="bottom"/>
          </w:tcPr>
          <w:p>
            <w:pPr>
              <w:spacing w:after="0"/>
              <w:rPr>
                <w:sz w:val="15"/>
                <w:szCs w:val="15"/>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15"/>
                <w:szCs w:val="15"/>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67"/>
        </w:trPr>
        <w:tc>
          <w:tcPr>
            <w:tcW w:w="63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780,000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34,000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Accounts receivable, net of allowance of $34,957,000 in 1994 and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$49,016,000 in 1995 for doubtful accounts........................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84,818,000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114,163,000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Supplies........................................................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15,723,000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18,207,000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Deferred income taxes...........................................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12,942,000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18,989,000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Other current assets............................................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4,126,000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5,529,000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Total current assets............................................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118,389,000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156,922,000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Property and Equipment</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Land..........................................................</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34,159,000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36,055,000</w:t>
            </w:r>
          </w:p>
        </w:tc>
      </w:tr>
      <w:tr>
        <w:trPr>
          <w:trHeight w:val="183"/>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Buildings and improvements....................................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314,545,000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348,182,000</w:t>
            </w:r>
          </w:p>
        </w:tc>
      </w:tr>
      <w:tr>
        <w:trPr>
          <w:trHeight w:val="183"/>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Equipment.....................................................</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218,844,000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206,193,000</w:t>
            </w:r>
          </w:p>
        </w:tc>
      </w:tr>
      <w:tr>
        <w:trPr>
          <w:trHeight w:val="183"/>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Property under capital lease..................................</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24,782,000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27,415,000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592,330,000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617,845,000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Less accumulated depreciation...............................</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265,059,000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248,540,000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327,271,000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369,305,000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Construction in progress........................................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4,372,000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23,683,000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331,643,000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392,988,000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Other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Excess of cost over fair value of net assets acquired.........</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38,762,000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136,206,000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income taxes.........................................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2,742,000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17,283,000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charges..............................................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1,527,000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11,466,000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28,429,000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33,186,000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71,460,000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198,141,000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521,492,000</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$748,051,000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LIABILITIES AND COMMON STOCKHOLDERS' EQUITY</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Current maturities of long-term debt............................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7,236,000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7,125,000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Accounts payable................................................</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37,185,000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52,855,000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Accrued liabilities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Compensation and related benefits.............................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20,208,000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20,470,000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2,442,000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5,513,000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32,294,000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47,180,000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Federal and state taxes.......................................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4,417,000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1,874,000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current liabilities.....................................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103,782,000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135,017,000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Noncurrent Liabilities..................................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71,956,000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78,248,000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Long-Term Debt..................................................</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85,125,000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237,086,000</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Common Stockholders' Equity</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Class A Common Stock, voting, $.01 par value; authorized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12,000,000 shares; issued and outstanding 1,090,527 shares in</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1994 and 1,090,527 in 1995....................................</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Class B Common Stock, limited voting, $.01 par value; authorized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50,000,000 shares; issued and outstanding 12,591,854 shares in</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1994 and 12,658,818 in 1995...................................</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126,000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127,000</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Class C Common Stock, voting, $.01 par value; authorized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1,200,000 shares; issued and outstanding 109,622 shares in</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1994 and 109,622 in 1995......................................</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Class D Common Stock, limited voting, $.01 par value; authorized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5,000,000 shares; issued and outstanding 22,769 shares in 1994</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and 20,503 in 1995............................................</w:t>
            </w:r>
          </w:p>
        </w:tc>
        <w:tc>
          <w:tcPr>
            <w:tcW w:w="24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ind w:left="100"/>
              <w:spacing w:after="0"/>
              <w:rPr>
                <w:sz w:val="20"/>
                <w:szCs w:val="20"/>
                <w:color w:val="auto"/>
              </w:rPr>
            </w:pPr>
            <w:r>
              <w:rPr>
                <w:rFonts w:ascii="Courier New" w:cs="Courier New" w:eastAsia="Courier New" w:hAnsi="Courier New"/>
                <w:sz w:val="16"/>
                <w:szCs w:val="16"/>
                <w:color w:val="auto"/>
              </w:rPr>
              <w:t>Capital in excess of par value, net of deferred compensation of</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$414,000 in 1994 and $941,000 in 1995.........................</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88,295,000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89,881,000</w:t>
            </w:r>
          </w:p>
        </w:tc>
      </w:tr>
      <w:tr>
        <w:trPr>
          <w:trHeight w:val="183"/>
        </w:trPr>
        <w:tc>
          <w:tcPr>
            <w:tcW w:w="6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Retained earnings...............................................</w:t>
            </w: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172,196,000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207,680,000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260,629,000</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297,700,000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521,492,000</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$748,051,000</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1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180" w:right="2879"/>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481" w:right="1440" w:bottom="21" w:gutter="0" w:footer="0" w:header="0"/>
        </w:sectPr>
      </w:pPr>
    </w:p>
    <w:bookmarkStart w:id="50" w:name="page51"/>
    <w:bookmarkEnd w:id="50"/>
    <w:p>
      <w:pPr>
        <w:jc w:val="center"/>
        <w:ind w:right="286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CONSOLIDATED STATEMENTS OF COMMON STOCKHOLDERS' EQUITY</w:t>
      </w:r>
    </w:p>
    <w:p>
      <w:pPr>
        <w:spacing w:after="0" w:line="2"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FOR THE YEARS ENDED DECEMBER 31, 1993, 1994 AND 1995</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CLASS</w:t>
            </w:r>
          </w:p>
        </w:tc>
        <w:tc>
          <w:tcPr>
            <w:tcW w:w="960" w:type="dxa"/>
            <w:vAlign w:val="bottom"/>
          </w:tcPr>
          <w:p>
            <w:pPr>
              <w:spacing w:after="0"/>
              <w:rPr>
                <w:sz w:val="15"/>
                <w:szCs w:val="15"/>
                <w:color w:val="auto"/>
              </w:rPr>
            </w:pP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CAPITAL IN</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CLASS A</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CLASS B</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C</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CLASS 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EXCESS OF</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RETAINED</w:t>
            </w:r>
          </w:p>
        </w:tc>
        <w:tc>
          <w:tcPr>
            <w:tcW w:w="1380" w:type="dxa"/>
            <w:vAlign w:val="bottom"/>
          </w:tcPr>
          <w:p>
            <w:pPr>
              <w:spacing w:after="0"/>
              <w:rPr>
                <w:sz w:val="15"/>
                <w:szCs w:val="15"/>
                <w:color w:val="auto"/>
              </w:rPr>
            </w:pPr>
          </w:p>
        </w:tc>
      </w:tr>
      <w:tr>
        <w:trPr>
          <w:trHeight w:val="183"/>
        </w:trPr>
        <w:tc>
          <w:tcPr>
            <w:tcW w:w="252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COMMON</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COMMON</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COMMON</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COMMON</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PAR VALUE</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EARNINGS</w:t>
            </w:r>
          </w:p>
        </w:tc>
        <w:tc>
          <w:tcPr>
            <w:tcW w:w="13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Balance January 1,</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$12,000</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$123,000</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$1,000</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$83,302,000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$119,465,000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$202,903,000</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Issued..................</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1,000</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518,000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519,000</w:t>
            </w:r>
          </w:p>
        </w:tc>
      </w:tr>
      <w:tr>
        <w:trPr>
          <w:trHeight w:val="183"/>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Converted...............</w:t>
            </w: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(1,000)</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1,000</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3"/>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Repurchased.............</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(3,000)</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(3,233,000)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(3,236,000)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Amortization of deferred</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333,000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333,000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Cancellation of stock</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grant....................</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(42,000)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24,011,000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24,011,000</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Balance January 1,</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11,000</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122,000</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1,000</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80,878,000</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143,476,000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224,488,000</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Issued..................</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9,000</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20,308,000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20,317,000</w:t>
            </w:r>
          </w:p>
        </w:tc>
      </w:tr>
      <w:tr>
        <w:trPr>
          <w:trHeight w:val="183"/>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Repurchased.............</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(5,000)</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(13,144,000)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(13,149,000)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Amortization of deferred</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277,000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277,000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Cancellation of stock</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grant....................</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(24,000)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28,720,000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28,720,000</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Balance January 1,</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11,000</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126,000</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1,000</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88,295,000</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172,196,000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260,629,000</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Issued..................</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1,000</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1,117,000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1,118,000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Amortization of deferred</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469,000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469,000</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35,484,000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35,484,000</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Balance December 31,</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$11,000</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$127,000</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$1,000</w:t>
            </w:r>
          </w:p>
        </w:tc>
        <w:tc>
          <w:tcPr>
            <w:tcW w:w="9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$89,881,000</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$207,680,000</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$297,700,000</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2520" w:type="dxa"/>
            <w:vAlign w:val="bottom"/>
          </w:tcPr>
          <w:p>
            <w:pPr>
              <w:spacing w:after="0"/>
              <w:rPr>
                <w:sz w:val="15"/>
                <w:szCs w:val="15"/>
                <w:color w:val="auto"/>
              </w:rPr>
            </w:pP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2"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6"/>
          <w:szCs w:val="16"/>
          <w:color w:val="auto"/>
        </w:rPr>
        <w:t>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480"/>
          </w:cols>
          <w:pgMar w:left="240" w:top="481" w:right="1179" w:bottom="1440" w:gutter="0" w:footer="0" w:header="0"/>
        </w:sectPr>
      </w:pPr>
    </w:p>
    <w:bookmarkStart w:id="51" w:name="page52"/>
    <w:bookmarkEnd w:id="51"/>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734"/>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8"/>
              </w:rPr>
              <w:t>1993</w:t>
            </w:r>
          </w:p>
        </w:tc>
        <w:tc>
          <w:tcPr>
            <w:tcW w:w="240" w:type="dxa"/>
            <w:vAlign w:val="bottom"/>
          </w:tcPr>
          <w:p>
            <w:pPr>
              <w:spacing w:after="0"/>
              <w:rPr>
                <w:sz w:val="24"/>
                <w:szCs w:val="24"/>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24"/>
                <w:szCs w:val="24"/>
                <w:color w:val="auto"/>
              </w:rPr>
            </w:pPr>
          </w:p>
        </w:tc>
        <w:tc>
          <w:tcPr>
            <w:tcW w:w="114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1995</w:t>
            </w:r>
          </w:p>
        </w:tc>
      </w:tr>
      <w:tr>
        <w:trPr>
          <w:trHeight w:val="183"/>
        </w:trPr>
        <w:tc>
          <w:tcPr>
            <w:tcW w:w="486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8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24,011,000</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$ 28,720,000</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$ 35,484,000</w:t>
            </w: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 net</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cash provided by operating activities: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39,599,000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42,383,000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51,371,000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Provision for self-insurance reserves ......</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20,755,000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10,810,000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14,291,000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Other non-cash charges......................</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8,828,000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9,763,000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11,610,000</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Changes in assets and liabilities, net of</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effects from acquisitions and dispositions: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Accounts receivable...........................</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12,928,000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(4,380,000)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(5,125,000)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Accrued interest..............................</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(412,000)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(805,000)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3,071,000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Accrued and deferred income taxes.............</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(8,990,000)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(9,944,000)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(20,826,000)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Other working capital accounts................</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4,858,000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1,710,000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10,944,000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Other assets and deferred charges.............</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(5,804,000)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(3,064,000)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(3,982,000)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1,002,000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3,390,000</w:t>
            </w: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Payments made in settlement of self-insurance</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claims..........................................</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(12,135,000)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(14,527,000)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(8,479,000)</w:t>
            </w:r>
          </w:p>
        </w:tc>
      </w:tr>
      <w:tr>
        <w:trPr>
          <w:trHeight w:val="183"/>
        </w:trPr>
        <w:tc>
          <w:tcPr>
            <w:tcW w:w="486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Net cash provided by operating activities.......</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84,640,000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60,624,000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91,749,000</w:t>
            </w:r>
          </w:p>
        </w:tc>
      </w:tr>
      <w:tr>
        <w:trPr>
          <w:trHeight w:val="183"/>
        </w:trPr>
        <w:tc>
          <w:tcPr>
            <w:tcW w:w="486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Property and equipment additions..............</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(47,319,000)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(43,998,000)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(60,734,000)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Disposition of assets.........................</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227,000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1,132,000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2,321,000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Acquisition of properties previously leased...</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(3,218,000)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(5,771,000)</w:t>
            </w:r>
          </w:p>
        </w:tc>
        <w:tc>
          <w:tcPr>
            <w:tcW w:w="240" w:type="dxa"/>
            <w:vAlign w:val="bottom"/>
          </w:tcPr>
          <w:p>
            <w:pPr>
              <w:spacing w:after="0"/>
              <w:rPr>
                <w:sz w:val="15"/>
                <w:szCs w:val="15"/>
                <w:color w:val="auto"/>
              </w:rPr>
            </w:pP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Acquisition of businesses.....................</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(11,526,000)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(16,794,000)</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(187,865,000)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Acquisition of assets held for lease..........</w:t>
            </w:r>
          </w:p>
        </w:tc>
        <w:tc>
          <w:tcPr>
            <w:tcW w:w="200" w:type="dxa"/>
            <w:vAlign w:val="bottom"/>
          </w:tcPr>
          <w:p>
            <w:pPr>
              <w:spacing w:after="0"/>
              <w:rPr>
                <w:sz w:val="15"/>
                <w:szCs w:val="15"/>
                <w:color w:val="auto"/>
              </w:rPr>
            </w:pPr>
          </w:p>
        </w:tc>
        <w:tc>
          <w:tcPr>
            <w:tcW w:w="12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(9,059,000)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(3,561,000)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Disposition of businesses.....................</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18,492,000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3,791,000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19,495,000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Other investments.............................</w:t>
            </w:r>
          </w:p>
        </w:tc>
        <w:tc>
          <w:tcPr>
            <w:tcW w:w="200" w:type="dxa"/>
            <w:vAlign w:val="bottom"/>
          </w:tcPr>
          <w:p>
            <w:pPr>
              <w:spacing w:after="0"/>
              <w:rPr>
                <w:sz w:val="15"/>
                <w:szCs w:val="15"/>
                <w:color w:val="auto"/>
              </w:rPr>
            </w:pPr>
          </w:p>
        </w:tc>
        <w:tc>
          <w:tcPr>
            <w:tcW w:w="1280" w:type="dxa"/>
            <w:vAlign w:val="bottom"/>
          </w:tcPr>
          <w:p>
            <w:pPr>
              <w:jc w:val="center"/>
              <w:ind w:right="461"/>
              <w:spacing w:after="0"/>
              <w:rPr>
                <w:sz w:val="20"/>
                <w:szCs w:val="20"/>
                <w:color w:val="auto"/>
              </w:rPr>
            </w:pPr>
            <w:r>
              <w:rPr>
                <w:rFonts w:ascii="Courier New" w:cs="Courier New" w:eastAsia="Courier New" w:hAnsi="Courier New"/>
                <w:sz w:val="16"/>
                <w:szCs w:val="16"/>
                <w:color w:val="auto"/>
                <w:w w:val="93"/>
              </w:rPr>
              <w:t>--</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(1,079,000)</w:t>
            </w:r>
          </w:p>
        </w:tc>
        <w:tc>
          <w:tcPr>
            <w:tcW w:w="240" w:type="dxa"/>
            <w:vAlign w:val="bottom"/>
          </w:tcPr>
          <w:p>
            <w:pPr>
              <w:spacing w:after="0"/>
              <w:rPr>
                <w:sz w:val="15"/>
                <w:szCs w:val="15"/>
                <w:color w:val="auto"/>
              </w:rPr>
            </w:pP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Net cash used in investing activities.........</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(43,344,000)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(71,778,000)</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(230,344,000)</w:t>
            </w:r>
          </w:p>
        </w:tc>
      </w:tr>
      <w:tr>
        <w:trPr>
          <w:trHeight w:val="183"/>
        </w:trPr>
        <w:tc>
          <w:tcPr>
            <w:tcW w:w="486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Additional borrowings, net of financing</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costs...........................................</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1,800,000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45,469,000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149,323,000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Reduction of long-term debt...................</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(46,496,000)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(21,981,000)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(12,009,000)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Issuance of common stock......................</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519,000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1,026,000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535,000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Repurchase of common shares...................</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(3,236,000)</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(13,149,000)</w:t>
            </w:r>
          </w:p>
        </w:tc>
        <w:tc>
          <w:tcPr>
            <w:tcW w:w="240" w:type="dxa"/>
            <w:vAlign w:val="bottom"/>
          </w:tcPr>
          <w:p>
            <w:pPr>
              <w:spacing w:after="0"/>
              <w:rPr>
                <w:sz w:val="15"/>
                <w:szCs w:val="15"/>
                <w:color w:val="auto"/>
              </w:rPr>
            </w:pPr>
          </w:p>
        </w:tc>
        <w:tc>
          <w:tcPr>
            <w:tcW w:w="114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(used in) financing</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activities......................................</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(47,413,000)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11,365,000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137,849,000</w:t>
            </w:r>
          </w:p>
        </w:tc>
      </w:tr>
      <w:tr>
        <w:trPr>
          <w:trHeight w:val="183"/>
        </w:trPr>
        <w:tc>
          <w:tcPr>
            <w:tcW w:w="486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Increase (Decrease) in Cash and Cash</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Equivalents.....................................</w:t>
            </w:r>
          </w:p>
        </w:tc>
        <w:tc>
          <w:tcPr>
            <w:tcW w:w="2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(6,117,000)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211,000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(746,000)</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Period..........................................</w:t>
            </w:r>
          </w:p>
        </w:tc>
        <w:tc>
          <w:tcPr>
            <w:tcW w:w="20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6,686,000</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569,000</w:t>
            </w:r>
          </w:p>
        </w:tc>
        <w:tc>
          <w:tcPr>
            <w:tcW w:w="24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780,000</w:t>
            </w:r>
          </w:p>
        </w:tc>
      </w:tr>
      <w:tr>
        <w:trPr>
          <w:trHeight w:val="183"/>
        </w:trPr>
        <w:tc>
          <w:tcPr>
            <w:tcW w:w="486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569,000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780,000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34,000</w:t>
            </w:r>
          </w:p>
        </w:tc>
      </w:tr>
      <w:tr>
        <w:trPr>
          <w:trHeight w:val="183"/>
        </w:trPr>
        <w:tc>
          <w:tcPr>
            <w:tcW w:w="486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Supplemental Disclosures of Cash Flow</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Information:</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Interest paid.................................</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9,057,000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7,080,000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8,124,000</w:t>
            </w:r>
          </w:p>
        </w:tc>
      </w:tr>
      <w:tr>
        <w:trPr>
          <w:trHeight w:val="183"/>
        </w:trPr>
        <w:tc>
          <w:tcPr>
            <w:tcW w:w="4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Income taxes paid, net of refunds.............</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19,901,000</w:t>
            </w: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$ 28,153,000</w:t>
            </w:r>
          </w:p>
        </w:tc>
        <w:tc>
          <w:tcPr>
            <w:tcW w:w="1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$ 38,331,000</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Supplemental Disclosures of Non-cash Investing</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and Financing Activities: See Notes 2 and 6</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372"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481" w:right="1440" w:bottom="1440" w:gutter="0" w:footer="0" w:header="0"/>
        </w:sectPr>
      </w:pPr>
    </w:p>
    <w:bookmarkStart w:id="52" w:name="page53"/>
    <w:bookmarkEnd w:id="52"/>
    <w:p>
      <w:pPr>
        <w:jc w:val="center"/>
        <w:ind w:right="2599"/>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SUMMARY OF SIGNIFICANT ACCOUNTING POLICIES</w:t>
      </w:r>
    </w:p>
    <w:p>
      <w:pPr>
        <w:spacing w:after="0" w:line="188"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The consolidated financial statements include the accounts of Universal Health Services, Inc. (the "Company") and its majority-owned subsidiaries and partnerships controlled by the Company as the managing general partner. All significant intercompany accounts and transactions have been eliminated. The more significant accounting policies follow:</w:t>
      </w:r>
    </w:p>
    <w:p>
      <w:pPr>
        <w:spacing w:after="0" w:line="190" w:lineRule="exact"/>
        <w:rPr>
          <w:sz w:val="20"/>
          <w:szCs w:val="20"/>
          <w:color w:val="auto"/>
        </w:rPr>
      </w:pPr>
    </w:p>
    <w:p>
      <w:pPr>
        <w:ind w:right="2679" w:firstLine="382"/>
        <w:spacing w:after="0" w:line="260" w:lineRule="auto"/>
        <w:rPr>
          <w:sz w:val="20"/>
          <w:szCs w:val="20"/>
          <w:color w:val="auto"/>
        </w:rPr>
      </w:pPr>
      <w:r>
        <w:rPr>
          <w:rFonts w:ascii="Courier New" w:cs="Courier New" w:eastAsia="Courier New" w:hAnsi="Courier New"/>
          <w:sz w:val="15"/>
          <w:szCs w:val="15"/>
          <w:color w:val="auto"/>
        </w:rPr>
        <w:t>NATURE OF OPERATIONS: The principal business of the Company is owning and operating acute care hospitals, behavioral health centers, ambulatory surgery centers and radiation oncology centers. At December 31, 1995, the Company operated 29 hospitals, consisting of 14 acute care hospitals and 15 behavioral health centers, in Arkansas, California, Florida, Georgia, Illinois, Louisiana, Massachusetts, Michigan, Missouri, Nevada, Pennsylvania, South Carolina, Texas and Washington. The Company, as part of its Ambulatory Treatment Centers Division owns outright, or in partnership with physicians, and operates or manages 25 surgery and radiation oncology centers located in 14 states.</w:t>
      </w:r>
    </w:p>
    <w:p>
      <w:pPr>
        <w:spacing w:after="0" w:line="17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Services provided by the Company's hospitals include general surgery, internal medicine, obstetrics, emergency room care, radiology, diagnostic care, coronary care, pediatric services and psychiatric services. The Company provides capital resources as well as a variety of management services to its facilities, including central purchasing, data processing, finance and control systems, facilities planning, physician recruitment services, administrative personnel management, marketing and public relations.</w:t>
      </w:r>
    </w:p>
    <w:p>
      <w:pPr>
        <w:spacing w:after="0" w:line="188" w:lineRule="exact"/>
        <w:rPr>
          <w:sz w:val="20"/>
          <w:szCs w:val="20"/>
          <w:color w:val="auto"/>
        </w:rPr>
      </w:pPr>
    </w:p>
    <w:p>
      <w:pPr>
        <w:ind w:right="2599" w:firstLine="382"/>
        <w:spacing w:after="0"/>
        <w:rPr>
          <w:sz w:val="20"/>
          <w:szCs w:val="20"/>
          <w:color w:val="auto"/>
        </w:rPr>
      </w:pPr>
      <w:r>
        <w:rPr>
          <w:rFonts w:ascii="Courier New" w:cs="Courier New" w:eastAsia="Courier New" w:hAnsi="Courier New"/>
          <w:sz w:val="16"/>
          <w:szCs w:val="16"/>
          <w:color w:val="auto"/>
        </w:rPr>
        <w:t>Net revenues from the Company's acute care hospitals, and ambulatory treatment centers accounted for 84%, 85% and 86% of consolidated net revenues in 1993, 1994 and 1995, respectively.</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NET REVENUES: Net revenues are reported at the estimated net realizable amounts from patients, third-party payors, and others for services rendered, including estimated retroactive adjustments under reimbursement agreements with third-party payors. These net revenues are accrued on an estimated basis in the period the related services are rendered and adjusted in future periods as final settlements are determined. Medicare and Medicaid net revenues represented 43%, 44% and 48% of net patient revenues for the years 1993, 1994 and 1995, respectively, excluding the additional revenues from special Medicaid reimbursement programs described in Note 11.</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PROPERTY AND EQUIPMENT: Property and equipment are stated at cost. Expenditures for renewals and improvements are charged to the property accounts. Replacements, maintenance and repairs which do not improve or extend the life of the respective asset are expensed as incurred. The Company removes the cost and the related accumulated depreciation from the accounts for assets sold or retired and the resulting gains or losses are included in the results of operations.</w:t>
      </w:r>
    </w:p>
    <w:p>
      <w:pPr>
        <w:spacing w:after="0" w:line="188" w:lineRule="exact"/>
        <w:rPr>
          <w:sz w:val="20"/>
          <w:szCs w:val="20"/>
          <w:color w:val="auto"/>
        </w:rPr>
      </w:pPr>
    </w:p>
    <w:p>
      <w:pPr>
        <w:ind w:right="2599" w:firstLine="382"/>
        <w:spacing w:after="0"/>
        <w:rPr>
          <w:sz w:val="20"/>
          <w:szCs w:val="20"/>
          <w:color w:val="auto"/>
        </w:rPr>
      </w:pPr>
      <w:r>
        <w:rPr>
          <w:rFonts w:ascii="Courier New" w:cs="Courier New" w:eastAsia="Courier New" w:hAnsi="Courier New"/>
          <w:sz w:val="16"/>
          <w:szCs w:val="16"/>
          <w:color w:val="auto"/>
        </w:rPr>
        <w:t>Depreciation is provided on the straightline method over the estimated useful lives of buildings and improvements (twenty to forty years) and equipment (five to fifteen years).</w:t>
      </w:r>
    </w:p>
    <w:p>
      <w:pPr>
        <w:spacing w:after="0" w:line="190"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OTHER ASSETS: The excess of cost over fair value of net assets acquired in purchase transactions, net of accumulated amortization of $52,261,000 in 1994 and $59,957,000 in 1995 is amortized using the straight-line method over periods ranging from five to forty years.</w:t>
      </w:r>
    </w:p>
    <w:p>
      <w:pPr>
        <w:spacing w:after="0" w:line="189"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During 1994, the Company established an employee life insurance program covering approximately 2,200 employees. At December 31, 1994 and 1995, the cash surrender value of the policies ($41.3 million and $34.3 million) were recorded net of related loans ($41.0 million and $34.4 million) and is included in other assets.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481" w:right="1440" w:bottom="1440" w:gutter="0" w:footer="0" w:header="0"/>
        </w:sectPr>
      </w:pPr>
    </w:p>
    <w:bookmarkStart w:id="53" w:name="page54"/>
    <w:bookmarkEnd w:id="53"/>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SUMMARY OF SIGNIFICANT ACCOUNTING POLICIES--(CONTINUED)</w:t>
      </w:r>
    </w:p>
    <w:p>
      <w:pPr>
        <w:spacing w:after="0" w:line="5" w:lineRule="exact"/>
        <w:rPr>
          <w:sz w:val="20"/>
          <w:szCs w:val="20"/>
          <w:color w:val="auto"/>
        </w:rPr>
      </w:pPr>
    </w:p>
    <w:p>
      <w:pPr>
        <w:ind w:right="2679" w:firstLine="382"/>
        <w:spacing w:after="0" w:line="265" w:lineRule="auto"/>
        <w:rPr>
          <w:sz w:val="20"/>
          <w:szCs w:val="20"/>
          <w:color w:val="auto"/>
        </w:rPr>
      </w:pPr>
      <w:r>
        <w:rPr>
          <w:rFonts w:ascii="Courier New" w:cs="Courier New" w:eastAsia="Courier New" w:hAnsi="Courier New"/>
          <w:sz w:val="15"/>
          <w:szCs w:val="15"/>
          <w:color w:val="auto"/>
        </w:rPr>
        <w:t>LONG-LIVED ASSETS: It is the Company's policy to review the carrying value of long-lived assets for impairment whenever events or changes in circumstances indicate that the carrying value of such assets may not be recoverable.</w:t>
      </w:r>
    </w:p>
    <w:p>
      <w:pPr>
        <w:spacing w:after="0" w:line="17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1995, the Company adopted the provisions of Statement of Financial Accounting Standards (SFAS) No. 121 "Accounting for the Impairment of Long-Lived Assets and for Long-Lived Assets to be Disposed of." The Statement requires the recognition of an impairment loss for an asset held for use when the estimate of undiscounted future cash flows expected to be generated by the asset is less than its carrying amount.</w:t>
      </w:r>
    </w:p>
    <w:p>
      <w:pPr>
        <w:spacing w:after="0" w:line="187"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Measurement of the impairment loss is based on fair value of the asset. Generally, fair value will be determined using valuation techniques such as the present value of expected future cash flows. See Note 9.</w:t>
      </w:r>
    </w:p>
    <w:p>
      <w:pPr>
        <w:spacing w:after="0" w:line="190"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INCOME TAXES: The Company and its subsidiaries file consolidated Federal tax returns. Deferred taxes are recognized for the amount of taxes payable or deductible in future years as a result of differences between the tax bases of assets and liabilities and their reported amounts in the financial statements.</w:t>
      </w:r>
    </w:p>
    <w:p>
      <w:pPr>
        <w:spacing w:after="0" w:line="189" w:lineRule="exact"/>
        <w:rPr>
          <w:sz w:val="20"/>
          <w:szCs w:val="20"/>
          <w:color w:val="auto"/>
        </w:rPr>
      </w:pPr>
    </w:p>
    <w:p>
      <w:pPr>
        <w:ind w:right="3159" w:firstLine="382"/>
        <w:spacing w:after="0" w:line="241" w:lineRule="auto"/>
        <w:rPr>
          <w:sz w:val="20"/>
          <w:szCs w:val="20"/>
          <w:color w:val="auto"/>
        </w:rPr>
      </w:pPr>
      <w:r>
        <w:rPr>
          <w:rFonts w:ascii="Courier New" w:cs="Courier New" w:eastAsia="Courier New" w:hAnsi="Courier New"/>
          <w:sz w:val="16"/>
          <w:szCs w:val="16"/>
          <w:color w:val="auto"/>
        </w:rPr>
        <w:t>OTHER NONCURRENT LIABILITIES: Other noncurrent liabilities include the long-term portion of the Company's professional and general liability and workers' compensation reserves and minority interests in majority owned subsidiaries and partnerships.</w:t>
      </w:r>
    </w:p>
    <w:p>
      <w:pPr>
        <w:spacing w:after="0" w:line="189"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EARNINGS PER COMMON AND COMMON SHARE EQUIVALENTS: Earnings per share are based on the weighted average number of common shares outstanding during the year adjusted to give effect to common stock equivalents. The 1993 and 1994 earnings per share have been adjusted to reflect the assumed conversion of the Company's convertible debentures. In April 1994, the Company redeemed the debentures which reduced the fully diluted number of shares outstanding by 902,466.</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STATEMENT OF CASH FLOWS: For purposes of the consolidated statements of cash flows, the Company considers all highly liquid investments purchased with maturities of three months or less to be cash equivalents. Interest expense in the consolidated statements of income is net of interest income of $498,000, $266,000 and $567,000 in 1993, 1994 and 1995, respectively.</w:t>
      </w:r>
    </w:p>
    <w:p>
      <w:pPr>
        <w:spacing w:after="0" w:line="190"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INTEREST RATE SWAP AGREEMENTS: In managing interest rate exposure, the Company at times enters into interest rate swap agreements. When interest rates change, the differential to be paid or received is accrued as interest expense and is recognized over the life of the agreements. Gains and losses on terminated interest rate swap agreements are amortized into income over the remaining life of the underlying debt obligation or the remaining life of the original swap, if shorter.</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FAIR VALUE OF FINANCIAL INSTRUMENTS: The fair value of the Company's registered debt, interest rate swap agreements and investments is based on quoted market prices. The carrying amounts reported in the balance sheet for cash, accrued liabilities, and short-term borrowings approximates fair value due to the short-term nature of these instruments. Accordingly, these items have been excluded from the fair value disclosures included elsewhere in these notes to consolidated financial statements.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USE OF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481" w:right="1440" w:bottom="1440" w:gutter="0" w:footer="0" w:header="0"/>
        </w:sectPr>
      </w:pPr>
    </w:p>
    <w:bookmarkStart w:id="54" w:name="page55"/>
    <w:bookmarkEnd w:id="54"/>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ACQUISITIONS AND DIVESTITURES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1995--During the second quarter, the Company acquired an 82-bed psychiatric hospital located in South Attleboro, Massachusetts for approximately $3 million. The Company also purchased for approximately $2 million, a majority interest in two separate partnerships which own and operate outpatient surgery centers located in Fayetteville, Arkansas and Somersworth, New Hampshire.</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the third quarter, the Company completed the acquisition of Aiken Regional Medical Centers, ("Aiken") a 225-bed acute care facility located in Aiken, South Carolina for approximately $44 million in cash, a 104-bed acute care hospital and a 126-bed acute care hospital. The majority of the real estate assets of the 126-bed facility were being leased from Universal Health Realty Income Trust (the "Trust") pursuant to the terms of an operating lease which was scheduled to expire in 2000. In exchange for the real estate assets of the 126-bed acute care hospital, the Company exchanged substitute properties consisting of additional real estate assets owned by the Company but related to three acute care facilities owned by the Trust and operated by the Company. As a result of the divestiture of the two acute care hospitals in connection with the acquisition of Aiken Regional Medical Centers, the Company recorded a $4.3 million and a $2.7 million pre-tax charge in the 1994 and 1995 consolidated statements of income, respectively.</w:t>
      </w:r>
    </w:p>
    <w:p>
      <w:pPr>
        <w:spacing w:after="0" w:line="192"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During the third quarter, the Company completed the acquisition of Manatee Memorial Hospital, ("Manatee") a 512-bed acute care hospital located in Bradenton, Florida for approximately $139 million in cash and assumption of net liabilities of approximately $4 million.</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the fourth quarter, the Company sold the operations and substantially all the assets of Universal Medical Center ("UMC"), a 202-bed acute care hospital located in Plantation, Florida for cash proceeds of approximately $20 million. The sale resulted in a pre-tax gain of approximately $5 million which has been included in nonrecurring charges in the 1995 consolidated statement of income.</w:t>
      </w:r>
    </w:p>
    <w:p>
      <w:pPr>
        <w:spacing w:after="0" w:line="187"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In September, 1995, the Company signed a letter of intent to acquire Northwest Texas Hospital, a 360-bed acute care facility located in Amarillo, Texas. The closing of this transaction, which is expected to be completed during the second quarter of 1996, is subject to a number of conditions. Cash consideration is expected to approximate $120 million in addition to payments by the Company to the Amarillo Hospital District of 15% of any amount of earnings before depreciation, interest and taxes in excess of $24 million in each year of the seven year period commencing April 1, 1996 and ending March 31, 2003. In addition under terms of the agreement, the Amarillo Hospital District will pay the Company $8 million per year for the first four years and $6 million per year (subject to certain adjustments for inflation) for up to an additional 36 years to help support the cost of medical service to indigent patients.</w:t>
      </w:r>
    </w:p>
    <w:p>
      <w:pPr>
        <w:spacing w:after="0" w:line="175"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Operating results of Aiken and Manatee have been included in the financial statements from their respective dates of acquisition. Assuming the Aiken and Manatee acquisitions had been completed as of January 1, 1995 the unaudited pro forma net revenues and net income would have been approximately $1 billion and $37.9 million, respectively. In addition, the unaudited pro forma earnings per share would have been $1.35. The unaudited pro forma financial information may not be indicative of results that would have been reported if the acquisitions had occurred at the beginning of 1995 and may not be indicative of future operating results.</w:t>
      </w:r>
    </w:p>
    <w:p>
      <w:pPr>
        <w:spacing w:after="0" w:line="189" w:lineRule="exact"/>
        <w:rPr>
          <w:sz w:val="20"/>
          <w:szCs w:val="20"/>
          <w:color w:val="auto"/>
        </w:rPr>
      </w:pPr>
    </w:p>
    <w:p>
      <w:pPr>
        <w:ind w:right="2779" w:firstLine="382"/>
        <w:spacing w:after="0"/>
        <w:rPr>
          <w:sz w:val="20"/>
          <w:szCs w:val="20"/>
          <w:color w:val="auto"/>
        </w:rPr>
      </w:pPr>
      <w:r>
        <w:rPr>
          <w:rFonts w:ascii="Courier New" w:cs="Courier New" w:eastAsia="Courier New" w:hAnsi="Courier New"/>
          <w:sz w:val="16"/>
          <w:szCs w:val="16"/>
          <w:color w:val="auto"/>
        </w:rPr>
        <w:t>The excess of cost over fair value of net assets acquired in the 1995 purchase transactions is amortized using the straight-line method over fifteen years.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481" w:right="1440" w:bottom="1440" w:gutter="0" w:footer="0" w:header="0"/>
        </w:sectPr>
      </w:pPr>
    </w:p>
    <w:bookmarkStart w:id="55" w:name="page56"/>
    <w:bookmarkEnd w:id="55"/>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ACQUISITIONS AND DIVESTITURES--(CONTINUED)</w:t>
      </w:r>
    </w:p>
    <w:p>
      <w:pPr>
        <w:spacing w:after="0" w:line="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1994--During 1994 the Company purchased majority interests in two separate partnerships which own and operate outpatient surgery facilities. One of these partnerships was merged with an existing partnership in which the Company held a majority ownership. The Company also agreed to manage the operations of, and purchased a majority interest in, these separate partnerships which lease fixed assets to four radiation therapy centers located in Kentucky. In addition, the Company purchased one radiation center and majority interests in two separate partnerships which own and operate radiation therapy centers. Total consideration for these acquisitions was $14.5 million in cash, and the assumption of liabilities totaling $3.0 million.</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November 1994, the Company acquired a 112-bed acute care hospital located in Edinburg, Texas for net cash of approximately $11.3 million and the assumption of liabilities totaling $2.2 million. In connection with this acquisition, the Company committed to invest at least an additional $30 million, over a ten year period, to renovate the existing facility and construct an additional facility. Approximately $2.2 million was spent on this project during 1995.</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Operating results of the hospital located in Edinburg have been included in the financial statements from the date of acquisition. Assuming the above Edinburg, Aiken and Manatee acquisitions had been completed as of January 1,</w:t>
      </w:r>
    </w:p>
    <w:p>
      <w:pPr>
        <w:spacing w:after="0" w:line="6"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1994 the unaudited pro forma net revenues and net income would have been $952 million and $32 million, respectively. In addition, the unaudited pro forma earnings per share would have been $1.13. The unaudited pro forma financial information may not be indicative of results that would have been reported if the acquisitions had occurred at the beginning of 1994 and may not be indicative of future operating results.</w:t>
      </w:r>
    </w:p>
    <w:p>
      <w:pPr>
        <w:spacing w:after="0" w:line="187"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1993--During 1993 the Company purchased a radiation therapy center and majority interests in four separate partnerships which own and operate ambulatory surgery facilities for $11.5 million in cash and the assumption of liabilities totaling $300,000.</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During the fourth quarter, the Company sold the operations and fixed assets of a 124-bed acute care hospital for approximately $7.8 million in cash. The Company also sold the operations and certain fixed assets of a 134-bed acute care hospital for cash of $1.5 million. Concurrently, the Company sold certain related real property to Universal Health Realty Income Trust (the "Trust"), an affiliate and the lessor of this 134-bed acute care hospital, for $1 million in cash and a note receivable of $900,000 (see Note 8). In connection with this transaction, the Company's lease with the Trust for this property was terminated. The disposition of these two facilities resulted in a pre-tax loss of $4.4 million ($2.2 million after tax), which is included in nonrecurring charges in the 1993 consolidated statement of income.</w:t>
      </w:r>
    </w:p>
    <w:p>
      <w:pPr>
        <w:spacing w:after="0" w:line="191"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Also during 1993, the Company recorded a pre-tax charge of $4.4 million related to the winding down or disposition of other non-strategic businesses which is included in nonrecurring charges in the 1993 consolidated statement of income.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481" w:right="1440" w:bottom="1440" w:gutter="0" w:footer="0" w:header="0"/>
        </w:sectPr>
      </w:pPr>
    </w:p>
    <w:bookmarkStart w:id="56" w:name="page57"/>
    <w:bookmarkEnd w:id="56"/>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LONG-TERM DEBT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A summary of long-term debt follows:</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734"/>
        </w:trPr>
        <w:tc>
          <w:tcPr>
            <w:tcW w:w="6140" w:type="dxa"/>
            <w:vAlign w:val="bottom"/>
          </w:tcPr>
          <w:p>
            <w:pPr>
              <w:spacing w:after="0"/>
              <w:rPr>
                <w:sz w:val="24"/>
                <w:szCs w:val="24"/>
                <w:color w:val="auto"/>
              </w:rPr>
            </w:pPr>
          </w:p>
        </w:tc>
        <w:tc>
          <w:tcPr>
            <w:tcW w:w="282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6140" w:type="dxa"/>
            <w:vAlign w:val="bottom"/>
          </w:tcPr>
          <w:p>
            <w:pPr>
              <w:spacing w:after="0"/>
              <w:rPr>
                <w:sz w:val="15"/>
                <w:szCs w:val="15"/>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1994</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1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Notes payable (including obligations under capitalized leases</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of $14,004,000 in 1994 and $14,220,000 in 1995) with</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varying maturities through 2001; weighted average interest</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at 6.9% in 1995 and 1994 (see Note 6 regarding capitalized</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leases)........................................................</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$ 19,442,000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$ 20,443,000</w:t>
            </w:r>
          </w:p>
        </w:tc>
      </w:tr>
      <w:tr>
        <w:trPr>
          <w:trHeight w:val="183"/>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Mortgages payable, interest at 6.0% to 9.0% with varying</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maturities through 2000........................................</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3,745,000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2,184,000</w:t>
            </w:r>
          </w:p>
        </w:tc>
      </w:tr>
      <w:tr>
        <w:trPr>
          <w:trHeight w:val="183"/>
        </w:trPr>
        <w:tc>
          <w:tcPr>
            <w:tcW w:w="6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Revolving credit and demand notes............................</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8,950,000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21,450,000</w:t>
            </w:r>
          </w:p>
        </w:tc>
      </w:tr>
      <w:tr>
        <w:trPr>
          <w:trHeight w:val="183"/>
        </w:trPr>
        <w:tc>
          <w:tcPr>
            <w:tcW w:w="6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Commercial paper.............................................</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38,500,000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48,000,000</w:t>
            </w:r>
          </w:p>
        </w:tc>
      </w:tr>
      <w:tr>
        <w:trPr>
          <w:trHeight w:val="183"/>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Revenue bonds:</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ind w:left="380"/>
              <w:spacing w:after="0"/>
              <w:rPr>
                <w:sz w:val="20"/>
                <w:szCs w:val="20"/>
                <w:color w:val="auto"/>
              </w:rPr>
            </w:pPr>
            <w:r>
              <w:rPr>
                <w:rFonts w:ascii="Courier New" w:cs="Courier New" w:eastAsia="Courier New" w:hAnsi="Courier New"/>
                <w:sz w:val="16"/>
                <w:szCs w:val="16"/>
                <w:color w:val="auto"/>
              </w:rPr>
              <w:t>interest at floating rates ranging from 5.0% to 5.2% at</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December 31, 1995 with varying maturities through 2015.........</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21,724,000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18,200,000</w:t>
            </w:r>
          </w:p>
        </w:tc>
      </w:tr>
      <w:tr>
        <w:trPr>
          <w:trHeight w:val="183"/>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8.75% Senior Notes due 2005, net of the unamortized discount</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of $1,066,000..............................................</w:t>
            </w:r>
          </w:p>
        </w:tc>
        <w:tc>
          <w:tcPr>
            <w:tcW w:w="14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133,934,000</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92,361,000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244,211,000</w:t>
            </w:r>
          </w:p>
        </w:tc>
      </w:tr>
      <w:tr>
        <w:trPr>
          <w:trHeight w:val="183"/>
        </w:trPr>
        <w:tc>
          <w:tcPr>
            <w:tcW w:w="6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Less-Amounts due within one year...........................</w:t>
            </w: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7,236,000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7,125,000</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$ 85,125,000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$237,086,000</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15"/>
                <w:szCs w:val="15"/>
                <w:color w:val="auto"/>
              </w:rPr>
            </w:pPr>
          </w:p>
        </w:tc>
        <w:tc>
          <w:tcPr>
            <w:tcW w:w="1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During the third quarter of 1995, the Company completed the issuance of $135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of Senior Notes which have an 8.75% coupon rate and which mature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15, 2005. The Notes can be redeemed in whole or in part, at any time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after August 15, 2000, initially at a price of 102.265%, declining ratably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 on or after August 15, 2002. The interest on the bonds will be paid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semiannually in arrears on February 15 and August 15 of each year. The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proceeds generated from the issuance were approximately $131 million and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used to finance the acquisitions described in Note 2. In anticipation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Note issuance, the Company entered into interest rate swaps having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notional principal amount of $100 million to hedge the interest rate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Notes. These interest rate swaps were terminated simultaneously with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 of the Notes at which time the Company paid a net termination fee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 million. The effective rate on the Notes including the amortization of swap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fees and bond discount is 9.2%.</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amended its unsecured non-amortizing revolving credit agreement in 1995. The amended agreement, which expires on March 31, 2000, provides for $225 million of borrowing capacity, subject to certain conditions, until March 31, 1998, $210 million until March 31, 1999 and $185 million until March 31, 2000. The agreement provides for interest, at the Company's option at the prime rate, certificate of deposit rate plus 5/8% to 1 1/8% or Euro-dollar plus 1/2% to 1%. A fee ranging from 1/8% to 3/8% is required on the unused portion of this commitment. The margins over the certificate of deposit, the Euro-dollar rates and the commitment fee are based upon specified leverage and coverage ratios. At December 31, 1995 the applicable margins over the certificate of deposit and the Euro-dollar rate were 7/8% and 3/4%, respectively, and the commitment fee was 1/4%. There are no compensating balance requirements. The agreement contains a provision whereby 50% of the net consideration, in excess of $25 million, from the disposition of assets will be applied to reduce commitments unless such net consideration is reinvested in newly acquired capital over a twelve month period. At December 31, 1995,</w:t>
      </w:r>
    </w:p>
    <w:p>
      <w:pPr>
        <w:spacing w:after="0" w:line="1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481" w:right="1440" w:bottom="1440" w:gutter="0" w:footer="0" w:header="0"/>
        </w:sectPr>
      </w:pPr>
    </w:p>
    <w:bookmarkStart w:id="57" w:name="page58"/>
    <w:bookmarkEnd w:id="57"/>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LONG-TERM DEBT--(CONTINUED)</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the Company had $207 million of unused borrowing capacity available under the revolving credit agreement.</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average amounts outstanding during 1993, 1994 and 1995 under the revolving credit and demand notes and commercial paper program were $25,069,000, $16,324,000 and $46,984,000, respectively with corresponding effective interest rates of 4.6%, 7.9% and 8.0% including commitment fees. The maximum amounts outstanding at any month-end were $46,800,000, $47,450,000 and $79,450,000 during 1993, 1994 and 1995, respectively.</w:t>
      </w:r>
    </w:p>
    <w:p>
      <w:pPr>
        <w:spacing w:after="0" w:line="18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Substantially all of the Company's accounts receivable are pledged as collateral to secure its $50 million, daily valued commercial paper program. The Company has sufficient patient receivables to support a larger program, and upon the mutual consent of the Company and the participating lending institutions, the commitment can be increased. A fee of .76% is required on this $50 million commitment. Outstanding amounts of commercial paper that can be refinanced through available borrowings under the Company's revolving credit agreement are classified as long-term.</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At December 31, 1995, the Company had one interest rate swap agreement with a notional principal amount of $10 million. This agreement calls for the payment of interest at a fixed rate by the Company in return for payment of a variable rate interest by a commercial bank. This swap effectively fixes the Company's interest rate on $10 million of its floating rate debt at 9.015%. The interest rate swap expires in March, 1996. The effective interest rate on the Company's revolving credit, demand notes and commercial paper program including the interest rate swap expense was 13.9%, 16.1% and 8.4% during 1993, 1994 and 1995, respectively. Additional interest expense recorded as a result of the Company's hedging activity was $3,160,000, $1,981,000 and $209,000 in 1993, 1994 and 1995, respectively. The Company is exposed to credit loss in the event of non-performance by the counterparty to the interest rate swap agreement. This counterparty is a major financial institution which is rated AA by Moody's Investors Service and the Company does not anticipate nonperformance. The cost to terminate the swap obligation at December 31, 1994 and 1995, was approximately $151,000 and $113,000, respectively.</w:t>
      </w:r>
    </w:p>
    <w:p>
      <w:pPr>
        <w:spacing w:after="0" w:line="194"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Covenants relating to long-term debt require maintenance of a minimum net worth, specified debt to total capital, debt to EBITDA and fixed charge coverage ratios. Covenants also limit the Company's ability to incur additional senior debt and to pay cash dividends and repurchase its shares and limit capital expenditures, among other restrictions. Management believes the Company is in compliance with all required covenants as of December 31, 1995.</w:t>
      </w:r>
    </w:p>
    <w:p>
      <w:pPr>
        <w:spacing w:after="0" w:line="187" w:lineRule="exact"/>
        <w:rPr>
          <w:sz w:val="20"/>
          <w:szCs w:val="20"/>
          <w:color w:val="auto"/>
        </w:rPr>
      </w:pPr>
    </w:p>
    <w:p>
      <w:pPr>
        <w:ind w:right="3059" w:firstLine="382"/>
        <w:spacing w:after="0" w:line="239" w:lineRule="auto"/>
        <w:rPr>
          <w:sz w:val="20"/>
          <w:szCs w:val="20"/>
          <w:color w:val="auto"/>
        </w:rPr>
      </w:pPr>
      <w:r>
        <w:rPr>
          <w:rFonts w:ascii="Courier New" w:cs="Courier New" w:eastAsia="Courier New" w:hAnsi="Courier New"/>
          <w:sz w:val="16"/>
          <w:szCs w:val="16"/>
          <w:color w:val="auto"/>
        </w:rPr>
        <w:t>The fair value of the Company's long-term debt at December 31, 1995 was approximately $247,302,000.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ind w:left="380"/>
              <w:spacing w:after="0"/>
              <w:rPr>
                <w:sz w:val="20"/>
                <w:szCs w:val="20"/>
                <w:color w:val="auto"/>
              </w:rPr>
            </w:pPr>
            <w:r>
              <w:rPr>
                <w:rFonts w:ascii="Courier New" w:cs="Courier New" w:eastAsia="Courier New" w:hAnsi="Courier New"/>
                <w:sz w:val="16"/>
                <w:szCs w:val="16"/>
                <w:color w:val="auto"/>
              </w:rPr>
              <w:t>Aggregate maturities follow:</w:t>
            </w:r>
          </w:p>
        </w:tc>
        <w:tc>
          <w:tcPr>
            <w:tcW w:w="3540" w:type="dxa"/>
            <w:vAlign w:val="bottom"/>
          </w:tcPr>
          <w:p>
            <w:pPr>
              <w:spacing w:after="0"/>
              <w:rPr>
                <w:sz w:val="15"/>
                <w:szCs w:val="15"/>
                <w:color w:val="auto"/>
              </w:rPr>
            </w:pPr>
          </w:p>
        </w:tc>
      </w:tr>
      <w:tr>
        <w:trPr>
          <w:trHeight w:val="367"/>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1996........................................................</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  7,125,000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1997........................................................</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6,300,000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1998........................................................</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3,838,000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1999........................................................</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2,644,000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2000........................................................</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72,143,000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Later.......................................................</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152,161,000</w:t>
            </w:r>
          </w:p>
        </w:tc>
      </w:tr>
      <w:tr>
        <w:trPr>
          <w:trHeight w:val="183"/>
        </w:trPr>
        <w:tc>
          <w:tcPr>
            <w:tcW w:w="3620" w:type="dxa"/>
            <w:vAlign w:val="bottom"/>
          </w:tcPr>
          <w:p>
            <w:pPr>
              <w:spacing w:after="0"/>
              <w:rPr>
                <w:sz w:val="15"/>
                <w:szCs w:val="15"/>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4"/>
                <w:szCs w:val="14"/>
                <w:color w:val="auto"/>
                <w:w w:val="71"/>
              </w:rPr>
              <w:t>Total.......................................................</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$244,211,000</w:t>
            </w:r>
          </w:p>
        </w:tc>
      </w:tr>
      <w:tr>
        <w:trPr>
          <w:trHeight w:val="183"/>
        </w:trPr>
        <w:tc>
          <w:tcPr>
            <w:tcW w:w="3620" w:type="dxa"/>
            <w:vAlign w:val="bottom"/>
          </w:tcPr>
          <w:p>
            <w:pPr>
              <w:spacing w:after="0"/>
              <w:rPr>
                <w:sz w:val="15"/>
                <w:szCs w:val="15"/>
                <w:color w:val="auto"/>
              </w:rPr>
            </w:pP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620" w:type="dxa"/>
            <w:vAlign w:val="bottom"/>
          </w:tcPr>
          <w:p>
            <w:pPr>
              <w:spacing w:after="0"/>
              <w:rPr>
                <w:sz w:val="24"/>
                <w:szCs w:val="24"/>
                <w:color w:val="auto"/>
              </w:rPr>
            </w:pPr>
          </w:p>
        </w:tc>
        <w:tc>
          <w:tcPr>
            <w:tcW w:w="3540" w:type="dxa"/>
            <w:vAlign w:val="bottom"/>
          </w:tcPr>
          <w:p>
            <w:pPr>
              <w:jc w:val="right"/>
              <w:ind w:right="3081"/>
              <w:spacing w:after="0"/>
              <w:rPr>
                <w:sz w:val="20"/>
                <w:szCs w:val="20"/>
                <w:color w:val="auto"/>
              </w:rPr>
            </w:pPr>
            <w:r>
              <w:rPr>
                <w:rFonts w:ascii="Courier New" w:cs="Courier New" w:eastAsia="Courier New" w:hAnsi="Courier New"/>
                <w:sz w:val="16"/>
                <w:szCs w:val="16"/>
                <w:color w:val="auto"/>
                <w:w w:val="93"/>
              </w:rPr>
              <w:t>F-12</w:t>
            </w:r>
          </w:p>
        </w:tc>
      </w:tr>
    </w:tbl>
    <w:p>
      <w:pPr>
        <w:sectPr>
          <w:pgSz w:w="11900" w:h="16838" w:orient="portrait"/>
          <w:cols w:equalWidth="0" w:num="1">
            <w:col w:w="10219"/>
          </w:cols>
          <w:pgMar w:left="240" w:top="481" w:right="1440" w:bottom="1440" w:gutter="0" w:footer="0" w:header="0"/>
        </w:sectPr>
      </w:pPr>
    </w:p>
    <w:bookmarkStart w:id="58" w:name="page59"/>
    <w:bookmarkEnd w:id="58"/>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COMMON STOCK</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1993 and 1994, the Company repurchased 449,600 and 1,019,600 shares of Class B Common Stock, respectively, at an average purchase price of $7.20 and $12.90 per share, respectively, or an aggregate of approximately $3.2 million and $13.2 million, respectively. All repurchases during 1994 were made subsequent to March 1, 1994. The Company's ability to repurchase its shares is limited by long-term debt covenants to $50 million plus 50% of cumulative net income since March, 1994. Under the terms of these covenants, the Company had the ability to repurchase an additional $79.4 million of its Common Stock as of December 31, 1995. The repurchased shares are treated as retired.</w:t>
      </w:r>
    </w:p>
    <w:p>
      <w:pPr>
        <w:spacing w:after="0" w:line="189"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At December 31, 1995 6,089,686 shares of Class B Common Stock were reserved for issuance upon conversion of shares of Class A, C and D Common Stock outstanding, for issuance upon exercise of options to purchase Class B Common Stock, and for issuance of stock under other incentive plans. Class A, C and D Common Stock are convertible on a share for share basis into Class B Common Stock.</w:t>
      </w:r>
    </w:p>
    <w:p>
      <w:pPr>
        <w:spacing w:after="0" w:line="187"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In 1994, the Company adopted a Stock Compensation Plan under which up to 100,000 Class B Common Shares may be granted to key employees, consultants and independent contractors, but not to officers or directors. The Plan will terminate on November 16, 2004, unless terminated sooner by the Board. In 1994, 3,600 shares were granted under this plan.</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Under the terms of the Stock Bonus Plan adopted in 1992, eligible employees may elect to receive all or part of their annual bonuses in shares of restricted stock (the "Bonus Shares"). Those electing to receive Bonus Shares also receive additional restricted shares in an amount equal to 20% of their Bonus Shares (the "Premium Shares"). Restrictions on one-half of the Bonus Shares and one-half of the Premium Shares lapse after one year and the restrictions on the remaining shares lapse after two years. The Company has reserved 300,000 shares of Class B Common Stock for this plan and has issued 145,316 shares at December 31, 1995.</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Under the terms of the Stock Ownership Plan, eligible employees may purchase shares of Class B Common Stock directly from the Company at the market price. The Company will loan each eligible employee an amount equal to 90% of the purchase price for the shares. The loans, which are partially recourse to the employee, bear interest at the applicable Federal rate and are due five years from the purchase date. Shares purchased under this plan are restricted from sale or transfer. Restrictions on one-half of the shares lapse after one year and restrictions on the remaining shares lapse after two years. The Company has reserved 200,000 shares of Class B Common Stock for this plan. As of December 31, 1995, 69,500 shares were sold under the terms of this plan.</w:t>
      </w:r>
    </w:p>
    <w:p>
      <w:pPr>
        <w:spacing w:after="0" w:line="190"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The Company also has a Restricted Stock Purchase Plan which allows eligible participants to purchase shares of Class B Common Stock at par value, subject to certain restrictions. Under the terms of this plan, 600,000 shares of Class B Common Stock have been reserved for purchase by officers, key employees and consultants. The restrictions lapse at various dates, as determined by the Board of Directors, ranging from six months to five years from the date of purchase. The Company has issued 369,026 shares under this plan, of which 90,000, 82,672 and 93,348 became fully vested during 1993, 1994, and 1995, respectively. Compensation expense, based on the difference between the market price on the date of purchase and par value, is being amortized over the restriction period and was $240,000 in 1993, $148,000 in 1994 and $415,000 in 1995.</w:t>
      </w:r>
    </w:p>
    <w:p>
      <w:pPr>
        <w:spacing w:after="0" w:line="176"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Effective January 1, 1996, the Company adopted a Stock Purchase Plan, subject to shareholder approval, which allows eligible employees to purchase shares of Class B Common Stock at a ten percent discount. The maximum number of shares of stock that can be issued under the plan is 800,000.</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481" w:right="1440" w:bottom="1440" w:gutter="0" w:footer="0" w:header="0"/>
        </w:sectPr>
      </w:pPr>
    </w:p>
    <w:bookmarkStart w:id="59" w:name="page60"/>
    <w:bookmarkEnd w:id="59"/>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COMMON STOCK--(CONTINUED)</w:t>
      </w:r>
    </w:p>
    <w:p>
      <w:pPr>
        <w:spacing w:after="0" w:line="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Stock options to purchase Class B Common Stock have been granted to officers, key employees and directors of the Company under various plans. During 1994 and 1995 the Board of Directors and shareholders, respectively, approved a 1,200,000 share increase in the reserve for Class B Common Stock available for grant, pursuant to the terms of the 1992 Stock Option Plan. Also during 1995, subject to shareholder approval, the Board of Directors approved a 1,000,000 share increase in the reserve for Class B Common Stock available for grant pursuant to the terms of the 1992 Stock Option Plan. All stock options were granted with an exercise price equal to the fair market value on the date of the grant. Options are exercisable ratably over a four year period beginning one year after the date of the grant. The options expire five years after the date of the grant.</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Information with respect to these options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AVERAGE</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NUMBER</w:t>
            </w:r>
          </w:p>
        </w:tc>
        <w:tc>
          <w:tcPr>
            <w:tcW w:w="10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OPTION</w:t>
            </w:r>
          </w:p>
        </w:tc>
      </w:tr>
      <w:tr>
        <w:trPr>
          <w:trHeight w:val="183"/>
        </w:trPr>
        <w:tc>
          <w:tcPr>
            <w:tcW w:w="5200" w:type="dxa"/>
            <w:vAlign w:val="bottom"/>
          </w:tcPr>
          <w:p>
            <w:pPr>
              <w:spacing w:after="0"/>
              <w:rPr>
                <w:sz w:val="20"/>
                <w:szCs w:val="20"/>
                <w:color w:val="auto"/>
              </w:rPr>
            </w:pPr>
            <w:r>
              <w:rPr>
                <w:rFonts w:ascii="Courier New" w:cs="Courier New" w:eastAsia="Courier New" w:hAnsi="Courier New"/>
                <w:sz w:val="16"/>
                <w:szCs w:val="16"/>
                <w:color w:val="auto"/>
              </w:rPr>
              <w:t>OUTSTANDING OPTIONS</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OF SHARES</w:t>
            </w:r>
          </w:p>
        </w:tc>
        <w:tc>
          <w:tcPr>
            <w:tcW w:w="2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PRICE</w:t>
            </w:r>
          </w:p>
        </w:tc>
      </w:tr>
      <w:tr>
        <w:trPr>
          <w:trHeight w:val="183"/>
        </w:trPr>
        <w:tc>
          <w:tcPr>
            <w:tcW w:w="5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Balance, January 1, 1993.............................</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400,350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5.70</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Granted............................................</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14,800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7.44</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Exercised..........................................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(80,476)</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3.61</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Cancelled..........................................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(6,000)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6.25</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Balance, January 1, 1994.............................</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328,674</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6.27</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Granted............................................</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1,121,500</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$ 11.03</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Exercised..........................................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(31,976)</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5.49</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Cancelled..........................................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(11,000)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8.32</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Balance, January 1, 1995.............................</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1,407,198</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$ 10.06</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Granted............................................</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621,000</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$ 16.48</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Exercised..........................................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(48,926)</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8.06</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Cancelled..........................................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(9,750)</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9.25</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2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Balance, December 31, 1995...........................</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1,969,522</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$ 12.13</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20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jc w:val="both"/>
        <w:ind w:right="2779" w:firstLine="382"/>
        <w:spacing w:after="0" w:line="265" w:lineRule="auto"/>
        <w:rPr>
          <w:sz w:val="20"/>
          <w:szCs w:val="20"/>
          <w:color w:val="auto"/>
        </w:rPr>
      </w:pPr>
      <w:r>
        <w:rPr>
          <w:rFonts w:ascii="Courier New" w:cs="Courier New" w:eastAsia="Courier New" w:hAnsi="Courier New"/>
          <w:sz w:val="15"/>
          <w:szCs w:val="15"/>
          <w:color w:val="auto"/>
        </w:rPr>
        <w:t>At December 31, 1995, 994,450 shares were available for grant. At December 31, 1995, options for 444,250 shares of Class B Common Stock with an aggregate purchase price of $4,023,852 (average of $9.06 per share) were exercisable.</w:t>
      </w:r>
    </w:p>
    <w:p>
      <w:pPr>
        <w:spacing w:after="0" w:line="17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October 1995, the Financial Accounting Standards Board issued Statement No. 123, "Accounting for Stock-Based Compensation." The Statement encourages a fair value based method of accounting for employee stock options and similar equity instruments, which generally would result in the recording of additional compensation expense in an entity's financial statements. The Statement also allows an entity to continue to account for stock-based employee using the intrinsic value based method in APB Opinion No. 25. The Company intends to continue its accounting for equity instruments using APB No. 25. As a result, beginning in 1996, the Company will be required to make pro forma disclosures of net income and earnings per share as if the fair value based method of accounting had been applied.</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481" w:right="1440" w:bottom="1440" w:gutter="0" w:footer="0" w:header="0"/>
        </w:sectPr>
      </w:pPr>
    </w:p>
    <w:bookmarkStart w:id="60" w:name="page61"/>
    <w:bookmarkEnd w:id="60"/>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INCOME TAXES</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Components of income tax expense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4140" w:type="dxa"/>
            <w:vAlign w:val="bottom"/>
            <w:gridSpan w:val="3"/>
          </w:tcPr>
          <w:p>
            <w:pPr>
              <w:jc w:val="right"/>
              <w:ind w:right="961"/>
              <w:spacing w:after="0"/>
              <w:rPr>
                <w:sz w:val="20"/>
                <w:szCs w:val="20"/>
                <w:color w:val="auto"/>
              </w:rPr>
            </w:pPr>
            <w:r>
              <w:rPr>
                <w:rFonts w:ascii="Courier New" w:cs="Courier New" w:eastAsia="Courier New" w:hAnsi="Courier New"/>
                <w:sz w:val="16"/>
                <w:szCs w:val="16"/>
                <w:color w:val="auto"/>
              </w:rPr>
              <w:t>YEAR ENDED DECEMBER 31</w:t>
            </w:r>
          </w:p>
        </w:tc>
      </w:tr>
      <w:tr>
        <w:trPr>
          <w:trHeight w:val="183"/>
        </w:trPr>
        <w:tc>
          <w:tcPr>
            <w:tcW w:w="3480" w:type="dxa"/>
            <w:vAlign w:val="bottom"/>
          </w:tcPr>
          <w:p>
            <w:pPr>
              <w:spacing w:after="0"/>
              <w:rPr>
                <w:sz w:val="15"/>
                <w:szCs w:val="15"/>
                <w:color w:val="auto"/>
              </w:rPr>
            </w:pPr>
          </w:p>
        </w:tc>
        <w:tc>
          <w:tcPr>
            <w:tcW w:w="414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1993</w:t>
            </w:r>
          </w:p>
        </w:tc>
        <w:tc>
          <w:tcPr>
            <w:tcW w:w="14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1994</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Currently payable</w:t>
            </w: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rPr>
              <w:t>Federal..........................</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$17,315,000</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$27,014,000</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$33,659,000</w:t>
            </w:r>
          </w:p>
        </w:tc>
      </w:tr>
      <w:tr>
        <w:trPr>
          <w:trHeight w:val="183"/>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rPr>
              <w:t>State............................</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1,136,000</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3,009,000</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4,434,000</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18,451,000</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30,023,000</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38,093,000</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rPr>
              <w:t>Federal..........................</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(6,482,000)</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(10,412,000)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(17,912,000)</w:t>
            </w:r>
          </w:p>
        </w:tc>
      </w:tr>
      <w:tr>
        <w:trPr>
          <w:trHeight w:val="183"/>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rPr>
              <w:t>State............................</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(884,000)</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(1,402,000)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(2,676,000)</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(7,366,000)</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(11,814,000)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(20,588,000)</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ind w:left="180"/>
              <w:spacing w:after="0"/>
              <w:rPr>
                <w:sz w:val="20"/>
                <w:szCs w:val="20"/>
                <w:color w:val="auto"/>
              </w:rPr>
            </w:pPr>
            <w:r>
              <w:rPr>
                <w:rFonts w:ascii="Courier New" w:cs="Courier New" w:eastAsia="Courier New" w:hAnsi="Courier New"/>
                <w:sz w:val="16"/>
                <w:szCs w:val="16"/>
                <w:color w:val="auto"/>
              </w:rPr>
              <w:t>Total............................</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$11,085,000</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$18,209,000</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$17,505,000</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779" w:firstLine="382"/>
        <w:spacing w:after="0" w:line="259" w:lineRule="auto"/>
        <w:rPr>
          <w:sz w:val="20"/>
          <w:szCs w:val="20"/>
          <w:color w:val="auto"/>
        </w:rPr>
      </w:pPr>
      <w:r>
        <w:rPr>
          <w:rFonts w:ascii="Courier New" w:cs="Courier New" w:eastAsia="Courier New" w:hAnsi="Courier New"/>
          <w:sz w:val="15"/>
          <w:szCs w:val="15"/>
          <w:color w:val="auto"/>
        </w:rPr>
        <w:t>The Company accounts for income taxes under the provisions of Statement of Financial Accounting Standards No. 109, "Accounting for Income Taxes," (SFAS</w:t>
      </w:r>
    </w:p>
    <w:p>
      <w:pPr>
        <w:ind w:right="2599"/>
        <w:spacing w:after="0" w:line="241" w:lineRule="auto"/>
        <w:rPr>
          <w:sz w:val="20"/>
          <w:szCs w:val="20"/>
          <w:color w:val="auto"/>
        </w:rPr>
      </w:pPr>
      <w:r>
        <w:rPr>
          <w:rFonts w:ascii="Courier New" w:cs="Courier New" w:eastAsia="Courier New" w:hAnsi="Courier New"/>
          <w:sz w:val="16"/>
          <w:szCs w:val="16"/>
          <w:color w:val="auto"/>
        </w:rPr>
        <w:t>109). Under SFAS 109, deferred taxes are required to be classified based on the financial statement classification of the related assets and liabilities which give rise to temporary differences. The net effect of the impact of the 1993 tax law changes on the current and deferred tax provisions was immaterial.</w:t>
      </w:r>
    </w:p>
    <w:p>
      <w:pPr>
        <w:spacing w:after="0" w:line="189" w:lineRule="exact"/>
        <w:rPr>
          <w:sz w:val="20"/>
          <w:szCs w:val="20"/>
          <w:color w:val="auto"/>
        </w:rPr>
      </w:pPr>
    </w:p>
    <w:p>
      <w:pPr>
        <w:jc w:val="both"/>
        <w:ind w:right="3059" w:firstLine="382"/>
        <w:spacing w:after="0"/>
        <w:rPr>
          <w:sz w:val="20"/>
          <w:szCs w:val="20"/>
          <w:color w:val="auto"/>
        </w:rPr>
      </w:pPr>
      <w:r>
        <w:rPr>
          <w:rFonts w:ascii="Courier New" w:cs="Courier New" w:eastAsia="Courier New" w:hAnsi="Courier New"/>
          <w:sz w:val="16"/>
          <w:szCs w:val="16"/>
          <w:color w:val="auto"/>
        </w:rPr>
        <w:t>Deferred taxes result from temporary differences between the financial statement carrying amounts and the tax bases of assets and liabilities. The components of deferred taxes are as follows: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27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YEAR ENDED DECEMBER 31</w:t>
            </w:r>
          </w:p>
        </w:tc>
      </w:tr>
      <w:tr>
        <w:trPr>
          <w:trHeight w:val="183"/>
        </w:trPr>
        <w:tc>
          <w:tcPr>
            <w:tcW w:w="4720" w:type="dxa"/>
            <w:vAlign w:val="bottom"/>
          </w:tcPr>
          <w:p>
            <w:pPr>
              <w:spacing w:after="0"/>
              <w:rPr>
                <w:sz w:val="15"/>
                <w:szCs w:val="15"/>
                <w:color w:val="auto"/>
              </w:rPr>
            </w:pPr>
          </w:p>
        </w:tc>
        <w:tc>
          <w:tcPr>
            <w:tcW w:w="2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3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Self-insurance reserves.........................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$28,944,000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$30,401,000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Doubtful accounts and other reserves............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9,921,000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14,185,000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State income taxes..............................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Other deferred tax assets.......................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382,000</w:t>
            </w:r>
          </w:p>
        </w:tc>
        <w:tc>
          <w:tcPr>
            <w:tcW w:w="13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Depreciable and amortizable assets..............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(17,319,000)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(4,466,000)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Conversion from cash basis to accrual basis of</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accounting......................................</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(5,017,000)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(2,509,000)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Other deferred tax liabilities..................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(1,101,000)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(1,412,000)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Total deferred taxes............................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$15,684,000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$36,272,000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879" w:firstLine="382"/>
        <w:spacing w:after="0" w:line="239" w:lineRule="auto"/>
        <w:rPr>
          <w:sz w:val="20"/>
          <w:szCs w:val="20"/>
          <w:color w:val="auto"/>
        </w:rPr>
      </w:pPr>
      <w:r>
        <w:rPr>
          <w:rFonts w:ascii="Courier New" w:cs="Courier New" w:eastAsia="Courier New" w:hAnsi="Courier New"/>
          <w:sz w:val="16"/>
          <w:szCs w:val="16"/>
          <w:color w:val="auto"/>
        </w:rPr>
        <w:t>A reconciliation between the Federal statutory rate and the effective tax rate is a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2640" w:type="dxa"/>
            <w:vAlign w:val="bottom"/>
            <w:gridSpan w:val="3"/>
          </w:tcPr>
          <w:p>
            <w:pPr>
              <w:jc w:val="right"/>
              <w:ind w:right="121"/>
              <w:spacing w:after="0"/>
              <w:rPr>
                <w:sz w:val="20"/>
                <w:szCs w:val="20"/>
                <w:color w:val="auto"/>
              </w:rPr>
            </w:pPr>
            <w:r>
              <w:rPr>
                <w:rFonts w:ascii="Courier New" w:cs="Courier New" w:eastAsia="Courier New" w:hAnsi="Courier New"/>
                <w:sz w:val="16"/>
                <w:szCs w:val="16"/>
                <w:color w:val="auto"/>
              </w:rPr>
              <w:t>YEAR ENDED DECEMBER 31</w:t>
            </w:r>
          </w:p>
        </w:tc>
      </w:tr>
      <w:tr>
        <w:trPr>
          <w:trHeight w:val="183"/>
        </w:trPr>
        <w:tc>
          <w:tcPr>
            <w:tcW w:w="4900" w:type="dxa"/>
            <w:vAlign w:val="bottom"/>
          </w:tcPr>
          <w:p>
            <w:pPr>
              <w:spacing w:after="0"/>
              <w:rPr>
                <w:sz w:val="15"/>
                <w:szCs w:val="15"/>
                <w:color w:val="auto"/>
              </w:rPr>
            </w:pPr>
          </w:p>
        </w:tc>
        <w:tc>
          <w:tcPr>
            <w:tcW w:w="26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1994</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90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Federal statutory rate...........................</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Nondeductible (deductible) depreciation,</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amortization and other...........................</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State taxes, net of Federal income tax benefit...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0.5</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r>
      <w:tr>
        <w:trPr>
          <w:trHeight w:val="183"/>
        </w:trPr>
        <w:tc>
          <w:tcPr>
            <w:tcW w:w="490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Effective tax rate...............................</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31.6%</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33.0%</w:t>
            </w:r>
          </w:p>
        </w:tc>
      </w:tr>
      <w:tr>
        <w:trPr>
          <w:trHeight w:val="183"/>
        </w:trPr>
        <w:tc>
          <w:tcPr>
            <w:tcW w:w="490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ind w:left="3620"/>
              <w:spacing w:after="0"/>
              <w:rPr>
                <w:sz w:val="20"/>
                <w:szCs w:val="20"/>
                <w:color w:val="auto"/>
              </w:rPr>
            </w:pPr>
            <w:r>
              <w:rPr>
                <w:rFonts w:ascii="Courier New" w:cs="Courier New" w:eastAsia="Courier New" w:hAnsi="Courier New"/>
                <w:sz w:val="16"/>
                <w:szCs w:val="16"/>
                <w:color w:val="auto"/>
              </w:rPr>
              <w:t>F-15</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ectPr>
          <w:pgSz w:w="11900" w:h="16838" w:orient="portrait"/>
          <w:cols w:equalWidth="0" w:num="1">
            <w:col w:w="10219"/>
          </w:cols>
          <w:pgMar w:left="240" w:top="481" w:right="1440" w:bottom="1440" w:gutter="0" w:footer="0" w:header="0"/>
        </w:sectPr>
      </w:pPr>
    </w:p>
    <w:bookmarkStart w:id="61" w:name="page62"/>
    <w:bookmarkEnd w:id="61"/>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INCOME TAXES--(CONTINUED)</w:t>
      </w:r>
    </w:p>
    <w:p>
      <w:pPr>
        <w:spacing w:after="0" w:line="5" w:lineRule="exact"/>
        <w:rPr>
          <w:sz w:val="20"/>
          <w:szCs w:val="20"/>
          <w:color w:val="auto"/>
        </w:rPr>
      </w:pPr>
    </w:p>
    <w:p>
      <w:pPr>
        <w:ind w:right="2599" w:firstLine="382"/>
        <w:spacing w:after="0"/>
        <w:rPr>
          <w:sz w:val="20"/>
          <w:szCs w:val="20"/>
          <w:color w:val="auto"/>
        </w:rPr>
      </w:pPr>
      <w:r>
        <w:rPr>
          <w:rFonts w:ascii="Courier New" w:cs="Courier New" w:eastAsia="Courier New" w:hAnsi="Courier New"/>
          <w:sz w:val="16"/>
          <w:szCs w:val="16"/>
          <w:color w:val="auto"/>
        </w:rPr>
        <w:t>In 1995 and 1994, the Company reviewed its deferred state tax balances and as a result reduced its tax provision by $390,000 in each year. The net deferred tax assets and liabilities are comprised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27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YEAR ENDED DECEMBER 31</w:t>
            </w:r>
          </w:p>
        </w:tc>
      </w:tr>
      <w:tr>
        <w:trPr>
          <w:trHeight w:val="183"/>
        </w:trPr>
        <w:tc>
          <w:tcPr>
            <w:tcW w:w="4720" w:type="dxa"/>
            <w:vAlign w:val="bottom"/>
          </w:tcPr>
          <w:p>
            <w:pPr>
              <w:spacing w:after="0"/>
              <w:rPr>
                <w:sz w:val="15"/>
                <w:szCs w:val="15"/>
                <w:color w:val="auto"/>
              </w:rPr>
            </w:pPr>
          </w:p>
        </w:tc>
        <w:tc>
          <w:tcPr>
            <w:tcW w:w="2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3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Current deferred taxes</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Assets........................................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$16,622,000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$22,910,000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Liabilities...................................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(3,680,000)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(3,921,000)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deferred taxes-current..................</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12,942,000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18,989,000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Noncurrent deferred taxes</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Assets........................................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22,625,000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21,749,000</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Liabilities...................................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(19,883,000)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(4,466,000)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deferred taxes-noncurrent...............</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2,742,000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17,283,000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Total deferred taxes............................</w:t>
            </w: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$15,684,000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$36,272,000</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4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assets and liabilities classified as current relate primarily to the allowance for uncollectible patient accounts and the current portion of the temporary differences related to self-insurance reserves and the change in accounting method. Under SFAS 109, a valuation allowance is required when it is more likely than not that some portion of the deferred tax assets will not be realized. Realization is dependent on generating sufficient future taxable income. Although realization in not assured, management believes it is more likely than not that all the deferred tax assets will be realized. Accordingly, the Company has not provided a valuation allowance. The amount of the deferred tax asset considered realizable, however, could be reduced if estimates of future taxable income during the carryforward period are reduced.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LEASE COMMITMENTS</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Certain of the Company's hospital and medical office facilities and equipment are held under operating or capital leases which expire through 2013 (see Note 8). Certain of these leases also contain provisions allowing the Company to purchase the leased assets during the term or at the expiration of the lease at fair market value. A summary of property under capital lease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37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3620" w:type="dxa"/>
            <w:vAlign w:val="bottom"/>
          </w:tcPr>
          <w:p>
            <w:pPr>
              <w:spacing w:after="0"/>
              <w:rPr>
                <w:sz w:val="15"/>
                <w:szCs w:val="15"/>
                <w:color w:val="auto"/>
              </w:rPr>
            </w:pPr>
          </w:p>
        </w:tc>
        <w:tc>
          <w:tcPr>
            <w:tcW w:w="3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1994</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w w:val="78"/>
              </w:rPr>
              <w:t>Land, buildings and equipment...................</w:t>
            </w: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$24,782,000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$27,415,000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w w:val="78"/>
              </w:rPr>
              <w:t>Less: accumulated amortization..................</w:t>
            </w: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10,426,000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12,867,000</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$14,356,000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$14,548,000</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620" w:type="dxa"/>
            <w:vAlign w:val="bottom"/>
          </w:tcPr>
          <w:p>
            <w:pPr>
              <w:spacing w:after="0"/>
              <w:rPr>
                <w:sz w:val="24"/>
                <w:szCs w:val="24"/>
                <w:color w:val="auto"/>
              </w:rPr>
            </w:pPr>
          </w:p>
        </w:tc>
        <w:tc>
          <w:tcPr>
            <w:tcW w:w="2480" w:type="dxa"/>
            <w:vAlign w:val="bottom"/>
          </w:tcPr>
          <w:p>
            <w:pPr>
              <w:jc w:val="right"/>
              <w:ind w:right="2021"/>
              <w:spacing w:after="0"/>
              <w:rPr>
                <w:sz w:val="20"/>
                <w:szCs w:val="20"/>
                <w:color w:val="auto"/>
              </w:rPr>
            </w:pPr>
            <w:r>
              <w:rPr>
                <w:rFonts w:ascii="Courier New" w:cs="Courier New" w:eastAsia="Courier New" w:hAnsi="Courier New"/>
                <w:sz w:val="16"/>
                <w:szCs w:val="16"/>
                <w:color w:val="auto"/>
                <w:w w:val="93"/>
              </w:rPr>
              <w:t>F-16</w:t>
            </w:r>
          </w:p>
        </w:tc>
        <w:tc>
          <w:tcPr>
            <w:tcW w:w="124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62" w:name="page63"/>
    <w:bookmarkEnd w:id="62"/>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LEASE COMMITMENTS--(CONTINUED)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Future minimum rental payments under lease commitments with a term of more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gridSpan w:val="2"/>
          </w:tcPr>
          <w:p>
            <w:pPr>
              <w:spacing w:after="0"/>
              <w:rPr>
                <w:sz w:val="20"/>
                <w:szCs w:val="20"/>
                <w:color w:val="auto"/>
              </w:rPr>
            </w:pPr>
            <w:r>
              <w:rPr>
                <w:rFonts w:ascii="Courier New" w:cs="Courier New" w:eastAsia="Courier New" w:hAnsi="Courier New"/>
                <w:sz w:val="16"/>
                <w:szCs w:val="16"/>
                <w:color w:val="auto"/>
              </w:rPr>
              <w:t>than one year as of December 31, 1995, are as follows:</w:t>
            </w:r>
          </w:p>
        </w:tc>
        <w:tc>
          <w:tcPr>
            <w:tcW w:w="1440" w:type="dxa"/>
            <w:vAlign w:val="bottom"/>
          </w:tcPr>
          <w:p>
            <w:pPr>
              <w:spacing w:after="0"/>
              <w:rPr>
                <w:sz w:val="15"/>
                <w:szCs w:val="15"/>
                <w:color w:val="auto"/>
              </w:rPr>
            </w:pPr>
          </w:p>
        </w:tc>
      </w:tr>
      <w:tr>
        <w:trPr>
          <w:trHeight w:val="367"/>
        </w:trPr>
        <w:tc>
          <w:tcPr>
            <w:tcW w:w="462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CAPITAL</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OPERATING</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LEASES</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LEASES</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$ 5,931,000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$ 26,004,000</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4,852,000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21,555,000</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2,697,000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19,270,000</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1,543,000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17,984,000</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858,000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14,485,000</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Later Years....................................</w:t>
            </w:r>
          </w:p>
        </w:tc>
        <w:tc>
          <w:tcPr>
            <w:tcW w:w="14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20,679,000</w:t>
            </w:r>
          </w:p>
        </w:tc>
      </w:tr>
      <w:tr>
        <w:trPr>
          <w:trHeight w:val="183"/>
        </w:trPr>
        <w:tc>
          <w:tcPr>
            <w:tcW w:w="462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Total minimum rental...........................</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$15,881,000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$119,977,000</w:t>
            </w: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Less: Amount representing interest.............</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1,661,000</w:t>
            </w:r>
          </w:p>
        </w:tc>
        <w:tc>
          <w:tcPr>
            <w:tcW w:w="1440" w:type="dxa"/>
            <w:vAlign w:val="bottom"/>
          </w:tcPr>
          <w:p>
            <w:pPr>
              <w:spacing w:after="0"/>
              <w:rPr>
                <w:sz w:val="15"/>
                <w:szCs w:val="15"/>
                <w:color w:val="auto"/>
              </w:rPr>
            </w:pPr>
          </w:p>
        </w:tc>
      </w:tr>
      <w:tr>
        <w:trPr>
          <w:trHeight w:val="183"/>
        </w:trPr>
        <w:tc>
          <w:tcPr>
            <w:tcW w:w="462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Present value of minimum rental commitments....</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14,220,000</w:t>
            </w:r>
          </w:p>
        </w:tc>
        <w:tc>
          <w:tcPr>
            <w:tcW w:w="1440" w:type="dxa"/>
            <w:vAlign w:val="bottom"/>
          </w:tcPr>
          <w:p>
            <w:pPr>
              <w:spacing w:after="0"/>
              <w:rPr>
                <w:sz w:val="15"/>
                <w:szCs w:val="15"/>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Less: Current portion of capital lease</w:t>
            </w:r>
          </w:p>
        </w:tc>
        <w:tc>
          <w:tcPr>
            <w:tcW w:w="14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obligations....................................</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5,117,000</w:t>
            </w:r>
          </w:p>
        </w:tc>
        <w:tc>
          <w:tcPr>
            <w:tcW w:w="1440" w:type="dxa"/>
            <w:vAlign w:val="bottom"/>
          </w:tcPr>
          <w:p>
            <w:pPr>
              <w:spacing w:after="0"/>
              <w:rPr>
                <w:sz w:val="15"/>
                <w:szCs w:val="15"/>
                <w:color w:val="auto"/>
              </w:rPr>
            </w:pPr>
          </w:p>
        </w:tc>
      </w:tr>
      <w:tr>
        <w:trPr>
          <w:trHeight w:val="183"/>
        </w:trPr>
        <w:tc>
          <w:tcPr>
            <w:tcW w:w="462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Long-term portion of capital lease</w:t>
            </w:r>
          </w:p>
        </w:tc>
        <w:tc>
          <w:tcPr>
            <w:tcW w:w="14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obligations....................................</w:t>
            </w: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$ 9,103,000</w:t>
            </w:r>
          </w:p>
        </w:tc>
        <w:tc>
          <w:tcPr>
            <w:tcW w:w="1440" w:type="dxa"/>
            <w:vAlign w:val="bottom"/>
          </w:tcPr>
          <w:p>
            <w:pPr>
              <w:spacing w:after="0"/>
              <w:rPr>
                <w:sz w:val="15"/>
                <w:szCs w:val="15"/>
                <w:color w:val="auto"/>
              </w:rPr>
            </w:pPr>
          </w:p>
        </w:tc>
      </w:tr>
      <w:tr>
        <w:trPr>
          <w:trHeight w:val="183"/>
        </w:trPr>
        <w:tc>
          <w:tcPr>
            <w:tcW w:w="462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r>
      <w:tr>
        <w:trPr>
          <w:trHeight w:val="183"/>
        </w:trPr>
        <w:tc>
          <w:tcPr>
            <w:tcW w:w="4620" w:type="dxa"/>
            <w:vAlign w:val="bottom"/>
          </w:tcPr>
          <w:p>
            <w:pPr>
              <w:spacing w:after="0"/>
              <w:rPr>
                <w:sz w:val="15"/>
                <w:szCs w:val="15"/>
                <w:color w:val="auto"/>
              </w:rPr>
            </w:pPr>
          </w:p>
        </w:tc>
        <w:tc>
          <w:tcPr>
            <w:tcW w:w="1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r>
    </w:tbl>
    <w:p>
      <w:pPr>
        <w:spacing w:after="0" w:line="188" w:lineRule="exact"/>
        <w:rPr>
          <w:sz w:val="20"/>
          <w:szCs w:val="20"/>
          <w:color w:val="auto"/>
        </w:rPr>
      </w:pPr>
    </w:p>
    <w:p>
      <w:pPr>
        <w:ind w:right="2599" w:firstLine="382"/>
        <w:spacing w:after="0"/>
        <w:rPr>
          <w:sz w:val="20"/>
          <w:szCs w:val="20"/>
          <w:color w:val="auto"/>
        </w:rPr>
      </w:pPr>
      <w:r>
        <w:rPr>
          <w:rFonts w:ascii="Courier New" w:cs="Courier New" w:eastAsia="Courier New" w:hAnsi="Courier New"/>
          <w:sz w:val="16"/>
          <w:szCs w:val="16"/>
          <w:color w:val="auto"/>
        </w:rPr>
        <w:t>Capital lease obligations of $5,371,000, $4,654,000 and $4,961,000 in 1993, 1994 and 1995, respectively, were incurred when the Company entered into capital leases for new equipment.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COMMITMENTS AND CONTINGENCIES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Most of the Company's subsidiaries are self-insured for general liability risks for claims limited to $5 million per occurrence and for professional liability risks for claims limited to $25 million per occurrence. Coverage in excess of these limits up to $100 million is maintained with major insurance carriers. Since 1993, certain of the Company's subsidiaries, including one of its larger acute care facilities, have purchased general and professional liability occurrence policies with commercial insurers. These policies include coverage up to $25 million per occurrence for general and professional liability risks.</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As of December 1994 and 1995, the reserve for professional and general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risks was $62.4 million and $67.2 million, respectively, of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 million and $22.8 million in 1994 and 1995, respectively, is included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 liabilities. Self-insurance reserves are based upon actuarially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determined estimates. These estimates are based on historical information along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certain assumptions about future events. Changes in assumptions for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things as medical costs as well as changes in actual experience could cause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estimates to change in the near term.</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Effective January 1, 1996, the Company's self-insured subsidiaries purchased general and professional liability insurance coverage for a three year term with a commercial insurer. These policies include coverage for claims in excess of $5 million and limited to $25 million per occurrence and have an unlimited aggregate.</w:t>
      </w:r>
    </w:p>
    <w:p>
      <w:pPr>
        <w:spacing w:after="0" w:line="190"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Company has outstanding letters of credit totalling $20.8 million related to the Company's self-insurance programs ($10.8 million), as support for various debt instruments ($1.3 million) and as support for a loan guarantee for an unaffiliated party ($8.7 million). The Company has also guaranteed approximately $1.1 million of loans.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481" w:right="1440" w:bottom="1440" w:gutter="0" w:footer="0" w:header="0"/>
        </w:sectPr>
      </w:pPr>
    </w:p>
    <w:bookmarkStart w:id="63" w:name="page64"/>
    <w:bookmarkEnd w:id="63"/>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COMMITMENTS AND CONTINGENCIES--(CONTINUED)</w:t>
      </w:r>
    </w:p>
    <w:p>
      <w:pPr>
        <w:spacing w:after="0" w:line="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is committed to invest at least an additional $30 million, over a ten year period, to renovate the existing facility and construct an additional facility related to its 1994 acquisition of a 112-bed acute care hospital located in Edinburg, Texas (See Note 2). The Company has also agreed to construct a medical complex, including a 129-bed acute care facility, in Summerlin, Nevada for a total cost of approximately $60 million.</w:t>
      </w:r>
    </w:p>
    <w:p>
      <w:pPr>
        <w:spacing w:after="0" w:line="187"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The Company signed a letter of intent to acquire a 360-bed acute care hospital located in Amarillo, Texas. The closing of this transaction, which is expected to be completed during the second quarter of 1996, is subject to a number of conditions. Cash consideration is expected to approximate $120 million.</w:t>
      </w:r>
    </w:p>
    <w:p>
      <w:pPr>
        <w:spacing w:after="0" w:line="190" w:lineRule="exact"/>
        <w:rPr>
          <w:sz w:val="20"/>
          <w:szCs w:val="20"/>
          <w:color w:val="auto"/>
        </w:rPr>
      </w:pPr>
    </w:p>
    <w:p>
      <w:pPr>
        <w:ind w:right="2879" w:firstLine="382"/>
        <w:spacing w:after="0" w:line="239" w:lineRule="auto"/>
        <w:rPr>
          <w:sz w:val="20"/>
          <w:szCs w:val="20"/>
          <w:color w:val="auto"/>
        </w:rPr>
      </w:pPr>
      <w:r>
        <w:rPr>
          <w:rFonts w:ascii="Courier New" w:cs="Courier New" w:eastAsia="Courier New" w:hAnsi="Courier New"/>
          <w:sz w:val="16"/>
          <w:szCs w:val="16"/>
          <w:color w:val="auto"/>
        </w:rPr>
        <w:t>The Company estimates the cost to complete major construction projects in progress at December 31, 1995 will approximate $45.8 million.</w:t>
      </w:r>
    </w:p>
    <w:p>
      <w:pPr>
        <w:spacing w:after="0" w:line="189" w:lineRule="exact"/>
        <w:rPr>
          <w:sz w:val="20"/>
          <w:szCs w:val="20"/>
          <w:color w:val="auto"/>
        </w:rPr>
      </w:pPr>
    </w:p>
    <w:p>
      <w:pPr>
        <w:jc w:val="both"/>
        <w:ind w:right="3059" w:firstLine="382"/>
        <w:spacing w:after="0"/>
        <w:rPr>
          <w:sz w:val="20"/>
          <w:szCs w:val="20"/>
          <w:color w:val="auto"/>
        </w:rPr>
      </w:pPr>
      <w:r>
        <w:rPr>
          <w:rFonts w:ascii="Courier New" w:cs="Courier New" w:eastAsia="Courier New" w:hAnsi="Courier New"/>
          <w:sz w:val="16"/>
          <w:szCs w:val="16"/>
          <w:color w:val="auto"/>
        </w:rPr>
        <w:t>The Company has entered into a long-term contract with a third party to provide certain data processing services for its acute care and psychiatric hospitals. This contract expires in 2002.</w:t>
      </w:r>
    </w:p>
    <w:p>
      <w:pPr>
        <w:spacing w:after="0" w:line="190"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Various suits and claims arising in the ordinary course of business are pending against the Company. In the opinion of management, the outcome of such claims and litigation will not materially affect the Company's consolidated financial position or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RELATED PARTY TRANSACTIONS</w:t>
      </w:r>
    </w:p>
    <w:p>
      <w:pPr>
        <w:spacing w:after="0" w:line="188" w:lineRule="exact"/>
        <w:rPr>
          <w:sz w:val="20"/>
          <w:szCs w:val="20"/>
          <w:color w:val="auto"/>
        </w:rPr>
      </w:pPr>
    </w:p>
    <w:p>
      <w:pPr>
        <w:jc w:val="both"/>
        <w:ind w:right="2779" w:firstLine="382"/>
        <w:spacing w:after="0" w:line="259" w:lineRule="auto"/>
        <w:rPr>
          <w:sz w:val="20"/>
          <w:szCs w:val="20"/>
          <w:color w:val="auto"/>
        </w:rPr>
      </w:pPr>
      <w:r>
        <w:rPr>
          <w:rFonts w:ascii="Courier New" w:cs="Courier New" w:eastAsia="Courier New" w:hAnsi="Courier New"/>
          <w:sz w:val="15"/>
          <w:szCs w:val="15"/>
          <w:color w:val="auto"/>
        </w:rPr>
        <w:t>At December 31, 1995, the Company held approximately 8% of the outstanding shares of Universal Health Realty Income Trust (the "Trust"). Certain officers and directors of the Company are also officers and/or Directors of the Trust.</w:t>
      </w:r>
    </w:p>
    <w:p>
      <w:pPr>
        <w:ind w:right="2599"/>
        <w:spacing w:after="0" w:line="242" w:lineRule="auto"/>
        <w:rPr>
          <w:sz w:val="20"/>
          <w:szCs w:val="20"/>
          <w:color w:val="auto"/>
        </w:rPr>
      </w:pPr>
      <w:r>
        <w:rPr>
          <w:rFonts w:ascii="Courier New" w:cs="Courier New" w:eastAsia="Courier New" w:hAnsi="Courier New"/>
          <w:sz w:val="16"/>
          <w:szCs w:val="16"/>
          <w:color w:val="auto"/>
        </w:rPr>
        <w:t>The Company accounts for its investment in the Trust using the equity method of accounting. The Company's pre-tax share of income from the Trust was $757,000, $1,095,000 and $1,052,000 in 1993, 1994 and 1995, respectively, and is included in net revenues in the accompanying consolidated statements of income. The carrying value of this investment at December 31, 1994 and 1995 was $8,404,000 and $8,468,000, respectively, and is included in other assets in the accompanying consolidated balance sheets. The market value of this investment at December 31, 1994 and 1995 was $11,261,000 and $12,489,000, respectively.</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During 1993, pursuant to the terms of its lease with the Trust, the Company purchased the real property of a 48-bed psychiatric hospital located in Texas for $3.2 million. The real property of this hospital was previously leased by the Company and base rental payments continued under the existing lease until the date of sale. Operations at this hospital were discontinued during the first quarter of 1992, however, the facility is currently being utilized for outpatient services at one of the Company's acute care hospitals. Also during 1993, the Company sold to the Trust certain real estate assets of a 134-bed hospital located in Illinois for approximately $1.9 million. These assets consisted of additions and improvements made to the facility by the Company since the sale of the major portion of the real estate assets to the Trust in 1986. The operations of this facility were sold during 1993 to an operator unaffiliated with the Company.</w:t>
      </w:r>
    </w:p>
    <w:p>
      <w:pPr>
        <w:spacing w:after="0" w:line="19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As of December 31, 1995, the Company leased seven hospital facilities from the Trust with initial terms expiring in 1999 through 2003. These leases contain up to six 5-year renewal options. Future minimum lease payments to the Trust are included in Note 6. The terms of the lease provide that in the event the Company discontinues operations at the leased facility for more than one year, the Company is obligated to offer a substitute property. If the Trust does not accept the substitute property offered,</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481" w:right="1440" w:bottom="1440" w:gutter="0" w:footer="0" w:header="0"/>
        </w:sectPr>
      </w:pPr>
    </w:p>
    <w:bookmarkStart w:id="64" w:name="page65"/>
    <w:bookmarkEnd w:id="64"/>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RELATED PARTY TRANSACTIONS--(CONTINUED)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is obligated to purchase the leased facility back from the Trust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price equal to the greater of its then fair market value or the original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price paid by the Trust. During 1995, in exchange for the real estate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of a 126-bed acute care hospital divested by the Company during the year,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exchanged with the Trust substitute properties consisting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real estate assets owned by the Company but related to three acute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care facilities owned by the Trust and operated by the Company (See Note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rent expense under these operating leases was $16,600,000 in 1993,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$15,700,000 in 1994 and $16,000,000 in 1995. The Company received an advisory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 of $880,000 in 1993, $909,000 in 1994 and $953,000 in 1995 from the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investment and administrative services provided under a contractual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which is included in net revenues in the accompanying consolidated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income.</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A member of the Company's Board of Directors is a partner in the law firm used by the Company as its principal outside counsel. Another member of the Company's Board of Directors is a managing director of one of the underwriters who performed investment banking services related to the Senior Notes issued during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OTHER NONRECURRING CHARGES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Changes in third party payment methods, advances in medical technologies, legislative and regulatory initiatives at the Federal and state levels along with increased competition from other providers have impacted operating margins at the Company's facilities in recent years. These industry conditions have adversely impacted certain of the Company's specialized facilities and certain of the Company's smaller facilities in more competitive markets.</w:t>
      </w:r>
    </w:p>
    <w:p>
      <w:pPr>
        <w:spacing w:after="0" w:line="187"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increased penetration of managed care into the chemical dependency segment of the behavioral health services market, increased competition from acute care providers seeking to expand their service lines and the continuing shift to partial hospitalization and outpatient treatment programs have resulted in significant reduction in admissions and patient days at the Company's two chemical dependency facilities. Changes in CHAMPUS regulations and the increasing influence of managed care have led to shorter lengths of stay for patients at the Company's two residential treatment centers. These factors have led management to conclude that there has been a permanent impairment in the carrying value of these four facilities in the behavioral health services division.</w:t>
      </w:r>
    </w:p>
    <w:p>
      <w:pPr>
        <w:spacing w:after="0" w:line="191"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Increased competition and penetration of managed care in the two geographic markets where three of the Company's ambulatory treatment centers are located have led management to conclude that there has been a permanent impairment in the carrying value those facilities.</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 conjunction with the development of the Company's operating plan and 1996 budget, management assessed the current competitive position of these facilities and estimated future cash flows expected from these facilities. As a result, the Company recorded a $14.2 million pre-tax nonrecurring charge in the 1995 consolidated statement of income related primarily to the write-down of the carrying value of certain intangible and tangible assets at these facilities. In measuring the impairment loss, the Company estimated fair value by discounting expected future cash flows from each facility using the Company's internal hurdle rate.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481" w:right="1440" w:bottom="1440" w:gutter="0" w:footer="0" w:header="0"/>
        </w:sectPr>
      </w:pPr>
    </w:p>
    <w:bookmarkStart w:id="65" w:name="page66"/>
    <w:bookmarkEnd w:id="65"/>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PENSION PLAN</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Company maintains a contributory and non-contributory retirement plan for eligible employees. The non-contributory plan is a defined benefit pension plan which covers employees of one of the Company's subsidiaries. The benefits are based on years of service and the employee's highest compensation for any five years of employment. The Company's funding policy is to contribute annually at least the minimum amount that should be funded in accordance with the provisions of ERISA.</w:t>
      </w:r>
    </w:p>
    <w:p>
      <w:pPr>
        <w:spacing w:after="0" w:line="188" w:lineRule="exact"/>
        <w:rPr>
          <w:sz w:val="20"/>
          <w:szCs w:val="20"/>
          <w:color w:val="auto"/>
        </w:rPr>
      </w:pPr>
    </w:p>
    <w:p>
      <w:pPr>
        <w:ind w:right="2979" w:firstLine="382"/>
        <w:spacing w:after="0" w:line="239" w:lineRule="auto"/>
        <w:rPr>
          <w:sz w:val="20"/>
          <w:szCs w:val="20"/>
          <w:color w:val="auto"/>
        </w:rPr>
      </w:pPr>
      <w:r>
        <w:rPr>
          <w:rFonts w:ascii="Courier New" w:cs="Courier New" w:eastAsia="Courier New" w:hAnsi="Courier New"/>
          <w:sz w:val="16"/>
          <w:szCs w:val="16"/>
          <w:color w:val="auto"/>
        </w:rPr>
        <w:t>The plan's funded status and amounts recognized in the Company's balance sheet as of December 31, 1995 are as follows: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Actuarial present value of benefit obligations as of December 31, 1995: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Accumulated benefit obligation, including vested benefits of $29,890,000....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$ 32,197,000</w:t>
            </w:r>
          </w:p>
        </w:tc>
      </w:tr>
      <w:tr>
        <w:trPr>
          <w:trHeight w:val="183"/>
        </w:trPr>
        <w:tc>
          <w:tcPr>
            <w:tcW w:w="758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Projected benefit obligation for service rendered to date.....................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$(37,211,000)</w:t>
            </w:r>
          </w:p>
        </w:tc>
      </w:tr>
      <w:tr>
        <w:trPr>
          <w:trHeight w:val="367"/>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Plan assets at fair value, primarily listed stock and U.S. obligations........</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20,008,000</w:t>
            </w:r>
          </w:p>
        </w:tc>
      </w:tr>
      <w:tr>
        <w:trPr>
          <w:trHeight w:val="183"/>
        </w:trPr>
        <w:tc>
          <w:tcPr>
            <w:tcW w:w="758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Projected benefit obligation in excess of plan assets.........................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(17,203,000)</w:t>
            </w:r>
          </w:p>
        </w:tc>
      </w:tr>
      <w:tr>
        <w:trPr>
          <w:trHeight w:val="367"/>
        </w:trPr>
        <w:tc>
          <w:tcPr>
            <w:tcW w:w="75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9"/>
              </w:rPr>
              <w:t>Unrecognized net loss from past experience different from that assumed and</w:t>
            </w:r>
          </w:p>
        </w:tc>
        <w:tc>
          <w:tcPr>
            <w:tcW w:w="1380" w:type="dxa"/>
            <w:vAlign w:val="bottom"/>
          </w:tcPr>
          <w:p>
            <w:pPr>
              <w:spacing w:after="0"/>
              <w:rPr>
                <w:sz w:val="24"/>
                <w:szCs w:val="24"/>
                <w:color w:val="auto"/>
              </w:rPr>
            </w:pPr>
          </w:p>
        </w:tc>
      </w:tr>
      <w:tr>
        <w:trPr>
          <w:trHeight w:val="183"/>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effects of changes in assumptions...........................................</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2,480,000</w:t>
            </w:r>
          </w:p>
        </w:tc>
      </w:tr>
      <w:tr>
        <w:trPr>
          <w:trHeight w:val="183"/>
        </w:trPr>
        <w:tc>
          <w:tcPr>
            <w:tcW w:w="758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7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Accrued pension cost..........................................................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$(14,723,000)</w:t>
            </w:r>
          </w:p>
        </w:tc>
      </w:tr>
      <w:tr>
        <w:trPr>
          <w:trHeight w:val="183"/>
        </w:trPr>
        <w:tc>
          <w:tcPr>
            <w:tcW w:w="758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58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Significant actuarial assumptions used in measuring benefit obligations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gridSpan w:val="7"/>
          </w:tcPr>
          <w:p>
            <w:pPr>
              <w:spacing w:after="0"/>
              <w:rPr>
                <w:sz w:val="20"/>
                <w:szCs w:val="20"/>
                <w:color w:val="auto"/>
              </w:rPr>
            </w:pPr>
            <w:r>
              <w:rPr>
                <w:rFonts w:ascii="Courier New" w:cs="Courier New" w:eastAsia="Courier New" w:hAnsi="Courier New"/>
                <w:sz w:val="16"/>
                <w:szCs w:val="16"/>
                <w:color w:val="auto"/>
              </w:rPr>
              <w:t>the expected return on plan assets at December 31, 1995 are as follows: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3620" w:type="dxa"/>
            <w:vAlign w:val="bottom"/>
            <w:gridSpan w:val="2"/>
          </w:tcPr>
          <w:p>
            <w:pPr>
              <w:spacing w:after="0"/>
              <w:rPr>
                <w:sz w:val="20"/>
                <w:szCs w:val="20"/>
                <w:color w:val="auto"/>
              </w:rPr>
            </w:pPr>
            <w:r>
              <w:rPr>
                <w:rFonts w:ascii="Courier New" w:cs="Courier New" w:eastAsia="Courier New" w:hAnsi="Courier New"/>
                <w:sz w:val="12"/>
                <w:szCs w:val="12"/>
                <w:color w:val="auto"/>
                <w:w w:val="74"/>
              </w:rPr>
              <w:t>Weighted-average discount rate.....................................</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7.00%</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5140" w:type="dxa"/>
            <w:vAlign w:val="bottom"/>
            <w:gridSpan w:val="4"/>
          </w:tcPr>
          <w:p>
            <w:pPr>
              <w:spacing w:after="0"/>
              <w:rPr>
                <w:sz w:val="20"/>
                <w:szCs w:val="20"/>
                <w:color w:val="auto"/>
              </w:rPr>
            </w:pPr>
            <w:r>
              <w:rPr>
                <w:rFonts w:ascii="Courier New" w:cs="Courier New" w:eastAsia="Courier New" w:hAnsi="Courier New"/>
                <w:sz w:val="16"/>
                <w:szCs w:val="16"/>
                <w:color w:val="auto"/>
                <w:w w:val="79"/>
              </w:rPr>
              <w:t>Weighted-average rate of compensation increase.....................</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4.00%</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2"/>
                <w:szCs w:val="12"/>
                <w:color w:val="auto"/>
                <w:w w:val="74"/>
              </w:rPr>
              <w:t>Expected rate of return on assets..................................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761"/>
              <w:spacing w:after="0"/>
              <w:rPr>
                <w:sz w:val="20"/>
                <w:szCs w:val="20"/>
                <w:color w:val="auto"/>
              </w:rPr>
            </w:pPr>
            <w:r>
              <w:rPr>
                <w:rFonts w:ascii="Courier New" w:cs="Courier New" w:eastAsia="Courier New" w:hAnsi="Courier New"/>
                <w:sz w:val="16"/>
                <w:szCs w:val="16"/>
                <w:color w:val="auto"/>
                <w:w w:val="95"/>
              </w:rPr>
              <w:t>9.00%</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8000" w:type="dxa"/>
            <w:vAlign w:val="bottom"/>
            <w:gridSpan w:val="7"/>
          </w:tcPr>
          <w:p>
            <w:pPr>
              <w:jc w:val="center"/>
              <w:ind w:right="301"/>
              <w:spacing w:after="0"/>
              <w:rPr>
                <w:sz w:val="20"/>
                <w:szCs w:val="20"/>
                <w:color w:val="auto"/>
              </w:rPr>
            </w:pPr>
            <w:r>
              <w:rPr>
                <w:rFonts w:ascii="Courier New" w:cs="Courier New" w:eastAsia="Courier New" w:hAnsi="Courier New"/>
                <w:sz w:val="16"/>
                <w:szCs w:val="16"/>
                <w:color w:val="auto"/>
                <w:w w:val="99"/>
              </w:rPr>
              <w:t>Pension expense related to this plan is not material to the consolidated</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11) QUARTERLY RESULTS (UNAUDITED)</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following tables summarize the</w:t>
            </w:r>
          </w:p>
        </w:tc>
        <w:tc>
          <w:tcPr>
            <w:tcW w:w="43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Company's quarterly financial data for</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w w:val="98"/>
              </w:rPr>
              <w:t>the two years ended December 31, 1995.</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734"/>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ind w:left="200"/>
              <w:spacing w:after="0"/>
              <w:rPr>
                <w:sz w:val="20"/>
                <w:szCs w:val="20"/>
                <w:color w:val="auto"/>
              </w:rPr>
            </w:pPr>
            <w:r>
              <w:rPr>
                <w:rFonts w:ascii="Courier New" w:cs="Courier New" w:eastAsia="Courier New" w:hAnsi="Courier New"/>
                <w:sz w:val="16"/>
                <w:szCs w:val="16"/>
                <w:color w:val="auto"/>
              </w:rPr>
              <w:t>FIRST</w:t>
            </w:r>
          </w:p>
        </w:tc>
        <w:tc>
          <w:tcPr>
            <w:tcW w:w="80" w:type="dxa"/>
            <w:vAlign w:val="bottom"/>
          </w:tcPr>
          <w:p>
            <w:pPr>
              <w:spacing w:after="0"/>
              <w:rPr>
                <w:sz w:val="24"/>
                <w:szCs w:val="24"/>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SECOND</w:t>
            </w:r>
          </w:p>
        </w:tc>
        <w:tc>
          <w:tcPr>
            <w:tcW w:w="200" w:type="dxa"/>
            <w:vAlign w:val="bottom"/>
          </w:tcPr>
          <w:p>
            <w:pPr>
              <w:spacing w:after="0"/>
              <w:rPr>
                <w:sz w:val="24"/>
                <w:szCs w:val="24"/>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THIRD</w:t>
            </w:r>
          </w:p>
        </w:tc>
        <w:tc>
          <w:tcPr>
            <w:tcW w:w="20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FOURTH</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0" w:type="dxa"/>
            <w:vAlign w:val="bottom"/>
          </w:tcPr>
          <w:p>
            <w:pPr>
              <w:spacing w:after="0"/>
              <w:rPr>
                <w:sz w:val="15"/>
                <w:szCs w:val="15"/>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QUARTER</w:t>
            </w:r>
          </w:p>
        </w:tc>
        <w:tc>
          <w:tcPr>
            <w:tcW w:w="80" w:type="dxa"/>
            <w:vAlign w:val="bottom"/>
          </w:tcPr>
          <w:p>
            <w:pPr>
              <w:spacing w:after="0"/>
              <w:rPr>
                <w:sz w:val="15"/>
                <w:szCs w:val="15"/>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QUARTER</w:t>
            </w:r>
          </w:p>
        </w:tc>
        <w:tc>
          <w:tcPr>
            <w:tcW w:w="200" w:type="dxa"/>
            <w:vAlign w:val="bottom"/>
          </w:tcPr>
          <w:p>
            <w:pPr>
              <w:spacing w:after="0"/>
              <w:rPr>
                <w:sz w:val="15"/>
                <w:szCs w:val="15"/>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QUARTER</w:t>
            </w:r>
          </w:p>
        </w:tc>
        <w:tc>
          <w:tcPr>
            <w:tcW w:w="20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QUARTER</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 w:type="dxa"/>
            <w:vAlign w:val="bottom"/>
          </w:tcPr>
          <w:p>
            <w:pPr>
              <w:spacing w:after="0"/>
              <w:rPr>
                <w:sz w:val="15"/>
                <w:szCs w:val="15"/>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52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220,715,000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214,165,000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234,144,000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262,102,000</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19,344,000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14,448,000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11,299,000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7,898,000</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11,841,000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9,555,000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7,229,000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6,859,000</w:t>
            </w: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Earning per share (fully</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0.42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0.34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0.24</w:t>
            </w:r>
          </w:p>
        </w:tc>
      </w:tr>
      <w:tr>
        <w:trPr>
          <w:trHeight w:val="550"/>
        </w:trPr>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revenues in 1995 include $12.6</w:t>
            </w:r>
          </w:p>
        </w:tc>
        <w:tc>
          <w:tcPr>
            <w:tcW w:w="43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million of additional revenues received</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8000" w:type="dxa"/>
            <w:vAlign w:val="bottom"/>
            <w:gridSpan w:val="7"/>
          </w:tcPr>
          <w:p>
            <w:pPr>
              <w:spacing w:after="0"/>
              <w:rPr>
                <w:sz w:val="20"/>
                <w:szCs w:val="20"/>
                <w:color w:val="auto"/>
              </w:rPr>
            </w:pPr>
            <w:r>
              <w:rPr>
                <w:rFonts w:ascii="Courier New" w:cs="Courier New" w:eastAsia="Courier New" w:hAnsi="Courier New"/>
                <w:sz w:val="16"/>
                <w:szCs w:val="16"/>
                <w:color w:val="auto"/>
              </w:rPr>
              <w:t>from special Medicaid reimbursement programs. Of this amount, $3.8 million was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8000" w:type="dxa"/>
            <w:vAlign w:val="bottom"/>
            <w:gridSpan w:val="7"/>
          </w:tcPr>
          <w:p>
            <w:pPr>
              <w:spacing w:after="0"/>
              <w:rPr>
                <w:sz w:val="20"/>
                <w:szCs w:val="20"/>
                <w:color w:val="auto"/>
              </w:rPr>
            </w:pPr>
            <w:r>
              <w:rPr>
                <w:rFonts w:ascii="Courier New" w:cs="Courier New" w:eastAsia="Courier New" w:hAnsi="Courier New"/>
                <w:sz w:val="16"/>
                <w:szCs w:val="16"/>
                <w:color w:val="auto"/>
              </w:rPr>
              <w:t>recorded in each of the first and second quarters, $3.1 million in the third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w w:val="98"/>
              </w:rPr>
              <w:t>quarter and $1.9 million in the fourth</w:t>
            </w:r>
          </w:p>
        </w:tc>
        <w:tc>
          <w:tcPr>
            <w:tcW w:w="43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quarter. These programs are scheduled to</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8000" w:type="dxa"/>
            <w:vAlign w:val="bottom"/>
            <w:gridSpan w:val="7"/>
          </w:tcPr>
          <w:p>
            <w:pPr>
              <w:spacing w:after="0"/>
              <w:rPr>
                <w:sz w:val="20"/>
                <w:szCs w:val="20"/>
                <w:color w:val="auto"/>
              </w:rPr>
            </w:pPr>
            <w:r>
              <w:rPr>
                <w:rFonts w:ascii="Courier New" w:cs="Courier New" w:eastAsia="Courier New" w:hAnsi="Courier New"/>
                <w:sz w:val="16"/>
                <w:szCs w:val="16"/>
                <w:color w:val="auto"/>
              </w:rPr>
              <w:t>terminate in August, 1996. These amounts were recorded in the periods that the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w w:val="98"/>
              </w:rPr>
              <w:t>Company met all of the requirements to</w:t>
            </w:r>
          </w:p>
        </w:tc>
        <w:tc>
          <w:tcPr>
            <w:tcW w:w="43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be entitled to these reimbursements. The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second quarter results include a</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ind w:right="981"/>
              <w:spacing w:after="0"/>
              <w:rPr>
                <w:sz w:val="20"/>
                <w:szCs w:val="20"/>
                <w:color w:val="auto"/>
              </w:rPr>
            </w:pPr>
            <w:r>
              <w:rPr>
                <w:rFonts w:ascii="Courier New" w:cs="Courier New" w:eastAsia="Courier New" w:hAnsi="Courier New"/>
                <w:sz w:val="16"/>
                <w:szCs w:val="16"/>
                <w:color w:val="auto"/>
                <w:w w:val="98"/>
              </w:rPr>
              <w:t>F-20</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80" w:type="dxa"/>
            <w:vAlign w:val="bottom"/>
            <w:gridSpan w:val="5"/>
          </w:tcPr>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40" w:type="dxa"/>
            <w:vAlign w:val="bottom"/>
            <w:gridSpan w:val="4"/>
          </w:tcPr>
          <w:p>
            <w:pPr>
              <w:ind w:left="1140"/>
              <w:spacing w:after="0"/>
              <w:rPr>
                <w:sz w:val="20"/>
                <w:szCs w:val="20"/>
                <w:color w:val="auto"/>
              </w:rPr>
            </w:pPr>
            <w:r>
              <w:rPr>
                <w:rFonts w:ascii="Courier New" w:cs="Courier New" w:eastAsia="Courier New" w:hAnsi="Courier New"/>
                <w:sz w:val="16"/>
                <w:szCs w:val="16"/>
                <w:color w:val="auto"/>
                <w:w w:val="94"/>
              </w:rPr>
              <w:t>NOTES TO CONSOLIDATED FINANCIAL STATEMENTS--</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(CONTINUED)</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11) QUARTERLY RESULTS (UNAUDITED)--</w:t>
            </w:r>
          </w:p>
        </w:tc>
        <w:tc>
          <w:tcPr>
            <w:tcW w:w="16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w w:val="96"/>
              </w:rPr>
              <w:t>(CONTINUED)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w w:val="98"/>
              </w:rPr>
              <w:t>$2.7 million pre-tax charge related to</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the Company's</w:t>
            </w:r>
          </w:p>
        </w:tc>
        <w:tc>
          <w:tcPr>
            <w:tcW w:w="30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divestiture of two acute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000" w:type="dxa"/>
            <w:vAlign w:val="bottom"/>
            <w:gridSpan w:val="3"/>
          </w:tcPr>
          <w:p>
            <w:pPr>
              <w:spacing w:after="0"/>
              <w:rPr>
                <w:sz w:val="20"/>
                <w:szCs w:val="20"/>
                <w:color w:val="auto"/>
              </w:rPr>
            </w:pPr>
            <w:r>
              <w:rPr>
                <w:rFonts w:ascii="Courier New" w:cs="Courier New" w:eastAsia="Courier New" w:hAnsi="Courier New"/>
                <w:sz w:val="16"/>
                <w:szCs w:val="16"/>
                <w:color w:val="auto"/>
                <w:w w:val="99"/>
              </w:rPr>
              <w:t>care hospitals in connection with the acquisition of</w:t>
            </w:r>
          </w:p>
        </w:tc>
        <w:tc>
          <w:tcPr>
            <w:tcW w:w="30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the acute care hospital</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8000" w:type="dxa"/>
            <w:vAlign w:val="bottom"/>
            <w:gridSpan w:val="7"/>
          </w:tcPr>
          <w:p>
            <w:pPr>
              <w:spacing w:after="0"/>
              <w:rPr>
                <w:sz w:val="20"/>
                <w:szCs w:val="20"/>
                <w:color w:val="auto"/>
              </w:rPr>
            </w:pPr>
            <w:r>
              <w:rPr>
                <w:rFonts w:ascii="Courier New" w:cs="Courier New" w:eastAsia="Courier New" w:hAnsi="Courier New"/>
                <w:sz w:val="16"/>
                <w:szCs w:val="16"/>
                <w:color w:val="auto"/>
              </w:rPr>
              <w:t>located in Aiken, South Carolina (See Note 2). The fourth quarter results</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w w:val="98"/>
              </w:rPr>
              <w:t>include a $5.3 million gain related to</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the Company's</w:t>
            </w:r>
          </w:p>
        </w:tc>
        <w:tc>
          <w:tcPr>
            <w:tcW w:w="168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divestiture of an</w:t>
            </w: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acute</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40" w:type="dxa"/>
            <w:vAlign w:val="bottom"/>
            <w:gridSpan w:val="4"/>
          </w:tcPr>
          <w:p>
            <w:pPr>
              <w:spacing w:after="0"/>
              <w:rPr>
                <w:sz w:val="20"/>
                <w:szCs w:val="20"/>
                <w:color w:val="auto"/>
              </w:rPr>
            </w:pPr>
            <w:r>
              <w:rPr>
                <w:rFonts w:ascii="Courier New" w:cs="Courier New" w:eastAsia="Courier New" w:hAnsi="Courier New"/>
                <w:sz w:val="16"/>
                <w:szCs w:val="16"/>
                <w:color w:val="auto"/>
                <w:w w:val="98"/>
              </w:rPr>
              <w:t>care hospital. The fourth quarter results also include</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 $14.2 million</w:t>
            </w: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pre-tax</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6480" w:type="dxa"/>
            <w:vAlign w:val="bottom"/>
            <w:gridSpan w:val="5"/>
          </w:tcPr>
          <w:p>
            <w:pPr>
              <w:spacing w:after="0"/>
              <w:rPr>
                <w:sz w:val="20"/>
                <w:szCs w:val="20"/>
                <w:color w:val="auto"/>
              </w:rPr>
            </w:pPr>
            <w:r>
              <w:rPr>
                <w:rFonts w:ascii="Courier New" w:cs="Courier New" w:eastAsia="Courier New" w:hAnsi="Courier New"/>
                <w:sz w:val="16"/>
                <w:szCs w:val="16"/>
                <w:color w:val="auto"/>
              </w:rPr>
              <w:t>charge for an impairment loss at certain facilities (See Note 9).</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73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FIRST</w:t>
            </w:r>
          </w:p>
        </w:tc>
        <w:tc>
          <w:tcPr>
            <w:tcW w:w="140" w:type="dxa"/>
            <w:vAlign w:val="bottom"/>
          </w:tcPr>
          <w:p>
            <w:pPr>
              <w:spacing w:after="0"/>
              <w:rPr>
                <w:sz w:val="24"/>
                <w:szCs w:val="24"/>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SECOND</w:t>
            </w:r>
          </w:p>
        </w:tc>
        <w:tc>
          <w:tcPr>
            <w:tcW w:w="200" w:type="dxa"/>
            <w:vAlign w:val="bottom"/>
          </w:tcPr>
          <w:p>
            <w:pPr>
              <w:spacing w:after="0"/>
              <w:rPr>
                <w:sz w:val="24"/>
                <w:szCs w:val="24"/>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rPr>
              <w:t>THIRD</w:t>
            </w:r>
          </w:p>
        </w:tc>
        <w:tc>
          <w:tcPr>
            <w:tcW w:w="20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FOURTH</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QUARTER</w:t>
            </w:r>
          </w:p>
        </w:tc>
        <w:tc>
          <w:tcPr>
            <w:tcW w:w="140" w:type="dxa"/>
            <w:vAlign w:val="bottom"/>
          </w:tcPr>
          <w:p>
            <w:pPr>
              <w:spacing w:after="0"/>
              <w:rPr>
                <w:sz w:val="15"/>
                <w:szCs w:val="15"/>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QUARTER</w:t>
            </w:r>
          </w:p>
        </w:tc>
        <w:tc>
          <w:tcPr>
            <w:tcW w:w="200" w:type="dxa"/>
            <w:vAlign w:val="bottom"/>
          </w:tcPr>
          <w:p>
            <w:pPr>
              <w:spacing w:after="0"/>
              <w:rPr>
                <w:sz w:val="15"/>
                <w:szCs w:val="15"/>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QUARTER</w:t>
            </w:r>
          </w:p>
        </w:tc>
        <w:tc>
          <w:tcPr>
            <w:tcW w:w="20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QUARTER</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340" w:type="dxa"/>
            <w:vAlign w:val="bottom"/>
          </w:tcPr>
          <w:p>
            <w:pPr>
              <w:spacing w:after="0"/>
              <w:rPr>
                <w:sz w:val="20"/>
                <w:szCs w:val="20"/>
                <w:color w:val="auto"/>
              </w:rPr>
            </w:pPr>
            <w:r>
              <w:rPr>
                <w:rFonts w:ascii="Courier New" w:cs="Courier New" w:eastAsia="Courier New" w:hAnsi="Courier New"/>
                <w:sz w:val="16"/>
                <w:szCs w:val="16"/>
                <w:color w:val="auto"/>
              </w:rPr>
              <w:t>Net revenues......................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194,432,000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192,199,000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191,512,000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204,056,000</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16,794,000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13,357,000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9,622,000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7,156,000</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10,287,000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8,153,000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5,835,000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4,445,000</w:t>
            </w: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Earnings per share (fully</w:t>
            </w: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0.36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0.21</w:t>
            </w:r>
          </w:p>
        </w:tc>
        <w:tc>
          <w:tcPr>
            <w:tcW w:w="2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0.16</w:t>
            </w:r>
          </w:p>
        </w:tc>
      </w:tr>
    </w:tbl>
    <w:p>
      <w:pPr>
        <w:spacing w:after="0" w:line="372" w:lineRule="exact"/>
        <w:rPr>
          <w:sz w:val="20"/>
          <w:szCs w:val="20"/>
          <w:color w:val="auto"/>
        </w:rPr>
      </w:pPr>
    </w:p>
    <w:p>
      <w:pPr>
        <w:ind w:right="2599" w:firstLine="382"/>
        <w:spacing w:after="0" w:line="259" w:lineRule="auto"/>
        <w:rPr>
          <w:sz w:val="20"/>
          <w:szCs w:val="20"/>
          <w:color w:val="auto"/>
        </w:rPr>
      </w:pPr>
      <w:r>
        <w:rPr>
          <w:rFonts w:ascii="Courier New" w:cs="Courier New" w:eastAsia="Courier New" w:hAnsi="Courier New"/>
          <w:sz w:val="15"/>
          <w:szCs w:val="15"/>
          <w:color w:val="auto"/>
        </w:rPr>
        <w:t>Net revenues in 1994 include $12.4 million of additional revenues received from special Medicaid reimbursement programs. Of this amount, $3.0 million was recorded in each of the first and second quarters, $3.1 million in the third quarter and $3.3 million in the fourth quarter. Net revenues in the fourth quarter also include $3.0 million of proceeds related to the Company's previously disposed UK operations. The first quarter operating results also include approximately $1.3 million of expenses related to the disposition of a non-strategic business. The second quarter results include a $2.8 million write-down recorded against the book value of the real property of a psychiatric hospital owned by the Company and leased to an unaffiliated third party, which is currently in default under the terms of the lease. Also included in operating expenses during the second quarter is a $1.1 million favorable adjustment made to reduce the Company's workers' compensation reserves. The fourth quarter results include a $1.3 million write-down recorded against the book value of the real property of a psychiatric hospital owned by the Company and for which its lease was terminated by an unaffiliated third party and a $4.3 million charge related to the anticipated disposition of two acute care hospitals (See Note 2).</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SUBSEQUENT EVENT</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On April 26, 1996, the Company declared a two-for-one stock split in the form of a 100% stock dividend payable on May 17, 1996 to shareholders of record as of May 6, 1996. All classes of common stock will participate on a pro rata basis. The weighted average number of common shares and equivalents, earnings per common and common equivalent share, along with other share and per share data in these financial statements have been adjusted accordingly, to reflect the two-for-one stock split.</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19"/>
          </w:cols>
          <w:pgMar w:left="240" w:top="481" w:right="1440" w:bottom="1440" w:gutter="0" w:footer="0" w:header="0"/>
        </w:sectPr>
      </w:pPr>
    </w:p>
    <w:bookmarkStart w:id="67" w:name="page68"/>
    <w:bookmarkEnd w:id="67"/>
    <w:p>
      <w:pPr>
        <w:jc w:val="center"/>
        <w:ind w:right="2599"/>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(000S OMITTED EXCEPT PER SHARE AMOUNTS)</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THREE MONTHS ENDED</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692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Net revenues...........................................................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220,715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$271,616</w:t>
            </w:r>
          </w:p>
        </w:tc>
      </w:tr>
      <w:tr>
        <w:trPr>
          <w:trHeight w:val="183"/>
        </w:trPr>
        <w:tc>
          <w:tcPr>
            <w:tcW w:w="6920" w:type="dxa"/>
            <w:vAlign w:val="bottom"/>
          </w:tcPr>
          <w:p>
            <w:pPr>
              <w:jc w:val="right"/>
              <w:ind w:right="5121"/>
              <w:spacing w:after="0"/>
              <w:rPr>
                <w:sz w:val="20"/>
                <w:szCs w:val="20"/>
                <w:color w:val="auto"/>
              </w:rPr>
            </w:pPr>
            <w:r>
              <w:rPr>
                <w:rFonts w:ascii="Courier New" w:cs="Courier New" w:eastAsia="Courier New" w:hAnsi="Courier New"/>
                <w:sz w:val="16"/>
                <w:szCs w:val="16"/>
                <w:color w:val="auto"/>
                <w:w w:val="98"/>
              </w:rPr>
              <w:t>Operating charges: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Operating expenses...................................................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84,469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102,335</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Salaries and wages...................................................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78,021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94,500</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Provision for doubtful accounts......................................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17,185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21,767</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Depreciation and amortization........................................</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11,310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14,783</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Lease and rental expense.............................................</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8,772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9,405</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Interest expense, net................................................</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1,614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4,648</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201,371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247,438</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Income before income taxes.............................................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19,344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24,178</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Provision for income taxes.............................................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7,503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8,677</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Net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11,841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$ 15,501</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Earnings per common and common share equivalents:......................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0.42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0.54</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Weighted average number of common shares and equivalents:..............</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27,884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28,712</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See accompanying notes to these condensed consolidated financial 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19"/>
          </w:cols>
          <w:pgMar w:left="240" w:top="481" w:right="1440" w:bottom="1440" w:gutter="0" w:footer="0" w:header="0"/>
        </w:sectPr>
      </w:pPr>
    </w:p>
    <w:bookmarkStart w:id="68" w:name="page69"/>
    <w:bookmarkEnd w:id="68"/>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20" w:type="dxa"/>
            <w:vAlign w:val="bottom"/>
          </w:tcPr>
          <w:p>
            <w:pPr>
              <w:jc w:val="right"/>
              <w:ind w:right="2061"/>
              <w:spacing w:after="0"/>
              <w:rPr>
                <w:sz w:val="20"/>
                <w:szCs w:val="20"/>
                <w:color w:val="auto"/>
              </w:rPr>
            </w:pPr>
            <w:r>
              <w:rPr>
                <w:rFonts w:ascii="Courier New" w:cs="Courier New" w:eastAsia="Courier New" w:hAnsi="Courier New"/>
                <w:sz w:val="16"/>
                <w:szCs w:val="16"/>
                <w:color w:val="auto"/>
              </w:rPr>
              <w:t>(000S OMITTED)</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550"/>
        </w:trPr>
        <w:tc>
          <w:tcPr>
            <w:tcW w:w="6620" w:type="dxa"/>
            <w:vAlign w:val="bottom"/>
          </w:tcPr>
          <w:p>
            <w:pPr>
              <w:spacing w:after="0"/>
              <w:rPr>
                <w:sz w:val="24"/>
                <w:szCs w:val="24"/>
                <w:color w:val="auto"/>
              </w:rPr>
            </w:pPr>
          </w:p>
        </w:tc>
        <w:tc>
          <w:tcPr>
            <w:tcW w:w="1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DECEMBER 31,</w:t>
            </w:r>
          </w:p>
        </w:tc>
        <w:tc>
          <w:tcPr>
            <w:tcW w:w="13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6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center"/>
              <w:ind w:right="381"/>
              <w:spacing w:after="0"/>
              <w:rPr>
                <w:sz w:val="20"/>
                <w:szCs w:val="20"/>
                <w:color w:val="auto"/>
              </w:rPr>
            </w:pPr>
            <w:r>
              <w:rPr>
                <w:rFonts w:ascii="Courier New" w:cs="Courier New" w:eastAsia="Courier New" w:hAnsi="Courier New"/>
                <w:sz w:val="16"/>
                <w:szCs w:val="16"/>
                <w:color w:val="auto"/>
                <w:w w:val="98"/>
              </w:rPr>
              <w:t>1995</w:t>
            </w:r>
          </w:p>
        </w:tc>
        <w:tc>
          <w:tcPr>
            <w:tcW w:w="440" w:type="dxa"/>
            <w:vAlign w:val="bottom"/>
          </w:tcPr>
          <w:p>
            <w:pPr>
              <w:spacing w:after="0"/>
              <w:rPr>
                <w:sz w:val="15"/>
                <w:szCs w:val="15"/>
                <w:color w:val="auto"/>
              </w:rPr>
            </w:pPr>
          </w:p>
        </w:tc>
        <w:tc>
          <w:tcPr>
            <w:tcW w:w="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(UNAUDITED)</w:t>
            </w:r>
          </w:p>
        </w:tc>
      </w:tr>
      <w:tr>
        <w:trPr>
          <w:trHeight w:val="367"/>
        </w:trPr>
        <w:tc>
          <w:tcPr>
            <w:tcW w:w="66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66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Cash and cash equivalents.........................................</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762</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114,163</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116,400</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Supplies..........................................................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18,207</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18,330</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Deferred income taxes.............................................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18,989</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15,304</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Other current assets..............................................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5,529</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5,562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current assets..........................................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156,922</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156,358</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Property and equipment..............................................</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641,528</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668,037</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Less: accumulated depreciation......................................</w:t>
            </w:r>
          </w:p>
        </w:tc>
        <w:tc>
          <w:tcPr>
            <w:tcW w:w="4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(248,540)</w:t>
            </w: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(256,822)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392,988</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411,215</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Excess of cost over fair value of net assets acquired.............</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136,206</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134,421</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income taxes.............................................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17,283</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18,717</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charges..................................................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11,466</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11,801</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33,186</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35,430</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198,141</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200,369</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748,051</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767,942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6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66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Current maturities of long-term debt..............................</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7,125</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6,980</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Accounts payable and accrued liabilities..........................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126,018</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126,871</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Federal and state taxes...........................................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1,874</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6,382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current liabilities.....................................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135,017</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140,233</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noncurrent liabilities......................................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78,248</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81,482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Long-term debt, net of current maturities.........................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237,086</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230,401</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20"/>
                <w:szCs w:val="20"/>
                <w:color w:val="auto"/>
              </w:rPr>
            </w:pPr>
            <w:r>
              <w:rPr>
                <w:rFonts w:ascii="Courier New" w:cs="Courier New" w:eastAsia="Courier New" w:hAnsi="Courier New"/>
                <w:sz w:val="16"/>
                <w:szCs w:val="16"/>
                <w:color w:val="auto"/>
              </w:rPr>
              <w:t>COMMON STOCKHOLDERS' EQUITY:</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Class A Common Stock, 1,092,527 shares outstanding in 1995,</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2,181,054 in 1996...................................................</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Class B Common Stock, 12,658,818 shares outstanding in 1995,</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25,480,886 in 1996..................................................</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127</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255</w:t>
            </w:r>
          </w:p>
        </w:tc>
      </w:tr>
      <w:tr>
        <w:trPr>
          <w:trHeight w:val="183"/>
        </w:trPr>
        <w:tc>
          <w:tcPr>
            <w:tcW w:w="6620" w:type="dxa"/>
            <w:vAlign w:val="bottom"/>
          </w:tcPr>
          <w:p>
            <w:pPr>
              <w:ind w:left="180"/>
              <w:spacing w:after="0"/>
              <w:rPr>
                <w:sz w:val="20"/>
                <w:szCs w:val="20"/>
                <w:color w:val="auto"/>
              </w:rPr>
            </w:pPr>
            <w:r>
              <w:rPr>
                <w:rFonts w:ascii="Courier New" w:cs="Courier New" w:eastAsia="Courier New" w:hAnsi="Courier New"/>
                <w:sz w:val="16"/>
                <w:szCs w:val="16"/>
                <w:color w:val="auto"/>
              </w:rPr>
              <w:t>Class C Common Stock, 109,622 shares outstanding in 1995, 219,244</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 1996.............................................................</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Class D Common Stock, 20,503 shares outstanding in 1995, 40,632 in</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1996................................................................</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Capital in excess of par, net of deferred compensation of $941,000</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 1995 and $516,000 in 1996....................................</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89,881</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92,366</w:t>
            </w:r>
          </w:p>
        </w:tc>
      </w:tr>
      <w:tr>
        <w:trPr>
          <w:trHeight w:val="183"/>
        </w:trPr>
        <w:tc>
          <w:tcPr>
            <w:tcW w:w="6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Retained earnings.................................................</w:t>
            </w: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207,680</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223,181</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297,700</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315,826</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748,051</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767,942</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2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See accompanying notes to these condensed consolidated financial 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481" w:right="1440" w:bottom="1440" w:gutter="0" w:footer="0" w:header="0"/>
        </w:sectPr>
      </w:pPr>
    </w:p>
    <w:bookmarkStart w:id="69" w:name="page70"/>
    <w:bookmarkEnd w:id="69"/>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(000S OMITTED--UNAUDITED)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THREE MONTHS</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ENDED MARCH 31,</w:t>
            </w:r>
          </w:p>
        </w:tc>
      </w:tr>
      <w:tr>
        <w:trPr>
          <w:trHeight w:val="183"/>
        </w:trPr>
        <w:tc>
          <w:tcPr>
            <w:tcW w:w="6920" w:type="dxa"/>
            <w:vAlign w:val="bottom"/>
          </w:tcPr>
          <w:p>
            <w:pPr>
              <w:spacing w:after="0"/>
              <w:rPr>
                <w:sz w:val="15"/>
                <w:szCs w:val="15"/>
                <w:color w:val="auto"/>
              </w:rPr>
            </w:pPr>
          </w:p>
        </w:tc>
        <w:tc>
          <w:tcPr>
            <w:tcW w:w="214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9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11,841</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$ 15,501</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Adjustments to reconcile net income to net cash provided by operating</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rPr>
              <w:t>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Depreciation &amp; amortization..........................................</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11,310</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14,783</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Provision for self-insurance reserves................................</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4,504</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3,044</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Changes in assets &amp; liabilities, net of effects from acquisitions and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ind w:left="380"/>
              <w:spacing w:after="0"/>
              <w:rPr>
                <w:sz w:val="20"/>
                <w:szCs w:val="20"/>
                <w:color w:val="auto"/>
              </w:rPr>
            </w:pPr>
            <w:r>
              <w:rPr>
                <w:rFonts w:ascii="Courier New" w:cs="Courier New" w:eastAsia="Courier New" w:hAnsi="Courier New"/>
                <w:sz w:val="16"/>
                <w:szCs w:val="16"/>
                <w:color w:val="auto"/>
              </w:rPr>
              <w:t>dispositions: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Accounts receivable..................................................</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(5,693)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(2,237)</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Accrued interest.....................................................</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(1,891)</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(3,447)</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Accrued and deferred income taxes....................................</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7,262</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8,117</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Other working capital accounts.......................................</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3,810</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Other assets and deferred charges....................................</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(2,085)</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(3,377)</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529</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801</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Payments made in settlement of self-insurance claims.................</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(1,566)</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(4,314)</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24,106</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32,681</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Property and equipment additions, net................................</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(13,286)</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(25,729)</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NET CASH USED IN INVESTING ACTIVITIES................................</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(13,286)</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(25,729)</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CASH FLOWS AND FINANCING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Reduction of long-term debt..........................................</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(10,148)</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(6,830)</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Issuance of common stock.............................................</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380</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606</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NET CASH USED IN FINANCING ACTIVITIES................................</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(9,768)</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(6,224)</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INCREASE IN CASH AND CASH EQUIVALENTS..................................</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1,052</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728</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CASH AND CASH EQUIVALENTS, BEGINNING OF PERIOD.........................</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780</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1,832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762</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SUPPLEMENTAL DISCLOSURES OF CASH FLOW INFORMATION:</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Interest paid........................................................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8,095</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Income taxes paid, net of refunds....................................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782</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See accompanying notes to these condensed consolidated financial 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481" w:right="1440" w:bottom="1440" w:gutter="0" w:footer="0" w:header="0"/>
        </w:sectPr>
      </w:pPr>
    </w:p>
    <w:bookmarkStart w:id="70" w:name="page71"/>
    <w:bookmarkEnd w:id="70"/>
    <w:p>
      <w:pPr>
        <w:jc w:val="center"/>
        <w:ind w:right="2599"/>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GENERAL</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consolidated financial statements included herein have been prepared by the Company, without audit, pursuant to the rules and regulations of the Securities and Exchange Commission and reflect all adjustments which, in the opinion of the Company, are necessary to fairly present results for the interim periods. Certain information and footnote disclosures normally included in financial statements prepared in accordance with generally accepted accounting principles have been condensed or omitted pursuant to such rules and regulations, although the Company believes that the accompanying disclosures are adequate to make the information presented not misleading. It is suggested that these financial statements be read in conjunction with the financial statements, accounting policies and the notes thereto included in the Company's Annual Report on Form 10-K for the year ended December 31,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EARNINGS PER SHARE</w:t>
      </w:r>
    </w:p>
    <w:p>
      <w:pPr>
        <w:spacing w:after="0" w:line="188" w:lineRule="exact"/>
        <w:rPr>
          <w:sz w:val="20"/>
          <w:szCs w:val="20"/>
          <w:color w:val="auto"/>
        </w:rPr>
      </w:pPr>
    </w:p>
    <w:p>
      <w:pPr>
        <w:jc w:val="both"/>
        <w:ind w:right="2599" w:firstLine="382"/>
        <w:spacing w:after="0" w:line="271" w:lineRule="auto"/>
        <w:rPr>
          <w:sz w:val="20"/>
          <w:szCs w:val="20"/>
          <w:color w:val="auto"/>
        </w:rPr>
      </w:pPr>
      <w:r>
        <w:rPr>
          <w:rFonts w:ascii="Courier New" w:cs="Courier New" w:eastAsia="Courier New" w:hAnsi="Courier New"/>
          <w:sz w:val="15"/>
          <w:szCs w:val="15"/>
          <w:color w:val="auto"/>
        </w:rPr>
        <w:t>Earnings per share are based on the weighted average number of common shares outstanding during the year adjusted to give effect to common stock equivalents.</w:t>
      </w:r>
    </w:p>
    <w:p>
      <w:pPr>
        <w:spacing w:after="0" w:line="166"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In April 1996, the Company declared a two for one stock split in the form of a 100% stock dividend payable on May 17, 1996 to shareholders of record as of May 6, 1996. All classes of common stock will participate on a pro rata basis. The weighted average number of common shares and equivalents and earnings per common and common equivalent share for the three months ended March 31, 1996 and 1995 have been adjusted accordingly, to reflect the two for one stock split. The number of Class A, B, C and D shares outstanding as of April 30, 1996 and March 31, 1996 have also been adjusted to reflect the two for one stock split.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UNUSUAL ITEMS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Included in net revenues for the three month periods ended March 31, 1996 and 1995 was $1.8 million and $3.8 million, respectively, of additional revenues received from special Medicaid reimbursements received by two of the Company's acute care facilities which participate in the Texas Medical Assistance Program. Upon meeting certain conditions of participation and serving a disproportionally high share of the state's low income patients, the hospitals became eligible and received additional reimbursement from the state's disproportionate share hospital fund. These programs are scheduled to terminate in August, 1996 and the Company cannot predict whether these programs will continue beyond the scheduled termination date.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OTHER LIABILITIES</w:t>
      </w:r>
    </w:p>
    <w:p>
      <w:pPr>
        <w:spacing w:after="0" w:line="188" w:lineRule="exact"/>
        <w:rPr>
          <w:sz w:val="20"/>
          <w:szCs w:val="20"/>
          <w:color w:val="auto"/>
        </w:rPr>
      </w:pPr>
    </w:p>
    <w:p>
      <w:pPr>
        <w:ind w:right="2679" w:firstLine="382"/>
        <w:spacing w:after="0" w:line="271" w:lineRule="auto"/>
        <w:rPr>
          <w:sz w:val="20"/>
          <w:szCs w:val="20"/>
          <w:color w:val="auto"/>
        </w:rPr>
      </w:pPr>
      <w:r>
        <w:rPr>
          <w:rFonts w:ascii="Courier New" w:cs="Courier New" w:eastAsia="Courier New" w:hAnsi="Courier New"/>
          <w:sz w:val="15"/>
          <w:szCs w:val="15"/>
          <w:color w:val="auto"/>
        </w:rPr>
        <w:t>Other noncurrent liabilities include the long-term portion of the Company's professional and general liability and workers' compensation reserves.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COMMITMENT AND CONTINGENCIES</w:t>
      </w:r>
    </w:p>
    <w:p>
      <w:pPr>
        <w:spacing w:after="0" w:line="188" w:lineRule="exact"/>
        <w:rPr>
          <w:sz w:val="20"/>
          <w:szCs w:val="20"/>
          <w:color w:val="auto"/>
        </w:rPr>
      </w:pPr>
    </w:p>
    <w:p>
      <w:pPr>
        <w:ind w:right="2979" w:firstLine="382"/>
        <w:spacing w:after="0" w:line="265" w:lineRule="auto"/>
        <w:rPr>
          <w:sz w:val="20"/>
          <w:szCs w:val="20"/>
          <w:color w:val="auto"/>
        </w:rPr>
      </w:pPr>
      <w:r>
        <w:rPr>
          <w:rFonts w:ascii="Courier New" w:cs="Courier New" w:eastAsia="Courier New" w:hAnsi="Courier New"/>
          <w:sz w:val="15"/>
          <w:szCs w:val="15"/>
          <w:color w:val="auto"/>
        </w:rPr>
        <w:t>Under certain agreements, the Company has committed or guaranteed an aggregate of $22,000,000 related principally to the Company's self-insurance programs and as support for various debt instruments and loan guarantees.</w:t>
      </w:r>
    </w:p>
    <w:p>
      <w:pPr>
        <w:spacing w:after="0" w:line="16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481" w:right="1440" w:bottom="1440" w:gutter="0" w:footer="0" w:header="0"/>
        </w:sectPr>
      </w:pPr>
    </w:p>
    <w:bookmarkStart w:id="71" w:name="page72"/>
    <w:bookmarkEnd w:id="71"/>
    <w:p>
      <w:pPr>
        <w:ind w:left="1520"/>
        <w:spacing w:after="0"/>
        <w:rPr>
          <w:sz w:val="20"/>
          <w:szCs w:val="20"/>
          <w:color w:val="auto"/>
        </w:rPr>
      </w:pPr>
      <w:r>
        <w:rPr>
          <w:rFonts w:ascii="Courier New" w:cs="Courier New" w:eastAsia="Courier New" w:hAnsi="Courier New"/>
          <w:sz w:val="16"/>
          <w:szCs w:val="16"/>
          <w:color w:val="auto"/>
        </w:rPr>
        <w:t>UNIVERSAL HEALTH SERVICES, INC. AND SUBSIDIARIES</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NOTES TO CONDENSED CONSOLIDATED FINANCIAL STATEMENTS--(CONTINUED)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SUBSEQUENT EVENTS</w:t>
      </w:r>
    </w:p>
    <w:p>
      <w:pPr>
        <w:spacing w:after="0" w:line="188" w:lineRule="exact"/>
        <w:rPr>
          <w:sz w:val="20"/>
          <w:szCs w:val="20"/>
          <w:color w:val="auto"/>
        </w:rPr>
      </w:pPr>
    </w:p>
    <w:p>
      <w:pPr>
        <w:ind w:right="2599" w:firstLine="382"/>
        <w:spacing w:after="0" w:line="259" w:lineRule="auto"/>
        <w:rPr>
          <w:sz w:val="20"/>
          <w:szCs w:val="20"/>
          <w:color w:val="auto"/>
        </w:rPr>
      </w:pPr>
      <w:r>
        <w:rPr>
          <w:rFonts w:ascii="Courier New" w:cs="Courier New" w:eastAsia="Courier New" w:hAnsi="Courier New"/>
          <w:sz w:val="15"/>
          <w:szCs w:val="15"/>
          <w:color w:val="auto"/>
        </w:rPr>
        <w:t>Subsequent to the end of the 1996 first quarter, the Company executed a purchase agreement to acquire four behavioral health care hospitals located in Pennsylvania and seven contracts to manage behavioral health programs. This purchase transaction, which is subject to regulatory approval, is expected to be completed in June, 1996. The total purchase price for the acquisition of these hospitals and management contracts is $36.5 million in cash for the operations and the property, plant and equipment and up to an additional $5 million which is contingent upon the future operating performance of the acquired assets. In May of 1996, the Company advanced $36.5 million to the seller pursuant to a term note, which is secured by the stock of the subsidiaries to be acquired by the Company. The term note matures upon the earlier of the granting of regulatory approval and the closing of the purchase transaction, or October 31, 1996. Also in connection with this transaction, the Company entered into a $7 million loan agreement which is secured by the stock of the subsidiaries to be acquired by the Company. The $7 million note, the term of which may be extended upon closing of the above mentioned purchase transaction, is scheduled to mature upon the earlier of the granting of regulatory approval and the closing of the purchase transaction described above, or October 31, 1996.</w:t>
      </w:r>
    </w:p>
    <w:p>
      <w:pPr>
        <w:spacing w:after="0" w:line="36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In May, 1996 the Company completed the acquisition of Northwest Texas Healthcare System located in Amarillo, Texas for approximately $125 million in cash and additional amounts payable to the seller based upon performance of the facility for a seven year period after the closing. Northwest Texas Healthcare System consists of a 360 licensed bed full service acute care hospital and free standing behavioral health hospital, two urgent care clinics and other operations.</w:t>
      </w:r>
    </w:p>
    <w:p>
      <w:pPr>
        <w:spacing w:after="0" w:line="188" w:lineRule="exact"/>
        <w:rPr>
          <w:sz w:val="20"/>
          <w:szCs w:val="20"/>
          <w:color w:val="auto"/>
        </w:rPr>
      </w:pPr>
    </w:p>
    <w:p>
      <w:pPr>
        <w:ind w:right="2979" w:firstLine="382"/>
        <w:spacing w:after="0" w:line="239" w:lineRule="auto"/>
        <w:rPr>
          <w:sz w:val="20"/>
          <w:szCs w:val="20"/>
          <w:color w:val="auto"/>
        </w:rPr>
      </w:pPr>
      <w:r>
        <w:rPr>
          <w:rFonts w:ascii="Courier New" w:cs="Courier New" w:eastAsia="Courier New" w:hAnsi="Courier New"/>
          <w:sz w:val="16"/>
          <w:szCs w:val="16"/>
          <w:color w:val="auto"/>
        </w:rPr>
        <w:t>The funds used to finance the above mentioned transactions were borrowed under the Company's revolving credit facility.</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219"/>
          </w:cols>
          <w:pgMar w:left="240" w:top="481" w:right="1440" w:bottom="1440" w:gutter="0" w:footer="0" w:header="0"/>
        </w:sectPr>
      </w:pPr>
    </w:p>
    <w:bookmarkStart w:id="72" w:name="page73"/>
    <w:bookmarkEnd w:id="72"/>
    <w:p>
      <w:pPr>
        <w:ind w:left="2480"/>
        <w:spacing w:after="0"/>
        <w:rPr>
          <w:sz w:val="20"/>
          <w:szCs w:val="20"/>
          <w:color w:val="auto"/>
        </w:rPr>
      </w:pPr>
      <w:r>
        <w:rPr>
          <w:rFonts w:ascii="Courier New" w:cs="Courier New" w:eastAsia="Courier New" w:hAnsi="Courier New"/>
          <w:sz w:val="16"/>
          <w:szCs w:val="16"/>
          <w:color w:val="auto"/>
        </w:rPr>
        <w:t>INDEPENDENT AUDITORS' REPORT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Managers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Amarillo Hospital District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Amarillo, Texas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We have audited the accompanying balance sheet of Northwest Texas Healthcare System (the Hospital), an operation of the Amarillo Hospital District, as of September 30, 1995, and the related statements of revenue and expenses, changes in fund balances and cash flows for the year then ended. These financial statements are the responsibility of the Hospital's management. Our responsibility is to express an opinion on these financial statements based on our audit.</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As discussed in the Summary of Significant Accounting Policies, the financial statements of the Hospital are intended to present the financial position and results of operations and cash flows of only that portion of the financial reporting entity of the Amarillo Hospital District that are attributable to the transactions of the Hospital.</w:t>
      </w:r>
    </w:p>
    <w:p>
      <w:pPr>
        <w:spacing w:after="0" w:line="190" w:lineRule="exact"/>
        <w:rPr>
          <w:sz w:val="20"/>
          <w:szCs w:val="20"/>
          <w:color w:val="auto"/>
        </w:rPr>
      </w:pPr>
    </w:p>
    <w:p>
      <w:pPr>
        <w:ind w:right="2779" w:firstLine="382"/>
        <w:spacing w:after="0" w:line="263" w:lineRule="auto"/>
        <w:rPr>
          <w:sz w:val="20"/>
          <w:szCs w:val="20"/>
          <w:color w:val="auto"/>
        </w:rPr>
      </w:pPr>
      <w:r>
        <w:rPr>
          <w:rFonts w:ascii="Courier New" w:cs="Courier New" w:eastAsia="Courier New" w:hAnsi="Courier New"/>
          <w:sz w:val="15"/>
          <w:szCs w:val="15"/>
          <w:color w:val="auto"/>
        </w:rPr>
        <w:t>In our opinion, the 1995 financial statements referred to above present fairly, in all material respects, the financial position of the Hospital as of September 30, 1995, and the results of its operations and cash flows for the year then ended in conformity with generally accepted accounting principles.</w:t>
      </w:r>
    </w:p>
    <w:p>
      <w:pPr>
        <w:spacing w:after="0" w:line="172"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As discussed in the Summary of Significant Accounting Policies, the Hospital changed its method of accounting for investment securities as of September 30, 1994 to adopt the provisions of the Financial Accounting Standards Board's Statement of Financial Accounting Standards No. 115, Accounting for Certain Investments in Debt and Equity Securities.</w:t>
      </w:r>
    </w:p>
    <w:p>
      <w:pPr>
        <w:spacing w:after="0" w:line="18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CLIFTON, GUNDERSON &amp; CO.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Amarillo,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18, 1995</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10219"/>
          </w:cols>
          <w:pgMar w:left="240" w:top="481" w:right="1440" w:bottom="1440" w:gutter="0" w:footer="0" w:header="0"/>
        </w:sectPr>
      </w:pPr>
    </w:p>
    <w:bookmarkStart w:id="73" w:name="page74"/>
    <w:bookmarkEnd w:id="73"/>
    <w:p>
      <w:pPr>
        <w:ind w:left="2480"/>
        <w:spacing w:after="0"/>
        <w:rPr>
          <w:sz w:val="20"/>
          <w:szCs w:val="20"/>
          <w:color w:val="auto"/>
        </w:rPr>
      </w:pPr>
      <w:r>
        <w:rPr>
          <w:rFonts w:ascii="Courier New" w:cs="Courier New" w:eastAsia="Courier New" w:hAnsi="Courier New"/>
          <w:sz w:val="16"/>
          <w:szCs w:val="16"/>
          <w:color w:val="auto"/>
        </w:rPr>
        <w:t>INDEPENDENT AUDITORS' REPORT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Managers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Amarillo Hospital District:</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We have audited the accompanying balance sheet of Northwest Texas Healthcare System (the Hospital), an operation of the Amarillo Hospital District, as of September 30, 1994, and the related statements of revenue and expenses, changes in fund balances and cash flows for the year then ended. These financial statements are the responsibility of the Hospital's management. Our responsibility is to express an opinion on these financial statements based on our audit.</w:t>
      </w:r>
    </w:p>
    <w:p>
      <w:pPr>
        <w:spacing w:after="0" w:line="188"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As discussed in the Summary of Significant Accounting Policies, the accompanying financial statements of the Hospital are intended to present the financial position and results of operations and cash flows of only that portion of the financial reporting entity of the Amarillo Hospital District that are attributable to the transactions of the Hospital.</w:t>
      </w:r>
    </w:p>
    <w:p>
      <w:pPr>
        <w:spacing w:after="0" w:line="190" w:lineRule="exact"/>
        <w:rPr>
          <w:sz w:val="20"/>
          <w:szCs w:val="20"/>
          <w:color w:val="auto"/>
        </w:rPr>
      </w:pPr>
    </w:p>
    <w:p>
      <w:pPr>
        <w:ind w:right="2599" w:firstLine="382"/>
        <w:spacing w:after="0" w:line="263" w:lineRule="auto"/>
        <w:rPr>
          <w:sz w:val="20"/>
          <w:szCs w:val="20"/>
          <w:color w:val="auto"/>
        </w:rPr>
      </w:pPr>
      <w:r>
        <w:rPr>
          <w:rFonts w:ascii="Courier New" w:cs="Courier New" w:eastAsia="Courier New" w:hAnsi="Courier New"/>
          <w:sz w:val="15"/>
          <w:szCs w:val="15"/>
          <w:color w:val="auto"/>
        </w:rPr>
        <w:t>In our opinion, the 1994 financial statements referred to above present fairly, in all material respects, the financial position of the Hospital as of September 30, 1994, and the results of its operations and its cash flows for the year then ended in conformity with generally accepted accounting principles.</w:t>
      </w:r>
    </w:p>
    <w:p>
      <w:pPr>
        <w:spacing w:after="0" w:line="172"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As discussed in the Summary of Significant Accounting Policies, the Hospital changed its method of accounting for investment securities at September 30, 1994 to adopt the provisions of the Financial Accounting Standards Board's Statement of Financial Accounting Standards No. 115, Accounting for Certain Investments in Debt and Equity Securities.</w:t>
      </w:r>
    </w:p>
    <w:p>
      <w:pPr>
        <w:spacing w:after="0" w:line="188"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KPMG PEAT MARWICK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 1994</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481" w:right="1440" w:bottom="1440" w:gutter="0" w:footer="0" w:header="0"/>
        </w:sectPr>
      </w:pPr>
    </w:p>
    <w:bookmarkStart w:id="74" w:name="page75"/>
    <w:bookmarkEnd w:id="74"/>
    <w:p>
      <w:pPr>
        <w:jc w:val="center"/>
        <w:ind w:right="2679"/>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80" w:type="dxa"/>
            <w:vAlign w:val="bottom"/>
            <w:gridSpan w:val="4"/>
          </w:tcPr>
          <w:p>
            <w:pPr>
              <w:jc w:val="right"/>
              <w:ind w:right="641"/>
              <w:spacing w:after="0"/>
              <w:rPr>
                <w:sz w:val="20"/>
                <w:szCs w:val="20"/>
                <w:color w:val="auto"/>
              </w:rPr>
            </w:pPr>
            <w:r>
              <w:rPr>
                <w:rFonts w:ascii="Courier New" w:cs="Courier New" w:eastAsia="Courier New" w:hAnsi="Courier New"/>
                <w:sz w:val="16"/>
                <w:szCs w:val="16"/>
                <w:color w:val="auto"/>
              </w:rPr>
              <w:t>SEPTEMBER 30, 1994, SEPTEMBER 30, 1995 AND MARCH 31, 1996 (UNAUDITED)</w:t>
            </w:r>
          </w:p>
        </w:tc>
        <w:tc>
          <w:tcPr>
            <w:tcW w:w="1380" w:type="dxa"/>
            <w:vAlign w:val="bottom"/>
          </w:tcPr>
          <w:p>
            <w:pPr>
              <w:spacing w:after="0"/>
              <w:rPr>
                <w:sz w:val="15"/>
                <w:szCs w:val="15"/>
                <w:color w:val="auto"/>
              </w:rPr>
            </w:pPr>
          </w:p>
        </w:tc>
      </w:tr>
      <w:tr>
        <w:trPr>
          <w:trHeight w:val="734"/>
        </w:trPr>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1994</w:t>
            </w:r>
          </w:p>
        </w:tc>
        <w:tc>
          <w:tcPr>
            <w:tcW w:w="15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1995</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(UNAUDITED)</w:t>
            </w:r>
          </w:p>
        </w:tc>
      </w:tr>
      <w:tr>
        <w:trPr>
          <w:trHeight w:val="183"/>
        </w:trPr>
        <w:tc>
          <w:tcPr>
            <w:tcW w:w="4720" w:type="dxa"/>
            <w:vAlign w:val="bottom"/>
          </w:tcPr>
          <w:p>
            <w:pPr>
              <w:jc w:val="right"/>
              <w:ind w:right="2061"/>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8,116,477</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$ 15,971,821</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$ 33,199,529</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Assets whose use is limited--required for</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16,078,474</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8,176,010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8,251,010</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Investments, at fair value (aggregate cost of</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$28,073,978 in 1994 and $35,337,779 in 1995)....</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27,103,707</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35,036,351</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33,227,525</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Patient accounts receivable, net of estimated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uncollectibles of approximately $17,531,000</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 1994 and $19,091,000 in 1995.............</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16,034,683</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17,047,958</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16,340,925</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Taxes receivable, net of allowance for</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doubtful accounts of approximately $742,000</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 1994 and $746,000 in 1995................</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247,421</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134,157</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352,512</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receivable..............................</w:t>
            </w:r>
          </w:p>
        </w:tc>
        <w:tc>
          <w:tcPr>
            <w:tcW w:w="2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3"/>
              </w:rPr>
              <w:t>--</w:t>
            </w:r>
          </w:p>
        </w:tc>
        <w:tc>
          <w:tcPr>
            <w:tcW w:w="15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422,988</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Inventory.....................................</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3,109,371</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3,277,629</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3,353,885</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Prepaid expenses..............................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505,570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596,889</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864,125</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current assets..........................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297,928</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237,495</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469,527</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current assets......................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71,493,631</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80,478,310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96,482,026</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NONCURRENT ASSETS WHOSE USE IS LIMITED..........</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5,386,551</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5,735,708</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4,132,109</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PROPERTY AND EQUIPMENT, NET.....................</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67,848,270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67,252,717</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65,175,589</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TOTAL ASSETS....................................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144,728,452</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$153,466,735</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$165,789,724</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7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LIABILITIES AND FUND BALANCES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7"/>
        </w:trPr>
        <w:tc>
          <w:tcPr>
            <w:tcW w:w="4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Current installments of long-term debt........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1,200,000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1,250,000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1,325,000</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Current portion of capital lease</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obligations.....................................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94,398</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48,228</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50,065</w:t>
            </w: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Current portion of estimated self-insurance</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costs...........................................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1,735,320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1,541,248</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1,541,248</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Accounts payable..............................</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4,494,394</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3,258,554</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2,097,409</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Accrued expenses..............................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8,426,091</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3,044,112</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3,066,979</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ad valorem tax revenue...............</w:t>
            </w:r>
          </w:p>
        </w:tc>
        <w:tc>
          <w:tcPr>
            <w:tcW w:w="2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3"/>
              </w:rPr>
              <w:t>--</w:t>
            </w:r>
          </w:p>
        </w:tc>
        <w:tc>
          <w:tcPr>
            <w:tcW w:w="154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4,090,597</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Estimated third-party payor settlements.......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3,304,540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2,419,081</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4,157,503</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current liabilities.................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19,254,743</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11,561,223</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16,328,801</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ESTIMATED SELF-INSURANCE COSTS, excluding</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current portion.................................</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1,029,750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626,536</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591,536</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LONG-TERM DEBT, excluding current</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installments....................................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8,775,000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7,525,000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6,200,000</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CAPITAL LEASE OBLIGATIONS, excluding current</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portion.........................................</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73,729</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30,694</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5,194</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liabilities.........................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29,133,222</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19,743,453</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23,125,531</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20"/>
                <w:szCs w:val="20"/>
                <w:color w:val="auto"/>
              </w:rPr>
            </w:pPr>
            <w:r>
              <w:rPr>
                <w:rFonts w:ascii="Courier New" w:cs="Courier New" w:eastAsia="Courier New" w:hAnsi="Courier New"/>
                <w:sz w:val="16"/>
                <w:szCs w:val="16"/>
                <w:color w:val="auto"/>
              </w:rPr>
              <w:t>FUND BALANCES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Fund balance--reserved for net unrealized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losses on investments.......................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(1,072,194)</w:t>
            </w:r>
          </w:p>
        </w:tc>
        <w:tc>
          <w:tcPr>
            <w:tcW w:w="15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(335,149)</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(64,729)</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Fund balance--unrestricted....................</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116,667,424</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134,058,431</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142,728,922</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fund balances.......................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115,595,230</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133,723,282</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142,664,193</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TOTAL LIABILITIES AND FUND BALANCES.............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144,728,452</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$153,466,735</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$165,789,724</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These financial statements should be read only in connection with the accompanying summary of significant accounting policies and notes to financial statements.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481" w:right="1440" w:bottom="1440" w:gutter="0" w:footer="0" w:header="0"/>
        </w:sectPr>
      </w:pPr>
    </w:p>
    <w:bookmarkStart w:id="75" w:name="page76"/>
    <w:bookmarkEnd w:id="75"/>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STATEMENTS OF REVENUE AND EXPENSES</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YEARS ENDED SEPTEMBER 30, 1994 AND 1995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20" w:type="dxa"/>
            <w:vAlign w:val="bottom"/>
            <w:gridSpan w:val="4"/>
          </w:tcPr>
          <w:p>
            <w:pPr>
              <w:jc w:val="right"/>
              <w:ind w:right="241"/>
              <w:spacing w:after="0"/>
              <w:rPr>
                <w:sz w:val="20"/>
                <w:szCs w:val="20"/>
                <w:color w:val="auto"/>
              </w:rPr>
            </w:pPr>
            <w:r>
              <w:rPr>
                <w:rFonts w:ascii="Courier New" w:cs="Courier New" w:eastAsia="Courier New" w:hAnsi="Courier New"/>
                <w:sz w:val="16"/>
                <w:szCs w:val="16"/>
                <w:color w:val="auto"/>
              </w:rPr>
              <w:t>SIX MONTHS ENDED MARCH 31, 1995 AND 1996 (UNAUDITED)</w:t>
            </w: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734"/>
        </w:trPr>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2"/>
          </w:tcPr>
          <w:p>
            <w:pPr>
              <w:jc w:val="right"/>
              <w:ind w:right="1021"/>
              <w:spacing w:after="0"/>
              <w:rPr>
                <w:sz w:val="20"/>
                <w:szCs w:val="20"/>
                <w:color w:val="auto"/>
              </w:rPr>
            </w:pPr>
            <w:r>
              <w:rPr>
                <w:rFonts w:ascii="Courier New" w:cs="Courier New" w:eastAsia="Courier New" w:hAnsi="Courier New"/>
                <w:sz w:val="16"/>
                <w:szCs w:val="16"/>
                <w:color w:val="auto"/>
              </w:rPr>
              <w:t>YEARS ENDED</w:t>
            </w:r>
          </w:p>
        </w:tc>
        <w:tc>
          <w:tcPr>
            <w:tcW w:w="272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SIX MONTHS</w:t>
            </w:r>
          </w:p>
        </w:tc>
      </w:tr>
      <w:tr>
        <w:trPr>
          <w:trHeight w:val="183"/>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2"/>
          </w:tcPr>
          <w:p>
            <w:pPr>
              <w:jc w:val="right"/>
              <w:ind w:right="921"/>
              <w:spacing w:after="0"/>
              <w:rPr>
                <w:sz w:val="20"/>
                <w:szCs w:val="20"/>
                <w:color w:val="auto"/>
              </w:rPr>
            </w:pPr>
            <w:r>
              <w:rPr>
                <w:rFonts w:ascii="Courier New" w:cs="Courier New" w:eastAsia="Courier New" w:hAnsi="Courier New"/>
                <w:sz w:val="16"/>
                <w:szCs w:val="16"/>
                <w:color w:val="auto"/>
              </w:rPr>
              <w:t>SEPTEMBER 30,</w:t>
            </w:r>
          </w:p>
        </w:tc>
        <w:tc>
          <w:tcPr>
            <w:tcW w:w="27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ENDED MARCH 31,</w:t>
            </w:r>
          </w:p>
        </w:tc>
      </w:tr>
      <w:tr>
        <w:trPr>
          <w:trHeight w:val="183"/>
        </w:trPr>
        <w:tc>
          <w:tcPr>
            <w:tcW w:w="3580" w:type="dxa"/>
            <w:vAlign w:val="bottom"/>
          </w:tcPr>
          <w:p>
            <w:pPr>
              <w:spacing w:after="0"/>
              <w:rPr>
                <w:sz w:val="15"/>
                <w:szCs w:val="15"/>
                <w:color w:val="auto"/>
              </w:rPr>
            </w:pPr>
          </w:p>
        </w:tc>
        <w:tc>
          <w:tcPr>
            <w:tcW w:w="1520" w:type="dxa"/>
            <w:vAlign w:val="bottom"/>
            <w:gridSpan w:val="2"/>
          </w:tcPr>
          <w:p>
            <w:pPr>
              <w:ind w:left="140"/>
              <w:spacing w:after="0"/>
              <w:rPr>
                <w:sz w:val="20"/>
                <w:szCs w:val="20"/>
                <w:color w:val="auto"/>
              </w:rPr>
            </w:pPr>
            <w:r>
              <w:rPr>
                <w:rFonts w:ascii="Courier New" w:cs="Courier New" w:eastAsia="Courier New" w:hAnsi="Courier New"/>
                <w:sz w:val="11"/>
                <w:szCs w:val="11"/>
                <w:color w:val="auto"/>
                <w:w w:val="73"/>
              </w:rPr>
              <w:t>----------------------------</w:t>
            </w:r>
          </w:p>
        </w:tc>
        <w:tc>
          <w:tcPr>
            <w:tcW w:w="1520" w:type="dxa"/>
            <w:vAlign w:val="bottom"/>
          </w:tcPr>
          <w:p>
            <w:pPr>
              <w:spacing w:after="0"/>
              <w:rPr>
                <w:sz w:val="15"/>
                <w:szCs w:val="15"/>
                <w:color w:val="auto"/>
              </w:rPr>
            </w:pPr>
          </w:p>
        </w:tc>
        <w:tc>
          <w:tcPr>
            <w:tcW w:w="2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5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1995</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3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(UNAUDITED)</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(UNAUDITED)</w:t>
            </w:r>
          </w:p>
        </w:tc>
      </w:tr>
      <w:tr>
        <w:trPr>
          <w:trHeight w:val="367"/>
        </w:trPr>
        <w:tc>
          <w:tcPr>
            <w:tcW w:w="35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patient service revenue.......</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116,270,349</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$120,526,146</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$59,258,003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$58,965,891</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Ad valorem tax revenue............</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8,440,032</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8,148,950</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3,976,986</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4,147,934</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revenue.....................</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6,347,587</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7,323,087</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3,484,741</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3,163,798</w:t>
            </w:r>
          </w:p>
        </w:tc>
      </w:tr>
      <w:tr>
        <w:trPr>
          <w:trHeight w:val="183"/>
        </w:trPr>
        <w:tc>
          <w:tcPr>
            <w:tcW w:w="3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revenue...................</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131,057,968</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135,998,183</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66,719,730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66,277,623</w:t>
            </w:r>
          </w:p>
        </w:tc>
      </w:tr>
      <w:tr>
        <w:trPr>
          <w:trHeight w:val="183"/>
        </w:trPr>
        <w:tc>
          <w:tcPr>
            <w:tcW w:w="3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Wages, salaries and benefits......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62,955,952</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60,927,158</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31,057,634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29,505,047</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Supplies and other................</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29,841,638</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31,901,499</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15,518,621</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15,966,026</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Purchased services................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16,587,044</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20,684,018</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9,369,627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11,247,888</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Professional malpractice costs....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471,648</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132,786</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4,409</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13,132</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 and amortization.....</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7,223,586</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8,664,553</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4,323,802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4,241,609</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85,550</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532,042</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253,803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222,733</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Provision for bad debts...........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11,439,013</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12,187,290</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5,798,734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5,526,645</w:t>
            </w:r>
          </w:p>
        </w:tc>
      </w:tr>
      <w:tr>
        <w:trPr>
          <w:trHeight w:val="183"/>
        </w:trPr>
        <w:tc>
          <w:tcPr>
            <w:tcW w:w="3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expenses..................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128,604,431</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135,029,346</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66,326,630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66,723,080</w:t>
            </w:r>
          </w:p>
        </w:tc>
      </w:tr>
      <w:tr>
        <w:trPr>
          <w:trHeight w:val="183"/>
        </w:trPr>
        <w:tc>
          <w:tcPr>
            <w:tcW w:w="3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(loss) from operations...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2,453,537</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968,837</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393,100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(445,457)</w:t>
            </w:r>
          </w:p>
        </w:tc>
      </w:tr>
      <w:tr>
        <w:trPr>
          <w:trHeight w:val="183"/>
        </w:trPr>
        <w:tc>
          <w:tcPr>
            <w:tcW w:w="3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NONOPERATING GAINS (LOSSES)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Income on investments whose use is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58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limited under indenture</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agreement...........................</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227,788</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267,824</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135,638</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147,347</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investment income...........</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2,840,242</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3,272,077</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1,464,773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1,860,104</w:t>
            </w:r>
          </w:p>
        </w:tc>
      </w:tr>
      <w:tr>
        <w:trPr>
          <w:trHeight w:val="183"/>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Gain (loss) on disposal of</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equipment...........................</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(38,105)</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15,094</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12,501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(81,707)</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Donations to school of pharmacy...</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(4,000,000)</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(155,683)</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(155,683)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Medicaid disproportionate share</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program.............................</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12,194,289</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12,771,681</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6,562,895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6,898,502</w:t>
            </w:r>
          </w:p>
        </w:tc>
      </w:tr>
      <w:tr>
        <w:trPr>
          <w:trHeight w:val="183"/>
        </w:trPr>
        <w:tc>
          <w:tcPr>
            <w:tcW w:w="3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Nonoperating gains, net.........</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11,224,214</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16,170,993</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8,020,124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8,824,246</w:t>
            </w:r>
          </w:p>
        </w:tc>
      </w:tr>
      <w:tr>
        <w:trPr>
          <w:trHeight w:val="183"/>
        </w:trPr>
        <w:tc>
          <w:tcPr>
            <w:tcW w:w="3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20"/>
                <w:szCs w:val="20"/>
                <w:color w:val="auto"/>
              </w:rPr>
            </w:pPr>
            <w:r>
              <w:rPr>
                <w:rFonts w:ascii="Courier New" w:cs="Courier New" w:eastAsia="Courier New" w:hAnsi="Courier New"/>
                <w:sz w:val="16"/>
                <w:szCs w:val="16"/>
                <w:color w:val="auto"/>
              </w:rPr>
              <w:t>REVENUE AND GAINS IN EXCESS OF</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3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EXPENSES AND LOSSES.................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13,677,751</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$ 17,139,830</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$ 8,413,224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$ 8,378,789</w:t>
            </w:r>
          </w:p>
        </w:tc>
      </w:tr>
      <w:tr>
        <w:trPr>
          <w:trHeight w:val="183"/>
        </w:trPr>
        <w:tc>
          <w:tcPr>
            <w:tcW w:w="3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58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These financial statements should be read only in connection with the accompanying summary of significant accounting policies and notes to financial statements.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481" w:right="1440" w:bottom="1440" w:gutter="0" w:footer="0" w:header="0"/>
        </w:sectPr>
      </w:pPr>
    </w:p>
    <w:bookmarkStart w:id="76" w:name="page77"/>
    <w:bookmarkEnd w:id="76"/>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STATEMENTS OF CHANGES IN FUND BALANCES</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YEARS ENDED SEPTEMBER 30, 1994 AND 1995 AND</w:t>
      </w:r>
    </w:p>
    <w:p>
      <w:pPr>
        <w:spacing w:after="0" w:line="1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SIX MONTHS ENDED MARCH 31, 1996 (UNAUDITED)</w:t>
      </w:r>
    </w:p>
    <w:p>
      <w:pPr>
        <w:sectPr>
          <w:pgSz w:w="11900" w:h="16838" w:orient="portrait"/>
          <w:cols w:equalWidth="0" w:num="1">
            <w:col w:w="10219"/>
          </w:cols>
          <w:pgMar w:left="240" w:top="4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YEAR ENDED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SEPTEMBER 30, 1994</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UNREALIZED</w:t>
      </w:r>
    </w:p>
    <w:p>
      <w:pPr>
        <w:spacing w:after="0" w:line="2" w:lineRule="exact"/>
        <w:rPr>
          <w:sz w:val="20"/>
          <w:szCs w:val="20"/>
          <w:color w:val="auto"/>
        </w:rPr>
      </w:pPr>
    </w:p>
    <w:p>
      <w:pPr>
        <w:ind w:left="2200"/>
        <w:spacing w:after="0"/>
        <w:tabs>
          <w:tab w:leader="none" w:pos="3800" w:val="left"/>
        </w:tabs>
        <w:rPr>
          <w:sz w:val="20"/>
          <w:szCs w:val="20"/>
          <w:color w:val="auto"/>
        </w:rPr>
      </w:pPr>
      <w:r>
        <w:rPr>
          <w:rFonts w:ascii="Courier New" w:cs="Courier New" w:eastAsia="Courier New" w:hAnsi="Courier New"/>
          <w:sz w:val="16"/>
          <w:szCs w:val="16"/>
          <w:color w:val="auto"/>
        </w:rPr>
        <w:t>UNRESTRICTED</w:t>
      </w:r>
      <w:r>
        <w:rPr>
          <w:sz w:val="20"/>
          <w:szCs w:val="20"/>
          <w:color w:val="auto"/>
        </w:rPr>
        <w:tab/>
      </w:r>
      <w:r>
        <w:rPr>
          <w:rFonts w:ascii="Courier New" w:cs="Courier New" w:eastAsia="Courier New" w:hAnsi="Courier New"/>
          <w:sz w:val="16"/>
          <w:szCs w:val="16"/>
          <w:color w:val="auto"/>
        </w:rPr>
        <w:t>LOSSES</w:t>
      </w:r>
    </w:p>
    <w:p>
      <w:pPr>
        <w:spacing w:after="0" w:line="2" w:lineRule="exact"/>
        <w:rPr>
          <w:sz w:val="20"/>
          <w:szCs w:val="20"/>
          <w:color w:val="auto"/>
        </w:rPr>
      </w:pPr>
    </w:p>
    <w:p>
      <w:pPr>
        <w:ind w:left="2200"/>
        <w:spacing w:after="0"/>
        <w:tabs>
          <w:tab w:leader="none" w:pos="360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YEAR ENDED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SEPTEMBER 30,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UNREALIZED</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UNRESTRICTED</w:t>
      </w:r>
      <w:r>
        <w:rPr>
          <w:sz w:val="20"/>
          <w:szCs w:val="20"/>
          <w:color w:val="auto"/>
        </w:rPr>
        <w:tab/>
      </w:r>
      <w:r>
        <w:rPr>
          <w:rFonts w:ascii="Courier New" w:cs="Courier New" w:eastAsia="Courier New" w:hAnsi="Courier New"/>
          <w:sz w:val="16"/>
          <w:szCs w:val="16"/>
          <w:color w:val="auto"/>
        </w:rPr>
        <w:t>LOSSES</w:t>
      </w:r>
    </w:p>
    <w:p>
      <w:pPr>
        <w:spacing w:after="0" w:line="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SIX MONTHS ENDED</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MARCH 31, 1996</w:t>
      </w:r>
    </w:p>
    <w:p>
      <w:pPr>
        <w:spacing w:after="0" w:line="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(UNAUDITED)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UNREALIZED</w:t>
      </w:r>
    </w:p>
    <w:p>
      <w:pPr>
        <w:spacing w:after="0" w:line="11"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UNRESTRICTED</w:t>
      </w:r>
      <w:r>
        <w:rPr>
          <w:sz w:val="20"/>
          <w:szCs w:val="20"/>
          <w:color w:val="auto"/>
        </w:rPr>
        <w:tab/>
      </w:r>
      <w:r>
        <w:rPr>
          <w:rFonts w:ascii="Courier New" w:cs="Courier New" w:eastAsia="Courier New" w:hAnsi="Courier New"/>
          <w:sz w:val="16"/>
          <w:szCs w:val="16"/>
          <w:color w:val="auto"/>
        </w:rPr>
        <w:t>LOSSES</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96" w:lineRule="exact"/>
        <w:rPr>
          <w:sz w:val="20"/>
          <w:szCs w:val="20"/>
          <w:color w:val="auto"/>
        </w:rPr>
      </w:pPr>
    </w:p>
    <w:p>
      <w:pPr>
        <w:sectPr>
          <w:pgSz w:w="11900" w:h="16838" w:orient="portrait"/>
          <w:cols w:equalWidth="0" w:num="3">
            <w:col w:w="4680" w:space="280"/>
            <w:col w:w="2480" w:space="280"/>
            <w:col w:w="2499"/>
          </w:cols>
          <w:pgMar w:left="240" w:top="4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BEGINNING OF</w:t>
      </w:r>
    </w:p>
    <w:p>
      <w:pPr>
        <w:sectPr>
          <w:pgSz w:w="11900" w:h="16838" w:orient="portrait"/>
          <w:cols w:equalWidth="0" w:num="1">
            <w:col w:w="10219"/>
          </w:cols>
          <w:pgMar w:left="240" w:top="481"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$102,947,085</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$116,667,424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$(1,072,194)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$134,058,431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(335,149)</w:t>
      </w:r>
    </w:p>
    <w:p>
      <w:pPr>
        <w:spacing w:after="0" w:line="13" w:lineRule="exact"/>
        <w:rPr>
          <w:sz w:val="20"/>
          <w:szCs w:val="20"/>
          <w:color w:val="auto"/>
        </w:rPr>
      </w:pPr>
    </w:p>
    <w:p>
      <w:pPr>
        <w:sectPr>
          <w:pgSz w:w="11900" w:h="16838" w:orient="portrait"/>
          <w:cols w:equalWidth="0" w:num="7">
            <w:col w:w="2000" w:space="200"/>
            <w:col w:w="1140" w:space="280"/>
            <w:col w:w="620" w:space="720"/>
            <w:col w:w="1140" w:space="280"/>
            <w:col w:w="1160" w:space="180"/>
            <w:col w:w="1140" w:space="300"/>
            <w:col w:w="1059"/>
          </w:cols>
          <w:pgMar w:left="240" w:top="48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Revenue and gains</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 excess of</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expenses and</w:t>
      </w:r>
    </w:p>
    <w:p>
      <w:pPr>
        <w:sectPr>
          <w:pgSz w:w="11900" w:h="16838" w:orient="portrait"/>
          <w:cols w:equalWidth="0" w:num="1">
            <w:col w:w="10219"/>
          </w:cols>
          <w:pgMar w:left="240" w:top="481"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13,677,751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17,139,830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8,378,789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1" w:lineRule="exact"/>
        <w:rPr>
          <w:sz w:val="20"/>
          <w:szCs w:val="20"/>
          <w:color w:val="auto"/>
        </w:rPr>
      </w:pPr>
    </w:p>
    <w:p>
      <w:pPr>
        <w:sectPr>
          <w:pgSz w:w="11900" w:h="16838" w:orient="portrait"/>
          <w:cols w:equalWidth="0" w:num="7">
            <w:col w:w="2000" w:space="380"/>
            <w:col w:w="960" w:space="660"/>
            <w:col w:w="420" w:space="720"/>
            <w:col w:w="960" w:space="660"/>
            <w:col w:w="520" w:space="720"/>
            <w:col w:w="860" w:space="680"/>
            <w:col w:w="679"/>
          </w:cols>
          <w:pgMar w:left="240" w:top="48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6"/>
          <w:szCs w:val="16"/>
          <w:color w:val="auto"/>
        </w:rPr>
        <w:t>Change in</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unrealized gains</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(losses) on</w:t>
      </w:r>
    </w:p>
    <w:p>
      <w:pPr>
        <w:sectPr>
          <w:pgSz w:w="11900" w:h="16838" w:orient="portrait"/>
          <w:cols w:equalWidth="0" w:num="1">
            <w:col w:w="10219"/>
          </w:cols>
          <w:pgMar w:left="240" w:top="481" w:right="1440" w:bottom="1440" w:gutter="0" w:footer="0" w:header="0"/>
          <w:type w:val="continuous"/>
        </w:sectPr>
      </w:pP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investments..........</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Other..............</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42,588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(1,072,194)</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251,177</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6"/>
          <w:szCs w:val="16"/>
          <w:color w:val="auto"/>
        </w:rPr>
        <w:t>737,045</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291,702</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Courier New" w:cs="Courier New" w:eastAsia="Courier New" w:hAnsi="Courier New"/>
          <w:sz w:val="15"/>
          <w:szCs w:val="15"/>
          <w:color w:val="auto"/>
        </w:rPr>
        <w:t>270,420</w:t>
      </w:r>
    </w:p>
    <w:p>
      <w:pPr>
        <w:spacing w:after="0" w:line="1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ectPr>
          <w:pgSz w:w="11900" w:h="16838" w:orient="portrait"/>
          <w:cols w:equalWidth="0" w:num="7">
            <w:col w:w="2000" w:space="200"/>
            <w:col w:w="1140" w:space="280"/>
            <w:col w:w="1140" w:space="200"/>
            <w:col w:w="1140" w:space="280"/>
            <w:col w:w="1060" w:space="280"/>
            <w:col w:w="1140" w:space="300"/>
            <w:col w:w="1059"/>
          </w:cols>
          <w:pgMar w:left="240" w:top="4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w:t>
      </w:r>
    </w:p>
    <w:p>
      <w:pPr>
        <w:sectPr>
          <w:pgSz w:w="11900" w:h="16838" w:orient="portrait"/>
          <w:cols w:equalWidth="0" w:num="1">
            <w:col w:w="10219"/>
          </w:cols>
          <w:pgMar w:left="240" w:top="481"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END OF PERIOD......</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Courier New" w:cs="Courier New" w:eastAsia="Courier New" w:hAnsi="Courier New"/>
          <w:sz w:val="15"/>
          <w:szCs w:val="15"/>
          <w:color w:val="auto"/>
        </w:rPr>
        <w:t>$116,667,424 ------------ ------------</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Courier New" w:cs="Courier New" w:eastAsia="Courier New" w:hAnsi="Courier New"/>
          <w:sz w:val="15"/>
          <w:szCs w:val="15"/>
          <w:color w:val="auto"/>
        </w:rPr>
        <w:t>$(1,072,194) ----------- -----------</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Courier New" w:cs="Courier New" w:eastAsia="Courier New" w:hAnsi="Courier New"/>
          <w:sz w:val="15"/>
          <w:szCs w:val="15"/>
          <w:color w:val="auto"/>
        </w:rPr>
        <w:t>$134,058,431 ------------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(335,149) ----------- -----------</w:t>
      </w:r>
    </w:p>
    <w:p>
      <w:pPr>
        <w:spacing w:after="0" w:line="20" w:lineRule="exact"/>
        <w:rPr>
          <w:sz w:val="20"/>
          <w:szCs w:val="20"/>
          <w:color w:val="auto"/>
        </w:rPr>
      </w:pPr>
      <w:r>
        <w:rPr>
          <w:sz w:val="20"/>
          <w:szCs w:val="20"/>
          <w:color w:val="auto"/>
        </w:rPr>
        <w:br w:type="column"/>
      </w:r>
    </w:p>
    <w:p>
      <w:pPr>
        <w:jc w:val="both"/>
        <w:spacing w:after="0" w:line="265" w:lineRule="auto"/>
        <w:rPr>
          <w:sz w:val="20"/>
          <w:szCs w:val="20"/>
          <w:color w:val="auto"/>
        </w:rPr>
      </w:pPr>
      <w:r>
        <w:rPr>
          <w:rFonts w:ascii="Courier New" w:cs="Courier New" w:eastAsia="Courier New" w:hAnsi="Courier New"/>
          <w:sz w:val="15"/>
          <w:szCs w:val="15"/>
          <w:color w:val="auto"/>
        </w:rPr>
        <w:t>$142,728,922 ------------ ------------</w:t>
      </w:r>
    </w:p>
    <w:p>
      <w:pPr>
        <w:spacing w:after="0" w:line="20" w:lineRule="exact"/>
        <w:rPr>
          <w:sz w:val="20"/>
          <w:szCs w:val="20"/>
          <w:color w:val="auto"/>
        </w:rPr>
      </w:pPr>
      <w:r>
        <w:rPr>
          <w:sz w:val="20"/>
          <w:szCs w:val="20"/>
          <w:color w:val="auto"/>
        </w:rPr>
        <w:br w:type="column"/>
      </w:r>
    </w:p>
    <w:p>
      <w:pPr>
        <w:ind w:right="19"/>
        <w:spacing w:after="0"/>
        <w:rPr>
          <w:sz w:val="20"/>
          <w:szCs w:val="20"/>
          <w:color w:val="auto"/>
        </w:rPr>
      </w:pPr>
      <w:r>
        <w:rPr>
          <w:rFonts w:ascii="Courier New" w:cs="Courier New" w:eastAsia="Courier New" w:hAnsi="Courier New"/>
          <w:sz w:val="16"/>
          <w:szCs w:val="16"/>
          <w:color w:val="auto"/>
        </w:rPr>
        <w:t>$ (64,729) ---------- ----------</w:t>
      </w:r>
    </w:p>
    <w:p>
      <w:pPr>
        <w:spacing w:after="0" w:line="219" w:lineRule="exact"/>
        <w:rPr>
          <w:sz w:val="20"/>
          <w:szCs w:val="20"/>
          <w:color w:val="auto"/>
        </w:rPr>
      </w:pPr>
    </w:p>
    <w:p>
      <w:pPr>
        <w:sectPr>
          <w:pgSz w:w="11900" w:h="16838" w:orient="portrait"/>
          <w:cols w:equalWidth="0" w:num="7">
            <w:col w:w="2000" w:space="200"/>
            <w:col w:w="1140" w:space="280"/>
            <w:col w:w="1140" w:space="200"/>
            <w:col w:w="1140" w:space="280"/>
            <w:col w:w="1160" w:space="180"/>
            <w:col w:w="1140" w:space="300"/>
            <w:col w:w="1059"/>
          </w:cols>
          <w:pgMar w:left="240" w:top="481" w:right="1440" w:bottom="1440" w:gutter="0" w:footer="0" w:header="0"/>
          <w:type w:val="continuous"/>
        </w:sectPr>
      </w:pPr>
    </w:p>
    <w:p>
      <w:pPr>
        <w:spacing w:after="0" w:line="154"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These financial statements should be read only in connection with the accompanying summary of significant accounting policies and notes to financial statements.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481" w:right="1440" w:bottom="1440" w:gutter="0" w:footer="0" w:header="0"/>
          <w:type w:val="continuous"/>
        </w:sectPr>
      </w:pPr>
    </w:p>
    <w:bookmarkStart w:id="77" w:name="page78"/>
    <w:bookmarkEnd w:id="77"/>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STATEMENTS OF CASH FLOWS</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YEARS ENDED SEPTEMBER 30, 1994 AND 1995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80" w:type="dxa"/>
            <w:vAlign w:val="bottom"/>
            <w:gridSpan w:val="4"/>
          </w:tcPr>
          <w:p>
            <w:pPr>
              <w:jc w:val="right"/>
              <w:ind w:right="1101"/>
              <w:spacing w:after="0"/>
              <w:rPr>
                <w:sz w:val="20"/>
                <w:szCs w:val="20"/>
                <w:color w:val="auto"/>
              </w:rPr>
            </w:pPr>
            <w:r>
              <w:rPr>
                <w:rFonts w:ascii="Courier New" w:cs="Courier New" w:eastAsia="Courier New" w:hAnsi="Courier New"/>
                <w:sz w:val="16"/>
                <w:szCs w:val="16"/>
                <w:color w:val="auto"/>
              </w:rPr>
              <w:t>SIX MONTHS ENDED MARCH 31, 1995 AND 1996 (UNAUDITED)</w:t>
            </w: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550"/>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2"/>
          </w:tcPr>
          <w:p>
            <w:pPr>
              <w:jc w:val="right"/>
              <w:ind w:right="1021"/>
              <w:spacing w:after="0"/>
              <w:rPr>
                <w:sz w:val="20"/>
                <w:szCs w:val="20"/>
                <w:color w:val="auto"/>
              </w:rPr>
            </w:pPr>
            <w:r>
              <w:rPr>
                <w:rFonts w:ascii="Courier New" w:cs="Courier New" w:eastAsia="Courier New" w:hAnsi="Courier New"/>
                <w:sz w:val="16"/>
                <w:szCs w:val="16"/>
                <w:color w:val="auto"/>
              </w:rPr>
              <w:t>YEARS ENDED</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SIX</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MONTHS</w:t>
            </w:r>
          </w:p>
        </w:tc>
      </w:tr>
      <w:tr>
        <w:trPr>
          <w:trHeight w:val="183"/>
        </w:trPr>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2"/>
          </w:tcPr>
          <w:p>
            <w:pPr>
              <w:jc w:val="right"/>
              <w:ind w:right="921"/>
              <w:spacing w:after="0"/>
              <w:rPr>
                <w:sz w:val="20"/>
                <w:szCs w:val="20"/>
                <w:color w:val="auto"/>
              </w:rPr>
            </w:pPr>
            <w:r>
              <w:rPr>
                <w:rFonts w:ascii="Courier New" w:cs="Courier New" w:eastAsia="Courier New" w:hAnsi="Courier New"/>
                <w:sz w:val="16"/>
                <w:szCs w:val="16"/>
                <w:color w:val="auto"/>
              </w:rPr>
              <w:t>SEPTEMBER 30,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ENDED</w:t>
            </w: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MARCH 31,</w:t>
            </w:r>
          </w:p>
        </w:tc>
      </w:tr>
      <w:tr>
        <w:trPr>
          <w:trHeight w:val="183"/>
        </w:trPr>
        <w:tc>
          <w:tcPr>
            <w:tcW w:w="4440" w:type="dxa"/>
            <w:vAlign w:val="bottom"/>
          </w:tcPr>
          <w:p>
            <w:pPr>
              <w:spacing w:after="0"/>
              <w:rPr>
                <w:sz w:val="15"/>
                <w:szCs w:val="15"/>
                <w:color w:val="auto"/>
              </w:rPr>
            </w:pPr>
          </w:p>
        </w:tc>
        <w:tc>
          <w:tcPr>
            <w:tcW w:w="1520" w:type="dxa"/>
            <w:vAlign w:val="bottom"/>
            <w:gridSpan w:val="2"/>
          </w:tcPr>
          <w:p>
            <w:pPr>
              <w:ind w:left="140"/>
              <w:spacing w:after="0"/>
              <w:rPr>
                <w:sz w:val="20"/>
                <w:szCs w:val="20"/>
                <w:color w:val="auto"/>
              </w:rPr>
            </w:pPr>
            <w:r>
              <w:rPr>
                <w:rFonts w:ascii="Courier New" w:cs="Courier New" w:eastAsia="Courier New" w:hAnsi="Courier New"/>
                <w:sz w:val="11"/>
                <w:szCs w:val="11"/>
                <w:color w:val="auto"/>
                <w:w w:val="73"/>
              </w:rPr>
              <w:t>----------------------------</w:t>
            </w:r>
          </w:p>
        </w:tc>
        <w:tc>
          <w:tcPr>
            <w:tcW w:w="1520" w:type="dxa"/>
            <w:vAlign w:val="bottom"/>
          </w:tcPr>
          <w:p>
            <w:pPr>
              <w:spacing w:after="0"/>
              <w:rPr>
                <w:sz w:val="15"/>
                <w:szCs w:val="15"/>
                <w:color w:val="auto"/>
              </w:rPr>
            </w:pPr>
          </w:p>
        </w:tc>
        <w:tc>
          <w:tcPr>
            <w:tcW w:w="28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1994</w:t>
            </w:r>
          </w:p>
        </w:tc>
        <w:tc>
          <w:tcPr>
            <w:tcW w:w="15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1995</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8"/>
              </w:rPr>
              <w:t>1995</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1996</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(UNAUDITED)</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(UNAUDITED)</w:t>
            </w:r>
          </w:p>
        </w:tc>
      </w:tr>
      <w:tr>
        <w:trPr>
          <w:trHeight w:val="367"/>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CASH FLOWS FROM OPERATING</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ACTIVITIES AND GAINS AND LOSSES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Revenue and gains in excess of expenses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and losses................................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13,677,751</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$ 17,139,830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$ 8,413,224</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8,378,789</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Adjustments to reconcile revenue and gains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in excess of expenses and losses to net</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cash provided by operating activities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gains and losses: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Provision for bad debts...................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11,439,013</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12,187,290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5,798,734</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5,526,645</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7,223,586</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8,664,553</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4,323,802</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4,241,609</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(Gain) loss on disposal of assets.........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38,105</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(15,094)</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(12,509)</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79,082</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Loss on sale of investments...............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88,659</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17,578</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3"/>
              </w:rPr>
              <w:t>--</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Decrease (increase) in:</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Patient accounts receivable.............</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(12,850,787)</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(13,196,232)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(7,824,701)</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(4,819,612)</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Taxes receivable........................</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80,766</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108,931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(262,446)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(218,355)</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Other receivable........................</w:t>
            </w:r>
          </w:p>
        </w:tc>
        <w:tc>
          <w:tcPr>
            <w:tcW w:w="2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3"/>
              </w:rPr>
              <w:t>--</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(422,988)</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Inventory of supplies...................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(247,722)</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(168,258)</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(255,712)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(76,256)</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Prepaid expenses........................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127,474</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(91,319)</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(332,797)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(267,236)</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Other current assets....................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(144,533)</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60,433</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13,416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(232,032)</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Assets whose use is limited.............</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(9,609)</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33,049</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(91,891)</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(50,674)</w:t>
            </w:r>
          </w:p>
        </w:tc>
      </w:tr>
      <w:tr>
        <w:trPr>
          <w:trHeight w:val="183"/>
        </w:trPr>
        <w:tc>
          <w:tcPr>
            <w:tcW w:w="4440" w:type="dxa"/>
            <w:vAlign w:val="bottom"/>
          </w:tcPr>
          <w:p>
            <w:pPr>
              <w:ind w:left="280"/>
              <w:spacing w:after="0"/>
              <w:rPr>
                <w:sz w:val="20"/>
                <w:szCs w:val="20"/>
                <w:color w:val="auto"/>
              </w:rPr>
            </w:pPr>
            <w:r>
              <w:rPr>
                <w:rFonts w:ascii="Courier New" w:cs="Courier New" w:eastAsia="Courier New" w:hAnsi="Courier New"/>
                <w:sz w:val="16"/>
                <w:szCs w:val="16"/>
                <w:color w:val="auto"/>
              </w:rPr>
              <w:t>Increase (decrease) in:</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Accounts payable........................</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(416,778)</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(1,235,840)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(1,044,454)</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(1,161,145)</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Accrued expenses........................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2,246,948</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(5,374,383)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(5,454,726)</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29,159</w:t>
            </w:r>
          </w:p>
        </w:tc>
      </w:tr>
      <w:tr>
        <w:trPr>
          <w:trHeight w:val="183"/>
        </w:trPr>
        <w:tc>
          <w:tcPr>
            <w:tcW w:w="4440" w:type="dxa"/>
            <w:vAlign w:val="bottom"/>
          </w:tcPr>
          <w:p>
            <w:pPr>
              <w:jc w:val="right"/>
              <w:ind w:right="1321"/>
              <w:spacing w:after="0"/>
              <w:rPr>
                <w:sz w:val="20"/>
                <w:szCs w:val="20"/>
                <w:color w:val="auto"/>
              </w:rPr>
            </w:pPr>
            <w:r>
              <w:rPr>
                <w:rFonts w:ascii="Courier New" w:cs="Courier New" w:eastAsia="Courier New" w:hAnsi="Courier New"/>
                <w:sz w:val="16"/>
                <w:szCs w:val="16"/>
                <w:color w:val="auto"/>
              </w:rPr>
              <w:t>Estimated third-party payor</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settlements..................................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(2,334,422)</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(885,459)</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685,364</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1,738,422</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Estimated self-insurance costs..........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1,825,070</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(597,286)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(65,000)</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(35,000)</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Deferred ad valorem tax revenue.........</w:t>
            </w:r>
          </w:p>
        </w:tc>
        <w:tc>
          <w:tcPr>
            <w:tcW w:w="2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3"/>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3,916,432</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4,090,597</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ind w:left="580"/>
              <w:spacing w:after="0"/>
              <w:rPr>
                <w:sz w:val="20"/>
                <w:szCs w:val="20"/>
                <w:color w:val="auto"/>
              </w:rPr>
            </w:pPr>
            <w:r>
              <w:rPr>
                <w:rFonts w:ascii="Courier New" w:cs="Courier New" w:eastAsia="Courier New" w:hAnsi="Courier New"/>
                <w:sz w:val="16"/>
                <w:szCs w:val="16"/>
                <w:color w:val="auto"/>
              </w:rPr>
              <w:t>Net cash provided by operating</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activities and gains and losses......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20,743,521</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16,647,793</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7,806,736</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16,801,005</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Cash received from (invested in) assets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whose use is limited......................</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(628,416)</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(459,206)</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6,971,711</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1,579,273</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Proceeds from sale of investments...........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910,091</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2,976,797</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4,013,172</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Purchases of investments....................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(20,533,960)</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(12,133,675)</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(6,284,979)</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(10,746,218)</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Maturities of investments...................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18,557,386</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9,923,165</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4,167,298</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8,812,292</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ind w:left="580"/>
              <w:spacing w:after="0"/>
              <w:rPr>
                <w:sz w:val="20"/>
                <w:szCs w:val="20"/>
                <w:color w:val="auto"/>
              </w:rPr>
            </w:pPr>
            <w:r>
              <w:rPr>
                <w:rFonts w:ascii="Courier New" w:cs="Courier New" w:eastAsia="Courier New" w:hAnsi="Courier New"/>
                <w:sz w:val="16"/>
                <w:szCs w:val="16"/>
                <w:color w:val="auto"/>
              </w:rPr>
              <w:t>Net cash provided (used) by investing</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activities...................................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(1,694,899)</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307,081</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4,854,030</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3,658,519</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CASH FLOWS FROM CAPITAL AND RELATED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FINANCING ACTIVITIES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Purchases of property and equipment.........</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(22,951,830)</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(7,878,850)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(5,785,862)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(1,962,189)</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Proceeds from sale of equipment.............</w:t>
            </w:r>
          </w:p>
        </w:tc>
        <w:tc>
          <w:tcPr>
            <w:tcW w:w="2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76,121</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7,000</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10,328</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Repayment of long-term debt.................</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(1,128,513)</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(1,200,000)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(1,217,484)</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(1,250,000)</w:t>
            </w: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Payments on capital lease obligations.......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(80,127)</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(89,205)</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(51,257)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(23,663)</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Interest paid on long-term debt and capital</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lease obligations.........................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(641,877)</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(506,227)</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(261,825)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(229,025)</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Interest capitalized on construction</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8"/>
              </w:rPr>
              <w:t>projects.....................................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554,025</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17,171</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3"/>
              </w:rPr>
              <w:t>--</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 on long-term debt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capital lease obligations.................</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87,852</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481,460</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253,803</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222,733</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ind w:left="580"/>
              <w:spacing w:after="0"/>
              <w:rPr>
                <w:sz w:val="20"/>
                <w:szCs w:val="20"/>
                <w:color w:val="auto"/>
              </w:rPr>
            </w:pPr>
            <w:r>
              <w:rPr>
                <w:rFonts w:ascii="Courier New" w:cs="Courier New" w:eastAsia="Courier New" w:hAnsi="Courier New"/>
                <w:sz w:val="16"/>
                <w:szCs w:val="16"/>
                <w:color w:val="auto"/>
              </w:rPr>
              <w:t>Net cash used in capital and related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financing activities.................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(24,160,470)</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(9,099,530)</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(7,055,625)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(3,231,816)</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CASH EQUIVALENTS............................</w:t>
            </w:r>
          </w:p>
        </w:tc>
        <w:tc>
          <w:tcPr>
            <w:tcW w:w="24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(5,111,848)</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7,855,344</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5,605,141</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17,227,708</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BEGINNING OF PERIOD.........................</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13,228,325</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8,116,477</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8,116,477</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15,971,821</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44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END OF PERIOD...............................</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8,116,477</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$ 15,971,821</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$13,721,618</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$ 33,199,529</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860" w:firstLine="477"/>
        <w:spacing w:after="0"/>
        <w:rPr>
          <w:sz w:val="20"/>
          <w:szCs w:val="20"/>
          <w:color w:val="auto"/>
        </w:rPr>
      </w:pPr>
      <w:r>
        <w:rPr>
          <w:rFonts w:ascii="Courier New" w:cs="Courier New" w:eastAsia="Courier New" w:hAnsi="Courier New"/>
          <w:sz w:val="16"/>
          <w:szCs w:val="16"/>
          <w:color w:val="auto"/>
        </w:rPr>
        <w:t>These financial statements should be read only in connection with the accompanying summary of significant accounting policies and notes to financial statements.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300"/>
          </w:cols>
          <w:pgMar w:left="240" w:top="481" w:right="1359" w:bottom="22" w:gutter="0" w:footer="0" w:header="0"/>
        </w:sectPr>
      </w:pPr>
    </w:p>
    <w:bookmarkStart w:id="78" w:name="page79"/>
    <w:bookmarkEnd w:id="78"/>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SUMMARY OF SIGNIFICANT ACCOUNTING POLICIES</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FINANCIAL REPORTING ENTITY</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Northwest Texas Healthcare System (the Hospital) is operated by the Amarillo Hospital District (the District) a political subdivision of the State of Texas. The District is a component unit of the City of Amarillo and the City Commission of the City of Amarillo appoints the District's Board of Managers and approves the ad valorem tax rate and annual operating budget. The accompanying financial statements of the Hospital are intended to present the financial position and results of operations and cash flows of only that portion of the financial reporting entity of the District that are attributable to the transactions of the Hospital.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HOSPITAL OPERATIONS</w:t>
      </w:r>
    </w:p>
    <w:p>
      <w:pPr>
        <w:spacing w:after="0" w:line="188"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Hospital operates general and emergency health care facilities, an outpatient indigent clinic, outpatient community service clinics, a psychiatric and behavioral hospital, and ambulance services in Amarillo, Texas. It also serves as a teaching hospital for the Texas Tech University Health Sciences Center.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BASIS OF PRESENTATION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FINANCIAL STATEMENTS</w:t>
      </w:r>
    </w:p>
    <w:p>
      <w:pPr>
        <w:spacing w:after="0" w:line="188" w:lineRule="exact"/>
        <w:rPr>
          <w:sz w:val="20"/>
          <w:szCs w:val="20"/>
          <w:color w:val="auto"/>
        </w:rPr>
      </w:pPr>
    </w:p>
    <w:p>
      <w:pPr>
        <w:ind w:right="2599" w:firstLine="382"/>
        <w:spacing w:after="0" w:line="263" w:lineRule="auto"/>
        <w:rPr>
          <w:sz w:val="20"/>
          <w:szCs w:val="20"/>
          <w:color w:val="auto"/>
        </w:rPr>
      </w:pPr>
      <w:r>
        <w:rPr>
          <w:rFonts w:ascii="Courier New" w:cs="Courier New" w:eastAsia="Courier New" w:hAnsi="Courier New"/>
          <w:sz w:val="15"/>
          <w:szCs w:val="15"/>
          <w:color w:val="auto"/>
        </w:rPr>
        <w:t>The annual financial statements are prepared in accordance with the American Institute of Certified Public Accountant's Audit and Accounting Guide, Audits of Providers of Health Care Services, and all applicable Governmental Accounting Standards Board and Financial Accounting Standards Board pronouncements.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INTERIM FINANCIAL STATEMENTS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unaudited condensed interim financial statements included herein were prepared from the books of the Hospital in accordance with generally accepted accounting principles and reflect all adjustments (consisting of normal recurring accruals) which are, in the opinion of management, necessary to a fair statement of the results of operations and financial position for the interim periods. The current interim period reported herein is not necessarily an indication of the expected results for the fiscal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BASIS OF ACCOUNTING</w:t>
      </w:r>
    </w:p>
    <w:p>
      <w:pPr>
        <w:spacing w:after="0" w:line="188" w:lineRule="exact"/>
        <w:rPr>
          <w:sz w:val="20"/>
          <w:szCs w:val="20"/>
          <w:color w:val="auto"/>
        </w:rPr>
      </w:pPr>
    </w:p>
    <w:p>
      <w:pPr>
        <w:ind w:right="2679" w:firstLine="382"/>
        <w:spacing w:after="0" w:line="265" w:lineRule="auto"/>
        <w:rPr>
          <w:sz w:val="20"/>
          <w:szCs w:val="20"/>
          <w:color w:val="auto"/>
        </w:rPr>
      </w:pPr>
      <w:r>
        <w:rPr>
          <w:rFonts w:ascii="Courier New" w:cs="Courier New" w:eastAsia="Courier New" w:hAnsi="Courier New"/>
          <w:sz w:val="15"/>
          <w:szCs w:val="15"/>
          <w:color w:val="auto"/>
        </w:rPr>
        <w:t>Transactions deemed by management to be ongoing, major or central to providing health care services are reported as revenue and expenses. Peripheral or incidental transactions are reported as nonoperating gains and losses.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PATIENT SERVICE REVENUE</w:t>
      </w:r>
    </w:p>
    <w:p>
      <w:pPr>
        <w:spacing w:after="0" w:line="188" w:lineRule="exact"/>
        <w:rPr>
          <w:sz w:val="20"/>
          <w:szCs w:val="20"/>
          <w:color w:val="auto"/>
        </w:rPr>
      </w:pPr>
    </w:p>
    <w:p>
      <w:pPr>
        <w:jc w:val="both"/>
        <w:ind w:right="3059" w:firstLine="382"/>
        <w:spacing w:after="0"/>
        <w:rPr>
          <w:sz w:val="20"/>
          <w:szCs w:val="20"/>
          <w:color w:val="auto"/>
        </w:rPr>
      </w:pPr>
      <w:r>
        <w:rPr>
          <w:rFonts w:ascii="Courier New" w:cs="Courier New" w:eastAsia="Courier New" w:hAnsi="Courier New"/>
          <w:sz w:val="16"/>
          <w:szCs w:val="16"/>
          <w:color w:val="auto"/>
        </w:rPr>
        <w:t>Net patient service revenue is reported at the estimated net realizable amounts from patients, third-party payors and others for services rendered, including estimated retroactive adjustments under</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F-33</w:t>
      </w:r>
    </w:p>
    <w:p>
      <w:pPr>
        <w:sectPr>
          <w:pgSz w:w="11900" w:h="16838" w:orient="portrait"/>
          <w:cols w:equalWidth="0" w:num="1">
            <w:col w:w="10219"/>
          </w:cols>
          <w:pgMar w:left="240" w:top="481" w:right="1440" w:bottom="1440" w:gutter="0" w:footer="0" w:header="0"/>
        </w:sectPr>
      </w:pPr>
    </w:p>
    <w:bookmarkStart w:id="79" w:name="page80"/>
    <w:bookmarkEnd w:id="79"/>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SUMMARY OF SIGNIFICANT ACCOUNTING POLICIES--(CONTINUED)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BASIS OF ACCOUNTING--(CONTINUED)</w:t>
      </w:r>
    </w:p>
    <w:p>
      <w:pPr>
        <w:spacing w:after="0" w:line="5"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reimbursement agreements with third-party payors. Retroactive adjustments are accrued on an estimated basis in the period the related services are rendered and adjusted in future periods as final settlements are determined.</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majority of the Hospital's activities are with patients who reside within Amarillo and the Texas Panhandle area. As of September 30, 1995 and 1994, the Hospital's net patient receivable for services rendered was approximately $17,000,000 and $16,000,000, respectively. The Hospital routinely requests payment at the time the services are rendered, but does not refuse services to anyone based upon inability to pay. The Hospital generally does not require collateral or other security in extending credit to patients; however, it routinely obtains assignments of patients' benefits payable from commercial health insurance carriers and other third-party payors. Possible credit losses arising from the Hospital's operations are provided for in the allowance for estimated uncollectibles.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CHARITY CARE</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primary purpose for the establishment of the District is to own and operate a hospital or hospital system for indigent and needy persons within the District. In this regard, the Hospital provides care to patients who meet certain criteria under its charity care policies without charge or at amounts significantly less than its established rates. The Hospital does not pursue collection of amounts determined to qualify as charity care; accordingly, such amounts are not reported as revenue.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 VALOREM TAXES</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Hospital received approximately 6.4% and 5.9% of its total revenue from ad valorem taxes in 1994 and 1995, respectively, of which approximately 79% was used to support operations and the remaining 21% was used for debt service. The District's ad valorem tax rate was 19.04 and 18.34 cents per $100 valuation in 1994 and 1995, respectively. Ad valorem taxes are levied on October 1 of each year and are delinquent if not paid by January 31 of the following year; accordingly, ad valorem taxes are recorded at October 1 as deferred revenue and revenue is recognized for interim financial statement purposes ratably throughout the fiscal year.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ESTIMATED SELF-INSURANCE COSTS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Hospital self-insures for claims arising from professional malpractice, health benefits for employees and eligible dependents and workers' compensation benefits. The provisions for estimated self-insurance costs include estimates of the ultimate costs for both reported claims and claims incurred but not reported. The provisions for professional malpractice are reported in professional malpractice costs and the provisions for health benefits and workers' compensation are reported in wages, salaries and benefits expense in the accompanying statements of revenue and expenses.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AND CASH EQUIVALENTS</w:t>
      </w:r>
    </w:p>
    <w:p>
      <w:pPr>
        <w:spacing w:after="0" w:line="188" w:lineRule="exact"/>
        <w:rPr>
          <w:sz w:val="20"/>
          <w:szCs w:val="20"/>
          <w:color w:val="auto"/>
        </w:rPr>
      </w:pPr>
    </w:p>
    <w:p>
      <w:pPr>
        <w:ind w:right="2779" w:firstLine="382"/>
        <w:spacing w:after="0"/>
        <w:rPr>
          <w:sz w:val="20"/>
          <w:szCs w:val="20"/>
          <w:color w:val="auto"/>
        </w:rPr>
      </w:pPr>
      <w:r>
        <w:rPr>
          <w:rFonts w:ascii="Courier New" w:cs="Courier New" w:eastAsia="Courier New" w:hAnsi="Courier New"/>
          <w:sz w:val="16"/>
          <w:szCs w:val="16"/>
          <w:color w:val="auto"/>
        </w:rPr>
        <w:t>Cash and cash equivalents include investments in highly liquid debt and equity instruments purchased with an initial maturity of three months or less. For purposes of the statements of cash flows,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F-34</w:t>
      </w:r>
    </w:p>
    <w:p>
      <w:pPr>
        <w:sectPr>
          <w:pgSz w:w="11900" w:h="16838" w:orient="portrait"/>
          <w:cols w:equalWidth="0" w:num="1">
            <w:col w:w="10219"/>
          </w:cols>
          <w:pgMar w:left="240" w:top="481" w:right="1440" w:bottom="1440" w:gutter="0" w:footer="0" w:header="0"/>
        </w:sectPr>
      </w:pPr>
    </w:p>
    <w:bookmarkStart w:id="80" w:name="page81"/>
    <w:bookmarkEnd w:id="80"/>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SUMMARY OF SIGNIFICANT ACCOUNTING POLICIES--(CONTINUED)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BASIS OF ACCOUNTING--(CONTINUED)</w:t>
      </w:r>
    </w:p>
    <w:p>
      <w:pPr>
        <w:spacing w:after="0" w:line="5" w:lineRule="exact"/>
        <w:rPr>
          <w:sz w:val="20"/>
          <w:szCs w:val="20"/>
          <w:color w:val="auto"/>
        </w:rPr>
      </w:pPr>
    </w:p>
    <w:p>
      <w:pPr>
        <w:ind w:right="3459"/>
        <w:spacing w:after="0" w:line="239" w:lineRule="auto"/>
        <w:rPr>
          <w:sz w:val="20"/>
          <w:szCs w:val="20"/>
          <w:color w:val="auto"/>
        </w:rPr>
      </w:pPr>
      <w:r>
        <w:rPr>
          <w:rFonts w:ascii="Courier New" w:cs="Courier New" w:eastAsia="Courier New" w:hAnsi="Courier New"/>
          <w:sz w:val="16"/>
          <w:szCs w:val="16"/>
          <w:color w:val="auto"/>
        </w:rPr>
        <w:t>cash and cash equivalents exclude amounts whose use is limited by board designation or other arrangements under trust agreements.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WHOSE USE IS LIMITED</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Assets whose use is limited include (1) assets designated by the Board for employee benefits, workers' compensation benefits, malpractice funding arrangements, commitments to fund health care related projects and future capital improvements over which the Board retains control and may, at its discretion, use for other purposes and (2) assets held by trustees under indenture agreements. Assets whose use is limited that are required for obligations classified as current liabilities are reported in current assets.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AND INVESTMENT INCOME</w:t>
      </w:r>
    </w:p>
    <w:p>
      <w:pPr>
        <w:spacing w:after="0" w:line="188" w:lineRule="exact"/>
        <w:rPr>
          <w:sz w:val="20"/>
          <w:szCs w:val="20"/>
          <w:color w:val="auto"/>
        </w:rPr>
      </w:pPr>
    </w:p>
    <w:p>
      <w:pPr>
        <w:ind w:right="2599" w:firstLine="382"/>
        <w:spacing w:after="0" w:line="261" w:lineRule="auto"/>
        <w:rPr>
          <w:sz w:val="20"/>
          <w:szCs w:val="20"/>
          <w:color w:val="auto"/>
        </w:rPr>
      </w:pPr>
      <w:r>
        <w:rPr>
          <w:rFonts w:ascii="Courier New" w:cs="Courier New" w:eastAsia="Courier New" w:hAnsi="Courier New"/>
          <w:sz w:val="15"/>
          <w:szCs w:val="15"/>
          <w:color w:val="auto"/>
        </w:rPr>
        <w:t>The Hospital adopted the provisions of Statement of Financial Accounting Standards No. 115, Accounting for Certain Investments in Debt and Equity Securities (FAS 115) as of September 30, 1994. The Hospital's investment strategy is oriented toward maximizing yield rather than to retain investments to maturity. As a result, the Hospital classified its investment portfolio as available-for-sale. Also, excluding assets whose use is limited, investments have been classified as current assets in the accompanying financial statements.</w:t>
      </w:r>
    </w:p>
    <w:p>
      <w:pPr>
        <w:spacing w:after="0" w:line="174" w:lineRule="exact"/>
        <w:rPr>
          <w:sz w:val="20"/>
          <w:szCs w:val="20"/>
          <w:color w:val="auto"/>
        </w:rPr>
      </w:pPr>
    </w:p>
    <w:p>
      <w:pPr>
        <w:ind w:right="2879" w:firstLine="382"/>
        <w:spacing w:after="0" w:line="241" w:lineRule="auto"/>
        <w:rPr>
          <w:sz w:val="20"/>
          <w:szCs w:val="20"/>
          <w:color w:val="auto"/>
        </w:rPr>
      </w:pPr>
      <w:r>
        <w:rPr>
          <w:rFonts w:ascii="Courier New" w:cs="Courier New" w:eastAsia="Courier New" w:hAnsi="Courier New"/>
          <w:sz w:val="16"/>
          <w:szCs w:val="16"/>
          <w:color w:val="auto"/>
        </w:rPr>
        <w:t>Donated investment securities are recorded at fair value at the date of receipt, which is then treated as cost. A decline in the market value of any investment below cost that is deemed to be other than temporary is charged to earnings resulting in the establishment of a new cost basis.</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Investment securities available-for-sale are reported at fair value. Unrealized holding gains and losses on available-for-sale securities (including those classified as current assets) are excluded from earnings and reported as a net amount in a separate component of fund balance until realized. Interest income, including amortization of the premium and discount arising at acquisition, is recognized when earned. Realized gains or losses are included in earnings. The specific identification method of determining cost is used to calculate realized gain or loss. Investment income, including gains and losses, is reported as nonoperating gains in the accompanying statements of revenue and expenses.</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Hospital invests available funds in accordance with the Public Funds Investment Act of 1987, as amended. Investment securities are held by the trust departments of Boatmen's First National Bank of Amarillo, Amarillo National Bank and First Bank Southwest in the trustees' names. Accordingly, investment securities are classified in risk category 3 under criteria established by the GASB for both years.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AND EQUIPMENT</w:t>
      </w:r>
    </w:p>
    <w:p>
      <w:pPr>
        <w:spacing w:after="0" w:line="188"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Property and equipment are recorded at cost. Property and equipment donated for Hospital operations are recorded at fair value at date of receipt.</w:t>
      </w:r>
    </w:p>
    <w:p>
      <w:pPr>
        <w:spacing w:after="0" w:line="189" w:lineRule="exact"/>
        <w:rPr>
          <w:sz w:val="20"/>
          <w:szCs w:val="20"/>
          <w:color w:val="auto"/>
        </w:rPr>
      </w:pPr>
    </w:p>
    <w:p>
      <w:pPr>
        <w:ind w:right="2779" w:firstLine="382"/>
        <w:spacing w:after="0"/>
        <w:rPr>
          <w:sz w:val="20"/>
          <w:szCs w:val="20"/>
          <w:color w:val="auto"/>
        </w:rPr>
      </w:pPr>
      <w:r>
        <w:rPr>
          <w:rFonts w:ascii="Courier New" w:cs="Courier New" w:eastAsia="Courier New" w:hAnsi="Courier New"/>
          <w:sz w:val="16"/>
          <w:szCs w:val="16"/>
          <w:color w:val="auto"/>
        </w:rPr>
        <w:t>Depreciation is provided on the straight-line method over the estimated useful lives of the properties. Equipment under capital leases is amortized on the straight-line method over the lesser of</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F-35</w:t>
      </w:r>
    </w:p>
    <w:p>
      <w:pPr>
        <w:sectPr>
          <w:pgSz w:w="11900" w:h="16838" w:orient="portrait"/>
          <w:cols w:equalWidth="0" w:num="1">
            <w:col w:w="10219"/>
          </w:cols>
          <w:pgMar w:left="240" w:top="481" w:right="1440" w:bottom="1440" w:gutter="0" w:footer="0" w:header="0"/>
        </w:sectPr>
      </w:pPr>
    </w:p>
    <w:bookmarkStart w:id="81" w:name="page82"/>
    <w:bookmarkEnd w:id="81"/>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SUMMARY OF SIGNIFICANT ACCOUNTING POLICIES--(CONTINUED)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BASIS OF ACCOUNTING--(CONTINUED)</w:t>
      </w:r>
    </w:p>
    <w:p>
      <w:pPr>
        <w:spacing w:after="0" w:line="5"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the lease term or the estimated useful life of the equipment. Amortization is included in depreciation and amortization in the accompanying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CAPITALIZATION</w:t>
      </w:r>
    </w:p>
    <w:p>
      <w:pPr>
        <w:spacing w:after="0" w:line="188" w:lineRule="exact"/>
        <w:rPr>
          <w:sz w:val="20"/>
          <w:szCs w:val="20"/>
          <w:color w:val="auto"/>
        </w:rPr>
      </w:pPr>
    </w:p>
    <w:p>
      <w:pPr>
        <w:jc w:val="both"/>
        <w:ind w:right="2779" w:firstLine="382"/>
        <w:spacing w:after="0"/>
        <w:rPr>
          <w:sz w:val="20"/>
          <w:szCs w:val="20"/>
          <w:color w:val="auto"/>
        </w:rPr>
      </w:pPr>
      <w:r>
        <w:rPr>
          <w:rFonts w:ascii="Courier New" w:cs="Courier New" w:eastAsia="Courier New" w:hAnsi="Courier New"/>
          <w:sz w:val="16"/>
          <w:szCs w:val="16"/>
          <w:color w:val="auto"/>
        </w:rPr>
        <w:t>Interest cost incurred on borrowed funds during the period of construction of capital assets is capitalized as a component of the cost of acquiring those assets.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District, as a political subdivision of the State of Texas, is exempt from federal taxation. Additionally, the Internal Revenue Service has noted that the Hospital is a not-for-profit corporation as described in Section 501(c)(3) of the Internal Revenue Code (the Code) and is exempt from federal income taxes on related income pursuant to Section 501(a) of the Code.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F-36</w:t>
      </w:r>
    </w:p>
    <w:p>
      <w:pPr>
        <w:sectPr>
          <w:pgSz w:w="11900" w:h="16838" w:orient="portrait"/>
          <w:cols w:equalWidth="0" w:num="1">
            <w:col w:w="10219"/>
          </w:cols>
          <w:pgMar w:left="240" w:top="481" w:right="1440" w:bottom="1440" w:gutter="0" w:footer="0" w:header="0"/>
        </w:sectPr>
      </w:pPr>
    </w:p>
    <w:bookmarkStart w:id="82" w:name="page83"/>
    <w:bookmarkEnd w:id="82"/>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NOTES TO FINANCIAL STATEMENTS</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1--NET PATIENT SERVICE REVENUE</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The Hospital has agreements with third-party payors that provide for payments to the Hospital at amounts different from its established rates. Contractual adjustments under third-party reimbursement programs represent the difference between the Hospital's established rates for services and amounts reimbursed by third-party payors. A summary of the basis of reimbursement with major third-party payors follows:</w:t>
      </w:r>
    </w:p>
    <w:p>
      <w:pPr>
        <w:spacing w:after="0" w:line="187" w:lineRule="exact"/>
        <w:rPr>
          <w:sz w:val="20"/>
          <w:szCs w:val="20"/>
          <w:color w:val="auto"/>
        </w:rPr>
      </w:pPr>
    </w:p>
    <w:p>
      <w:pPr>
        <w:ind w:right="2599" w:firstLine="379"/>
        <w:spacing w:after="0" w:line="242" w:lineRule="auto"/>
        <w:tabs>
          <w:tab w:leader="none" w:pos="57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Medicare. Inpatient acute medical and surgical care services rendered to Medicare program beneficiaries are paid at prospectively determined rates per discharge. These rates vary according to a patient classification system that is based on clinical, diagnostic, and other factors. Inpatient psychiatric and behavioral health care services, certain outpatient services, and medical education costs related to Medicare beneficiaries are paid based on a cost reimbursement methodology. Certain other services are paid on fee screen and ambulatory service center rates. Defined capital costs, previously paid based on a cost reimbursement methodology, are now paid prospectively. The Hospital is reimbursed for cost reimbursable items at a tentative rate with final settlement determined after submission of annual cost reports by the Hospital and audits thereof by the Medicare fiscal intermediary. The Hospital's classification of patients under the Medicare program and the appropriateness of their admission are subject to an independent review by a peer review organization under contract with the Hospital. The Hospital's Medicare cost reports have been audited by the Medicare fiscal intermediary through September 30, 1993. However, the 1990 cost report has been reopened during fiscal 1995 to include additional Medicaid days in the disproportionate share computation.</w:t>
      </w:r>
    </w:p>
    <w:p>
      <w:pPr>
        <w:spacing w:after="0" w:line="192" w:lineRule="exact"/>
        <w:rPr>
          <w:sz w:val="20"/>
          <w:szCs w:val="20"/>
          <w:color w:val="auto"/>
        </w:rPr>
      </w:pPr>
    </w:p>
    <w:p>
      <w:pPr>
        <w:ind w:left="580" w:hanging="201"/>
        <w:spacing w:after="0"/>
        <w:tabs>
          <w:tab w:leader="none" w:pos="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Medicaid. Inpatient acute care services rendered to Medicaid program</w:t>
      </w:r>
    </w:p>
    <w:p>
      <w:pPr>
        <w:spacing w:after="0" w:line="5" w:lineRule="exact"/>
        <w:rPr>
          <w:rFonts w:ascii="Courier New" w:cs="Courier New" w:eastAsia="Courier New" w:hAnsi="Courier New"/>
          <w:sz w:val="16"/>
          <w:szCs w:val="16"/>
          <w:color w:val="auto"/>
        </w:rPr>
      </w:pPr>
    </w:p>
    <w:p>
      <w:pPr>
        <w:ind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beneficiaries are paid at prospectively determined rates per discharge according to a patient classification system that is based on clinical, diagnostic and other factors. Outpatient services are reimbursed based upon a cost reimbursement methodology. The Hospital is reimbursed at a tentative rate with final settlement determined after submission of annual cost reports by the Hospital and audits by the Medicaid fiscal intermediary. The Hospital has received notice of program reimbursement based on desk reviews of cost reports filed through September 30, 1990.</w:t>
      </w:r>
    </w:p>
    <w:p>
      <w:pPr>
        <w:spacing w:after="0" w:line="189" w:lineRule="exact"/>
        <w:rPr>
          <w:sz w:val="20"/>
          <w:szCs w:val="20"/>
          <w:color w:val="auto"/>
        </w:rPr>
      </w:pPr>
    </w:p>
    <w:p>
      <w:pPr>
        <w:ind w:right="2599" w:firstLine="379"/>
        <w:spacing w:after="0" w:line="262" w:lineRule="auto"/>
        <w:tabs>
          <w:tab w:leader="none" w:pos="57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The Hospital has also entered into reimbursement agreements with certain insurance carriers, including Blue Cross, health maintenance organizations, and preferred provider organizations. The basis for reimbursement under these agreements includes prospectively determined rates per discharge, discounts from established charges, and prospectively determined daily rates.</w:t>
      </w:r>
    </w:p>
    <w:p>
      <w:pPr>
        <w:spacing w:after="0" w:line="17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 summary of gross and net patient service revenue for the years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1994 and 1995 follows: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tcPr>
          <w:p>
            <w:pPr>
              <w:spacing w:after="0"/>
              <w:rPr>
                <w:sz w:val="15"/>
                <w:szCs w:val="15"/>
                <w:color w:val="auto"/>
              </w:rPr>
            </w:pPr>
          </w:p>
        </w:tc>
        <w:tc>
          <w:tcPr>
            <w:tcW w:w="15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140" w:type="dxa"/>
            <w:vAlign w:val="bottom"/>
          </w:tcPr>
          <w:p>
            <w:pPr>
              <w:spacing w:after="0"/>
              <w:rPr>
                <w:sz w:val="15"/>
                <w:szCs w:val="15"/>
                <w:color w:val="auto"/>
              </w:rPr>
            </w:pP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140" w:type="dxa"/>
            <w:vAlign w:val="bottom"/>
          </w:tcPr>
          <w:p>
            <w:pPr>
              <w:spacing w:after="0"/>
              <w:rPr>
                <w:sz w:val="20"/>
                <w:szCs w:val="20"/>
                <w:color w:val="auto"/>
              </w:rPr>
            </w:pPr>
            <w:r>
              <w:rPr>
                <w:rFonts w:ascii="Courier New" w:cs="Courier New" w:eastAsia="Courier New" w:hAnsi="Courier New"/>
                <w:sz w:val="16"/>
                <w:szCs w:val="16"/>
                <w:color w:val="auto"/>
              </w:rPr>
              <w:t>Gross patient service revenue..................................</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$166,877,358</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$185,499,440</w:t>
            </w:r>
          </w:p>
        </w:tc>
      </w:tr>
      <w:tr>
        <w:trPr>
          <w:trHeight w:val="183"/>
        </w:trPr>
        <w:tc>
          <w:tcPr>
            <w:tcW w:w="6140" w:type="dxa"/>
            <w:vAlign w:val="bottom"/>
          </w:tcPr>
          <w:p>
            <w:pPr>
              <w:spacing w:after="0"/>
              <w:rPr>
                <w:sz w:val="20"/>
                <w:szCs w:val="20"/>
                <w:color w:val="auto"/>
              </w:rPr>
            </w:pPr>
            <w:r>
              <w:rPr>
                <w:rFonts w:ascii="Courier New" w:cs="Courier New" w:eastAsia="Courier New" w:hAnsi="Courier New"/>
                <w:sz w:val="16"/>
                <w:szCs w:val="16"/>
                <w:color w:val="auto"/>
              </w:rPr>
              <w:t>Contractual adjustments under third-party reimbursement</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6140" w:type="dxa"/>
            <w:vAlign w:val="bottom"/>
          </w:tcPr>
          <w:p>
            <w:pPr>
              <w:ind w:left="180"/>
              <w:spacing w:after="0"/>
              <w:rPr>
                <w:sz w:val="20"/>
                <w:szCs w:val="20"/>
                <w:color w:val="auto"/>
              </w:rPr>
            </w:pPr>
            <w:r>
              <w:rPr>
                <w:rFonts w:ascii="Courier New" w:cs="Courier New" w:eastAsia="Courier New" w:hAnsi="Courier New"/>
                <w:sz w:val="16"/>
                <w:szCs w:val="16"/>
                <w:color w:val="auto"/>
              </w:rPr>
              <w:t>programs and policy discounts................................</w:t>
            </w:r>
          </w:p>
        </w:tc>
        <w:tc>
          <w:tcPr>
            <w:tcW w:w="15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(50,607,009)</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(64,973,294)</w:t>
            </w:r>
          </w:p>
        </w:tc>
      </w:tr>
      <w:tr>
        <w:trPr>
          <w:trHeight w:val="183"/>
        </w:trPr>
        <w:tc>
          <w:tcPr>
            <w:tcW w:w="6140" w:type="dxa"/>
            <w:vAlign w:val="bottom"/>
          </w:tcPr>
          <w:p>
            <w:pPr>
              <w:spacing w:after="0"/>
              <w:rPr>
                <w:sz w:val="15"/>
                <w:szCs w:val="15"/>
                <w:color w:val="auto"/>
              </w:rPr>
            </w:pP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20"/>
                <w:szCs w:val="20"/>
                <w:color w:val="auto"/>
              </w:rPr>
            </w:pPr>
            <w:r>
              <w:rPr>
                <w:rFonts w:ascii="Courier New" w:cs="Courier New" w:eastAsia="Courier New" w:hAnsi="Courier New"/>
                <w:sz w:val="16"/>
                <w:szCs w:val="16"/>
                <w:color w:val="auto"/>
              </w:rPr>
              <w:t>NET PATIENT SERVICE REVENUE....................................</w:t>
            </w: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$116,270,349</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$120,526,146</w:t>
            </w:r>
          </w:p>
        </w:tc>
      </w:tr>
      <w:tr>
        <w:trPr>
          <w:trHeight w:val="183"/>
        </w:trPr>
        <w:tc>
          <w:tcPr>
            <w:tcW w:w="6140" w:type="dxa"/>
            <w:vAlign w:val="bottom"/>
          </w:tcPr>
          <w:p>
            <w:pPr>
              <w:spacing w:after="0"/>
              <w:rPr>
                <w:sz w:val="15"/>
                <w:szCs w:val="15"/>
                <w:color w:val="auto"/>
              </w:rPr>
            </w:pP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140" w:type="dxa"/>
            <w:vAlign w:val="bottom"/>
          </w:tcPr>
          <w:p>
            <w:pPr>
              <w:spacing w:after="0"/>
              <w:rPr>
                <w:sz w:val="15"/>
                <w:szCs w:val="15"/>
                <w:color w:val="auto"/>
              </w:rPr>
            </w:pPr>
          </w:p>
        </w:tc>
        <w:tc>
          <w:tcPr>
            <w:tcW w:w="1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6140" w:type="dxa"/>
            <w:vAlign w:val="bottom"/>
          </w:tcPr>
          <w:p>
            <w:pPr>
              <w:ind w:left="3620"/>
              <w:spacing w:after="0"/>
              <w:rPr>
                <w:sz w:val="20"/>
                <w:szCs w:val="20"/>
                <w:color w:val="auto"/>
              </w:rPr>
            </w:pPr>
            <w:r>
              <w:rPr>
                <w:rFonts w:ascii="Courier New" w:cs="Courier New" w:eastAsia="Courier New" w:hAnsi="Courier New"/>
                <w:sz w:val="16"/>
                <w:szCs w:val="16"/>
                <w:color w:val="auto"/>
              </w:rPr>
              <w:t>F-37</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83" w:name="page84"/>
    <w:bookmarkEnd w:id="83"/>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2--CHARITY CARE AND MEDICAID DISPROPORTIONATE SHARE FUNDING</w:t>
      </w:r>
    </w:p>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The primary purpose for the establishment of the District is to own and operate a hospital or hospital system for indigent and needy persons within the District. In striving to achieve its primary purpose, the Hospital provides a significant level of charity care services, educational programs and other activities designed to further promote the health status of the community. Due to escalating costs, the Hospital continually explores more cost-effective methods of service delivery.</w:t>
      </w:r>
    </w:p>
    <w:p>
      <w:pPr>
        <w:spacing w:after="0" w:line="188" w:lineRule="exact"/>
        <w:rPr>
          <w:sz w:val="20"/>
          <w:szCs w:val="20"/>
          <w:color w:val="auto"/>
        </w:rPr>
      </w:pPr>
    </w:p>
    <w:p>
      <w:pPr>
        <w:ind w:right="2779" w:firstLine="382"/>
        <w:spacing w:after="0" w:line="241" w:lineRule="auto"/>
        <w:rPr>
          <w:sz w:val="20"/>
          <w:szCs w:val="20"/>
          <w:color w:val="auto"/>
        </w:rPr>
      </w:pPr>
      <w:r>
        <w:rPr>
          <w:rFonts w:ascii="Courier New" w:cs="Courier New" w:eastAsia="Courier New" w:hAnsi="Courier New"/>
          <w:sz w:val="16"/>
          <w:szCs w:val="16"/>
          <w:color w:val="auto"/>
        </w:rPr>
        <w:t>The Hospital has developed a community-oriented primary care system of comprehensive health care services for the community. The Hospital focuses particular attention on a definable group of people in need of improved access to the delivery system, regardless of ability to pay.</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Hospital provides care for all patients seeking services, regardless of their ability to pay. Many of these patients are qualified as financially or medically indigent according to guidelines established by the Hospital. Hospital personnel conduct eligibility screening on persons presenting for services who are unable to pay for such services. The following information illustrates the total estimated cost of these services for the years ended September 30, 1994 and 1995:</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15"/>
                <w:szCs w:val="15"/>
                <w:color w:val="auto"/>
              </w:rPr>
            </w:pPr>
          </w:p>
        </w:tc>
        <w:tc>
          <w:tcPr>
            <w:tcW w:w="13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1994</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340" w:type="dxa"/>
            <w:vAlign w:val="bottom"/>
          </w:tcPr>
          <w:p>
            <w:pPr>
              <w:spacing w:after="0"/>
              <w:rPr>
                <w:sz w:val="15"/>
                <w:szCs w:val="15"/>
                <w:color w:val="auto"/>
              </w:rPr>
            </w:pP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340" w:type="dxa"/>
            <w:vAlign w:val="bottom"/>
          </w:tcPr>
          <w:p>
            <w:pPr>
              <w:spacing w:after="0"/>
              <w:rPr>
                <w:sz w:val="20"/>
                <w:szCs w:val="20"/>
                <w:color w:val="auto"/>
              </w:rPr>
            </w:pPr>
            <w:r>
              <w:rPr>
                <w:rFonts w:ascii="Courier New" w:cs="Courier New" w:eastAsia="Courier New" w:hAnsi="Courier New"/>
                <w:sz w:val="16"/>
                <w:szCs w:val="16"/>
                <w:color w:val="auto"/>
              </w:rPr>
              <w:t>Estimated in-house cost incurred to provide charity care</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services.........................................................</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$17,233,800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$17,148,800</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Plus: professional fees for Qualified Indigent Care paid by the</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Hospital.........................................................</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2,963,400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3,548,500</w:t>
            </w:r>
          </w:p>
        </w:tc>
      </w:tr>
      <w:tr>
        <w:trPr>
          <w:trHeight w:val="183"/>
        </w:trPr>
        <w:tc>
          <w:tcPr>
            <w:tcW w:w="6340" w:type="dxa"/>
            <w:vAlign w:val="bottom"/>
          </w:tcPr>
          <w:p>
            <w:pPr>
              <w:spacing w:after="0"/>
              <w:rPr>
                <w:sz w:val="15"/>
                <w:szCs w:val="15"/>
                <w:color w:val="auto"/>
              </w:rPr>
            </w:pP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TOTAL ESTIMATED COST TO PROVIDE CHARITY CARE SERVICES............</w:t>
            </w: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$20,197,200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$20,697,300</w:t>
            </w:r>
          </w:p>
        </w:tc>
      </w:tr>
      <w:tr>
        <w:trPr>
          <w:trHeight w:val="183"/>
        </w:trPr>
        <w:tc>
          <w:tcPr>
            <w:tcW w:w="6340" w:type="dxa"/>
            <w:vAlign w:val="bottom"/>
          </w:tcPr>
          <w:p>
            <w:pPr>
              <w:spacing w:after="0"/>
              <w:rPr>
                <w:sz w:val="15"/>
                <w:szCs w:val="15"/>
                <w:color w:val="auto"/>
              </w:rPr>
            </w:pP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1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879" w:firstLine="382"/>
        <w:spacing w:after="0"/>
        <w:rPr>
          <w:sz w:val="20"/>
          <w:szCs w:val="20"/>
          <w:color w:val="auto"/>
        </w:rPr>
      </w:pPr>
      <w:r>
        <w:rPr>
          <w:rFonts w:ascii="Courier New" w:cs="Courier New" w:eastAsia="Courier New" w:hAnsi="Courier New"/>
          <w:sz w:val="16"/>
          <w:szCs w:val="16"/>
          <w:color w:val="auto"/>
        </w:rPr>
        <w:t>The costs of these services are offset by Medicare and Medicaid Disproportionate Share Programs, ad valorem taxes and state and federal grant funds.</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Indigent Health Care and Treatment Act, passed by the 69th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Legislature in 1985, first apportioned funds to the Texas Department of Human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to provide assistance to hospitals providing a disproportionate share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inpatient indigent health care. In 1991, the State of Texas created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mechanism whereby a tax on a selected hospital provider group would be used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generate additional federal matching funds. Hospitals participating in the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Medical Assistance (Medicaid) program that meet the conditions of participation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that serve a disproportionate share of low-income patients are eligible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reimbursement from the disproportionate share hospital fund. State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 is the basis for identifying eligible hospitals and for distribution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disproportionate share funds. State and federal law offer considerable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flexibility to recipient hospitals regarding specific use of the funds. However,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are direct and implied expectations regarding the use of these funds.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intended focus is to benefit the health care needs of the medically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financially indigent. The Hospital received approximately $12,194,000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$12,772,000 in the years ended September 30, 1994 and 1995, respectively, 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State's Disproportionate Share program that became effective September 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3--DEPOSITS WITH FINANCIAL INSTITUTIONS</w:t>
      </w:r>
    </w:p>
    <w:p>
      <w:pPr>
        <w:spacing w:after="0" w:line="188" w:lineRule="exact"/>
        <w:rPr>
          <w:sz w:val="20"/>
          <w:szCs w:val="20"/>
          <w:color w:val="auto"/>
        </w:rPr>
      </w:pPr>
    </w:p>
    <w:p>
      <w:pPr>
        <w:ind w:right="2679" w:firstLine="382"/>
        <w:spacing w:after="0"/>
        <w:rPr>
          <w:sz w:val="20"/>
          <w:szCs w:val="20"/>
          <w:color w:val="auto"/>
        </w:rPr>
      </w:pPr>
      <w:r>
        <w:rPr>
          <w:rFonts w:ascii="Courier New" w:cs="Courier New" w:eastAsia="Courier New" w:hAnsi="Courier New"/>
          <w:sz w:val="16"/>
          <w:szCs w:val="16"/>
          <w:color w:val="auto"/>
        </w:rPr>
        <w:t>The Hospital's cash deposits are insured up to $100,000 by the FDIC and the excess is secured by pledged securities held by the applicable financial institution. Cash deposits in excess of $100,000,</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19"/>
          </w:cols>
          <w:pgMar w:left="240" w:top="481"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1"/>
        </w:trPr>
        <w:tc>
          <w:tcPr>
            <w:tcW w:w="4680" w:type="dxa"/>
            <w:vAlign w:val="bottom"/>
            <w:gridSpan w:val="3"/>
          </w:tcPr>
          <w:p>
            <w:pPr>
              <w:ind w:left="2200"/>
              <w:spacing w:after="0"/>
              <w:rPr>
                <w:sz w:val="20"/>
                <w:szCs w:val="20"/>
                <w:color w:val="auto"/>
              </w:rPr>
            </w:pPr>
            <w:r>
              <w:rPr>
                <w:rFonts w:ascii="Courier New" w:cs="Courier New" w:eastAsia="Courier New" w:hAnsi="Courier New"/>
                <w:sz w:val="16"/>
                <w:szCs w:val="16"/>
                <w:color w:val="auto"/>
                <w:w w:val="98"/>
              </w:rPr>
              <w:t>NORTHWEST TEXAS HEALTHCARE</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SYSTEM</w:t>
            </w: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680" w:type="dxa"/>
            <w:vAlign w:val="bottom"/>
            <w:gridSpan w:val="3"/>
          </w:tcPr>
          <w:p>
            <w:pPr>
              <w:ind w:left="1800"/>
              <w:spacing w:after="0"/>
              <w:rPr>
                <w:sz w:val="20"/>
                <w:szCs w:val="20"/>
                <w:color w:val="auto"/>
              </w:rPr>
            </w:pPr>
            <w:r>
              <w:rPr>
                <w:rFonts w:ascii="Courier New" w:cs="Courier New" w:eastAsia="Courier New" w:hAnsi="Courier New"/>
                <w:sz w:val="16"/>
                <w:szCs w:val="16"/>
                <w:color w:val="auto"/>
                <w:w w:val="96"/>
              </w:rPr>
              <w:t>NOTES TO FINANCIAL STATEMENTS--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w w:val="98"/>
              </w:rPr>
              <w:t>(CONTINUED)</w:t>
            </w: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5820" w:type="dxa"/>
            <w:vAlign w:val="bottom"/>
            <w:gridSpan w:val="4"/>
          </w:tcPr>
          <w:p>
            <w:pPr>
              <w:ind w:left="1900"/>
              <w:spacing w:after="0"/>
              <w:rPr>
                <w:sz w:val="20"/>
                <w:szCs w:val="20"/>
                <w:color w:val="auto"/>
              </w:rPr>
            </w:pPr>
            <w:r>
              <w:rPr>
                <w:rFonts w:ascii="Courier New" w:cs="Courier New" w:eastAsia="Courier New" w:hAnsi="Courier New"/>
                <w:sz w:val="16"/>
                <w:szCs w:val="16"/>
                <w:color w:val="auto"/>
              </w:rPr>
              <w:t>YEARS ENDED SEPTEMBER 30, 1994 AND 1995</w:t>
            </w: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6480" w:type="dxa"/>
            <w:vAlign w:val="bottom"/>
            <w:gridSpan w:val="5"/>
          </w:tcPr>
          <w:p>
            <w:pPr>
              <w:ind w:left="1140"/>
              <w:spacing w:after="0"/>
              <w:rPr>
                <w:sz w:val="20"/>
                <w:szCs w:val="20"/>
                <w:color w:val="auto"/>
              </w:rPr>
            </w:pPr>
            <w:r>
              <w:rPr>
                <w:rFonts w:ascii="Courier New" w:cs="Courier New" w:eastAsia="Courier New" w:hAnsi="Courier New"/>
                <w:sz w:val="16"/>
                <w:szCs w:val="16"/>
                <w:color w:val="auto"/>
                <w:w w:val="98"/>
              </w:rPr>
              <w:t>AND SIX MONTHS ENDED MARCH 31, 1995 AND 1996 (UNAUDITED)</w:t>
            </w: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4200" w:type="dxa"/>
            <w:vAlign w:val="bottom"/>
          </w:tcPr>
          <w:p>
            <w:pPr>
              <w:spacing w:after="0"/>
              <w:rPr>
                <w:sz w:val="20"/>
                <w:szCs w:val="20"/>
                <w:color w:val="auto"/>
              </w:rPr>
            </w:pPr>
            <w:r>
              <w:rPr>
                <w:rFonts w:ascii="Courier New" w:cs="Courier New" w:eastAsia="Courier New" w:hAnsi="Courier New"/>
                <w:sz w:val="16"/>
                <w:szCs w:val="16"/>
                <w:color w:val="auto"/>
                <w:w w:val="98"/>
              </w:rPr>
              <w:t>NOTE 3--DEPOSITS WITH FINANCIAL INSTITUTIONS</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w:t>
            </w:r>
          </w:p>
        </w:tc>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(CONTINUED)</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although secured by pledged securities, are classified as risk category 3 under</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criteria established by the GASB (the pledged securities are held by the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financial institution and are not in the Hospital's name). Cash equivalents at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September 30, 1994 and 1995 consist primarily of investments in short-term money</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market funds classified as risk category 2. The carrying amount of cash deposits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and bank balances for the years ended September 30, 1994 and 1995 follow:</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73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1994</w:t>
            </w:r>
          </w:p>
        </w:tc>
        <w:tc>
          <w:tcPr>
            <w:tcW w:w="340" w:type="dxa"/>
            <w:vAlign w:val="bottom"/>
          </w:tcPr>
          <w:p>
            <w:pPr>
              <w:spacing w:after="0"/>
              <w:rPr>
                <w:sz w:val="24"/>
                <w:szCs w:val="24"/>
                <w:color w:val="auto"/>
              </w:rPr>
            </w:pP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3"/>
              </w:rPr>
              <w:t>1995</w:t>
            </w: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367"/>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w w:val="70"/>
              </w:rPr>
              <w:t>Carrying amount of cash deposits.....................................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$ 95,145</w:t>
            </w:r>
          </w:p>
        </w:tc>
        <w:tc>
          <w:tcPr>
            <w:tcW w:w="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151,873</w:t>
            </w:r>
          </w:p>
        </w:tc>
      </w:tr>
      <w:tr>
        <w:trPr>
          <w:trHeight w:val="183"/>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w w:val="70"/>
              </w:rPr>
              <w:t>Bank Balances........................................................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302,127</w:t>
            </w:r>
          </w:p>
        </w:tc>
        <w:tc>
          <w:tcPr>
            <w:tcW w:w="14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1,560,205</w:t>
            </w:r>
          </w:p>
        </w:tc>
      </w:tr>
      <w:tr>
        <w:trPr>
          <w:trHeight w:val="550"/>
        </w:trPr>
        <w:tc>
          <w:tcPr>
            <w:tcW w:w="4200" w:type="dxa"/>
            <w:vAlign w:val="bottom"/>
          </w:tcPr>
          <w:p>
            <w:pPr>
              <w:spacing w:after="0"/>
              <w:rPr>
                <w:sz w:val="20"/>
                <w:szCs w:val="20"/>
                <w:color w:val="auto"/>
              </w:rPr>
            </w:pPr>
            <w:r>
              <w:rPr>
                <w:rFonts w:ascii="Courier New" w:cs="Courier New" w:eastAsia="Courier New" w:hAnsi="Courier New"/>
                <w:sz w:val="16"/>
                <w:szCs w:val="16"/>
                <w:color w:val="auto"/>
              </w:rPr>
              <w:t>NOTE 4--INVESTMENTS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7"/>
        </w:trPr>
        <w:tc>
          <w:tcPr>
            <w:tcW w:w="7960" w:type="dxa"/>
            <w:vAlign w:val="bottom"/>
            <w:gridSpan w:val="6"/>
          </w:tcPr>
          <w:p>
            <w:pPr>
              <w:jc w:val="right"/>
              <w:ind w:right="541"/>
              <w:spacing w:after="0"/>
              <w:rPr>
                <w:sz w:val="20"/>
                <w:szCs w:val="20"/>
                <w:color w:val="auto"/>
              </w:rPr>
            </w:pPr>
            <w:r>
              <w:rPr>
                <w:rFonts w:ascii="Courier New" w:cs="Courier New" w:eastAsia="Courier New" w:hAnsi="Courier New"/>
                <w:sz w:val="16"/>
                <w:szCs w:val="16"/>
                <w:color w:val="auto"/>
              </w:rPr>
              <w:t>Amortized cost, gross unrealized holding gains and losses, and fair value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7960" w:type="dxa"/>
            <w:vAlign w:val="bottom"/>
            <w:gridSpan w:val="6"/>
          </w:tcPr>
          <w:p>
            <w:pPr>
              <w:spacing w:after="0"/>
              <w:rPr>
                <w:sz w:val="20"/>
                <w:szCs w:val="20"/>
                <w:color w:val="auto"/>
              </w:rPr>
            </w:pPr>
            <w:r>
              <w:rPr>
                <w:rFonts w:ascii="Courier New" w:cs="Courier New" w:eastAsia="Courier New" w:hAnsi="Courier New"/>
                <w:sz w:val="16"/>
                <w:szCs w:val="16"/>
                <w:color w:val="auto"/>
              </w:rPr>
              <w:t>(which is carrying value) of investments at September 30, 1994 are as follow:</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73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GROSS UNREALIZED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jc w:val="right"/>
              <w:ind w:right="721"/>
              <w:spacing w:after="0"/>
              <w:rPr>
                <w:sz w:val="20"/>
                <w:szCs w:val="20"/>
                <w:color w:val="auto"/>
              </w:rPr>
            </w:pPr>
            <w:r>
              <w:rPr>
                <w:rFonts w:ascii="Courier New" w:cs="Courier New" w:eastAsia="Courier New" w:hAnsi="Courier New"/>
                <w:sz w:val="16"/>
                <w:szCs w:val="16"/>
                <w:color w:val="auto"/>
                <w:w w:val="98"/>
              </w:rPr>
              <w:t>HOLDING</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AMORTIZED</w:t>
            </w:r>
          </w:p>
        </w:tc>
        <w:tc>
          <w:tcPr>
            <w:tcW w:w="2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w:t>
            </w:r>
          </w:p>
        </w:tc>
        <w:tc>
          <w:tcPr>
            <w:tcW w:w="34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FAIR</w:t>
            </w: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3"/>
              </w:rPr>
              <w:t>COST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GAINS</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LOSSES</w:t>
            </w:r>
          </w:p>
        </w:tc>
        <w:tc>
          <w:tcPr>
            <w:tcW w:w="34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VALUE</w:t>
            </w:r>
          </w:p>
        </w:tc>
      </w:tr>
      <w:tr>
        <w:trPr>
          <w:trHeight w:val="183"/>
        </w:trPr>
        <w:tc>
          <w:tcPr>
            <w:tcW w:w="42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5"/>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20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1,580,148</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 --</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1,580,148</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US Government mortgage-backed.............</w:t>
            </w:r>
          </w:p>
        </w:tc>
        <w:tc>
          <w:tcPr>
            <w:tcW w:w="180" w:type="dxa"/>
            <w:vAlign w:val="bottom"/>
          </w:tcPr>
          <w:p>
            <w:pPr>
              <w:spacing w:after="0"/>
              <w:rPr>
                <w:sz w:val="15"/>
                <w:szCs w:val="15"/>
                <w:color w:val="auto"/>
              </w:rPr>
            </w:pPr>
          </w:p>
        </w:tc>
        <w:tc>
          <w:tcPr>
            <w:tcW w:w="1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6,132,236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29,462</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395,286</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5,766,412</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Other US Government.......................</w:t>
            </w:r>
          </w:p>
        </w:tc>
        <w:tc>
          <w:tcPr>
            <w:tcW w:w="180" w:type="dxa"/>
            <w:vAlign w:val="bottom"/>
          </w:tcPr>
          <w:p>
            <w:pPr>
              <w:spacing w:after="0"/>
              <w:rPr>
                <w:sz w:val="15"/>
                <w:szCs w:val="15"/>
                <w:color w:val="auto"/>
              </w:rPr>
            </w:pPr>
          </w:p>
        </w:tc>
        <w:tc>
          <w:tcPr>
            <w:tcW w:w="1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40,791,366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41,754</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732,910</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40,100,210</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Corporate debt............................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500,524</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15,214</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485,310</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Accrued interest..........................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577,045</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577,045</w:t>
            </w:r>
          </w:p>
        </w:tc>
      </w:tr>
      <w:tr>
        <w:trPr>
          <w:trHeight w:val="183"/>
        </w:trPr>
        <w:tc>
          <w:tcPr>
            <w:tcW w:w="42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5"/>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49,581,319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71,216</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1,143,410</w:t>
            </w:r>
          </w:p>
        </w:tc>
        <w:tc>
          <w:tcPr>
            <w:tcW w:w="3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48,509,125</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Less limited use assets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4200" w:type="dxa"/>
            <w:vAlign w:val="bottom"/>
          </w:tcPr>
          <w:p>
            <w:pPr>
              <w:ind w:left="180"/>
              <w:spacing w:after="0"/>
              <w:rPr>
                <w:sz w:val="20"/>
                <w:szCs w:val="20"/>
                <w:color w:val="auto"/>
              </w:rPr>
            </w:pPr>
            <w:r>
              <w:rPr>
                <w:rFonts w:ascii="Courier New" w:cs="Courier New" w:eastAsia="Courier New" w:hAnsi="Courier New"/>
                <w:sz w:val="16"/>
                <w:szCs w:val="16"/>
                <w:color w:val="auto"/>
              </w:rPr>
              <w:t>Board designated........................</w:t>
            </w:r>
          </w:p>
        </w:tc>
        <w:tc>
          <w:tcPr>
            <w:tcW w:w="18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7"/>
              </w:rPr>
              <w:t>(16,742,303)</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(16,742,303)</w:t>
            </w:r>
          </w:p>
        </w:tc>
      </w:tr>
      <w:tr>
        <w:trPr>
          <w:trHeight w:val="183"/>
        </w:trPr>
        <w:tc>
          <w:tcPr>
            <w:tcW w:w="4200" w:type="dxa"/>
            <w:vAlign w:val="bottom"/>
          </w:tcPr>
          <w:p>
            <w:pPr>
              <w:ind w:left="180"/>
              <w:spacing w:after="0"/>
              <w:rPr>
                <w:sz w:val="20"/>
                <w:szCs w:val="20"/>
                <w:color w:val="auto"/>
              </w:rPr>
            </w:pPr>
            <w:r>
              <w:rPr>
                <w:rFonts w:ascii="Courier New" w:cs="Courier New" w:eastAsia="Courier New" w:hAnsi="Courier New"/>
                <w:sz w:val="16"/>
                <w:szCs w:val="16"/>
                <w:color w:val="auto"/>
              </w:rPr>
              <w:t>Indenture agreement.....................</w:t>
            </w:r>
          </w:p>
        </w:tc>
        <w:tc>
          <w:tcPr>
            <w:tcW w:w="18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(4,765,038)</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(101,923)</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(4,663,115)</w:t>
            </w:r>
          </w:p>
        </w:tc>
      </w:tr>
      <w:tr>
        <w:trPr>
          <w:trHeight w:val="183"/>
        </w:trPr>
        <w:tc>
          <w:tcPr>
            <w:tcW w:w="42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5"/>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28,073,978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$71,216</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$1,041,487</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$ 27,103,707</w:t>
            </w:r>
          </w:p>
        </w:tc>
      </w:tr>
      <w:tr>
        <w:trPr>
          <w:trHeight w:val="183"/>
        </w:trPr>
        <w:tc>
          <w:tcPr>
            <w:tcW w:w="42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5"/>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5"/>
              </w:rPr>
              <w:t>------------</w:t>
            </w:r>
          </w:p>
        </w:tc>
        <w:tc>
          <w:tcPr>
            <w:tcW w:w="1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Investment maturities at September 30, 1994 follow:</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AMORTIZED COST</w:t>
            </w:r>
          </w:p>
        </w:tc>
        <w:tc>
          <w:tcPr>
            <w:tcW w:w="440" w:type="dxa"/>
            <w:vAlign w:val="bottom"/>
          </w:tcPr>
          <w:p>
            <w:pPr>
              <w:spacing w:after="0"/>
              <w:rPr>
                <w:sz w:val="15"/>
                <w:szCs w:val="15"/>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5"/>
              </w:rPr>
              <w:t>FAIR VALUE</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(CARRYING VALUE)</w:t>
            </w:r>
          </w:p>
        </w:tc>
      </w:tr>
      <w:tr>
        <w:trPr>
          <w:trHeight w:val="367"/>
        </w:trPr>
        <w:tc>
          <w:tcPr>
            <w:tcW w:w="3620" w:type="dxa"/>
            <w:vAlign w:val="bottom"/>
          </w:tcPr>
          <w:p>
            <w:pPr>
              <w:spacing w:after="0"/>
              <w:rPr>
                <w:sz w:val="20"/>
                <w:szCs w:val="20"/>
                <w:color w:val="auto"/>
              </w:rPr>
            </w:pPr>
            <w:r>
              <w:rPr>
                <w:rFonts w:ascii="Courier New" w:cs="Courier New" w:eastAsia="Courier New" w:hAnsi="Courier New"/>
                <w:sz w:val="12"/>
                <w:szCs w:val="12"/>
                <w:color w:val="auto"/>
                <w:w w:val="79"/>
              </w:rPr>
              <w:t>Due in 1 year..................................................</w:t>
            </w:r>
          </w:p>
        </w:tc>
        <w:tc>
          <w:tcPr>
            <w:tcW w:w="2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10,435,812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10,401,989</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Due in 1 to 5 years............................................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31,694,687</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31,098,054</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Due in 5 to 10 years...........................................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741,539</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665,625</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US Government mortgage-backed..................................</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6,132,236</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5,766,412</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Accrued interest...............................................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577,045</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577,045</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49,581,319</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48,509,125</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Less limited use assets........................................</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(21,507,341)</w:t>
            </w: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(21,405,418)</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28,073,978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27,103,707</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3620" w:type="dxa"/>
            <w:vAlign w:val="bottom"/>
          </w:tcPr>
          <w:p>
            <w:pPr>
              <w:spacing w:after="0"/>
              <w:rPr>
                <w:sz w:val="24"/>
                <w:szCs w:val="24"/>
                <w:color w:val="auto"/>
              </w:rPr>
            </w:pPr>
          </w:p>
        </w:tc>
        <w:tc>
          <w:tcPr>
            <w:tcW w:w="2960" w:type="dxa"/>
            <w:vAlign w:val="bottom"/>
          </w:tcPr>
          <w:p>
            <w:pPr>
              <w:jc w:val="right"/>
              <w:ind w:right="2501"/>
              <w:spacing w:after="0"/>
              <w:rPr>
                <w:sz w:val="20"/>
                <w:szCs w:val="20"/>
                <w:color w:val="auto"/>
              </w:rPr>
            </w:pPr>
            <w:r>
              <w:rPr>
                <w:rFonts w:ascii="Courier New" w:cs="Courier New" w:eastAsia="Courier New" w:hAnsi="Courier New"/>
                <w:sz w:val="16"/>
                <w:szCs w:val="16"/>
                <w:color w:val="auto"/>
                <w:w w:val="93"/>
              </w:rPr>
              <w:t>F-39</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gridSpan w:val="3"/>
          </w:tcPr>
          <w:p>
            <w:pPr>
              <w:jc w:val="right"/>
              <w:ind w:right="441"/>
              <w:spacing w:after="0"/>
              <w:rPr>
                <w:sz w:val="20"/>
                <w:szCs w:val="20"/>
                <w:color w:val="auto"/>
              </w:rPr>
            </w:pPr>
            <w:r>
              <w:rPr>
                <w:rFonts w:ascii="Courier New" w:cs="Courier New" w:eastAsia="Courier New" w:hAnsi="Courier New"/>
                <w:sz w:val="16"/>
                <w:szCs w:val="16"/>
                <w:color w:val="auto"/>
              </w:rPr>
              <w:t>NORTHWEST TEXAS HEALTHCARE SYSTEM</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4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NOTES TO FINANCIAL STATEMENTS</w:t>
            </w:r>
          </w:p>
        </w:tc>
        <w:tc>
          <w:tcPr>
            <w:tcW w:w="1280" w:type="dxa"/>
            <w:vAlign w:val="bottom"/>
          </w:tcPr>
          <w:p>
            <w:pPr>
              <w:spacing w:after="0"/>
              <w:rPr>
                <w:sz w:val="20"/>
                <w:szCs w:val="20"/>
                <w:color w:val="auto"/>
              </w:rPr>
            </w:pPr>
            <w:r>
              <w:rPr>
                <w:rFonts w:ascii="Courier New" w:cs="Courier New" w:eastAsia="Courier New" w:hAnsi="Courier New"/>
                <w:sz w:val="16"/>
                <w:szCs w:val="16"/>
                <w:color w:val="auto"/>
              </w:rPr>
              <w:t>--(CONTINUED)</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586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YEARS ENDED SEPTEMBER 30, 1994 AND 1995</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060" w:type="dxa"/>
            <w:vAlign w:val="bottom"/>
            <w:gridSpan w:val="4"/>
          </w:tcPr>
          <w:p>
            <w:pPr>
              <w:jc w:val="right"/>
              <w:ind w:right="501"/>
              <w:spacing w:after="0"/>
              <w:rPr>
                <w:sz w:val="20"/>
                <w:szCs w:val="20"/>
                <w:color w:val="auto"/>
              </w:rPr>
            </w:pPr>
            <w:r>
              <w:rPr>
                <w:rFonts w:ascii="Courier New" w:cs="Courier New" w:eastAsia="Courier New" w:hAnsi="Courier New"/>
                <w:sz w:val="16"/>
                <w:szCs w:val="16"/>
                <w:color w:val="auto"/>
              </w:rPr>
              <w:t>AND SIX MONTHS ENDED MARCH 31, 1995 AND 1996 (UNAUDITED)</w:t>
            </w: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67"/>
        </w:trPr>
        <w:tc>
          <w:tcPr>
            <w:tcW w:w="4340" w:type="dxa"/>
            <w:vAlign w:val="bottom"/>
          </w:tcPr>
          <w:p>
            <w:pPr>
              <w:spacing w:after="0"/>
              <w:rPr>
                <w:sz w:val="20"/>
                <w:szCs w:val="20"/>
                <w:color w:val="auto"/>
              </w:rPr>
            </w:pPr>
            <w:r>
              <w:rPr>
                <w:rFonts w:ascii="Courier New" w:cs="Courier New" w:eastAsia="Courier New" w:hAnsi="Courier New"/>
                <w:sz w:val="16"/>
                <w:szCs w:val="16"/>
                <w:color w:val="auto"/>
              </w:rPr>
              <w:t>NOTE 4--INVESTMENTS--(CONTINUED)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3"/>
        </w:trPr>
        <w:tc>
          <w:tcPr>
            <w:tcW w:w="8060" w:type="dxa"/>
            <w:vAlign w:val="bottom"/>
            <w:gridSpan w:val="5"/>
          </w:tcPr>
          <w:p>
            <w:pPr>
              <w:jc w:val="right"/>
              <w:ind w:right="741"/>
              <w:spacing w:after="0"/>
              <w:rPr>
                <w:sz w:val="20"/>
                <w:szCs w:val="20"/>
                <w:color w:val="auto"/>
              </w:rPr>
            </w:pPr>
            <w:r>
              <w:rPr>
                <w:rFonts w:ascii="Courier New" w:cs="Courier New" w:eastAsia="Courier New" w:hAnsi="Courier New"/>
                <w:sz w:val="16"/>
                <w:szCs w:val="16"/>
                <w:color w:val="auto"/>
              </w:rPr>
              <w:t>Amortized cost, gross unrealized holding gains and losses and fair value</w:t>
            </w:r>
          </w:p>
        </w:tc>
        <w:tc>
          <w:tcPr>
            <w:tcW w:w="1280" w:type="dxa"/>
            <w:vAlign w:val="bottom"/>
          </w:tcPr>
          <w:p>
            <w:pPr>
              <w:spacing w:after="0"/>
              <w:rPr>
                <w:sz w:val="15"/>
                <w:szCs w:val="15"/>
                <w:color w:val="auto"/>
              </w:rPr>
            </w:pPr>
          </w:p>
        </w:tc>
      </w:tr>
      <w:tr>
        <w:trPr>
          <w:trHeight w:val="183"/>
        </w:trPr>
        <w:tc>
          <w:tcPr>
            <w:tcW w:w="7060" w:type="dxa"/>
            <w:vAlign w:val="bottom"/>
            <w:gridSpan w:val="4"/>
          </w:tcPr>
          <w:p>
            <w:pPr>
              <w:spacing w:after="0"/>
              <w:rPr>
                <w:sz w:val="20"/>
                <w:szCs w:val="20"/>
                <w:color w:val="auto"/>
              </w:rPr>
            </w:pPr>
            <w:r>
              <w:rPr>
                <w:rFonts w:ascii="Courier New" w:cs="Courier New" w:eastAsia="Courier New" w:hAnsi="Courier New"/>
                <w:sz w:val="16"/>
                <w:szCs w:val="16"/>
                <w:color w:val="auto"/>
              </w:rPr>
              <w:t>(which is carrying value) of investments at September 30, 1995 follow:</w:t>
            </w: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734"/>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GROSS UNREALIZED</w:t>
            </w:r>
          </w:p>
        </w:tc>
        <w:tc>
          <w:tcPr>
            <w:tcW w:w="1280" w:type="dxa"/>
            <w:vAlign w:val="bottom"/>
          </w:tcPr>
          <w:p>
            <w:pPr>
              <w:spacing w:after="0"/>
              <w:rPr>
                <w:sz w:val="24"/>
                <w:szCs w:val="24"/>
                <w:color w:val="auto"/>
              </w:rPr>
            </w:pP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rPr>
              <w:t>HOLDING</w:t>
            </w:r>
          </w:p>
        </w:tc>
        <w:tc>
          <w:tcPr>
            <w:tcW w:w="1280" w:type="dxa"/>
            <w:vAlign w:val="bottom"/>
          </w:tcPr>
          <w:p>
            <w:pPr>
              <w:spacing w:after="0"/>
              <w:rPr>
                <w:sz w:val="15"/>
                <w:szCs w:val="15"/>
                <w:color w:val="auto"/>
              </w:rPr>
            </w:pP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Courier New" w:cs="Courier New" w:eastAsia="Courier New" w:hAnsi="Courier New"/>
                <w:sz w:val="16"/>
                <w:szCs w:val="16"/>
                <w:color w:val="auto"/>
              </w:rPr>
              <w:t>AMORTIZED</w:t>
            </w:r>
          </w:p>
        </w:tc>
        <w:tc>
          <w:tcPr>
            <w:tcW w:w="2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5"/>
                <w:szCs w:val="15"/>
                <w:color w:val="auto"/>
              </w:rPr>
            </w:pP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COST</w:t>
            </w:r>
          </w:p>
        </w:tc>
        <w:tc>
          <w:tcPr>
            <w:tcW w:w="12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GAINS</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LOSSES</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FAIR VALUE</w:t>
            </w:r>
          </w:p>
        </w:tc>
      </w:tr>
      <w:tr>
        <w:trPr>
          <w:trHeight w:val="183"/>
        </w:trPr>
        <w:tc>
          <w:tcPr>
            <w:tcW w:w="434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34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1,850,042</w:t>
            </w:r>
          </w:p>
        </w:tc>
        <w:tc>
          <w:tcPr>
            <w:tcW w:w="12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  --</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$ 1,850,042</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US Government mortgage-backed...............</w:t>
            </w:r>
          </w:p>
        </w:tc>
        <w:tc>
          <w:tcPr>
            <w:tcW w:w="24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7,270,403</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49,139</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151,677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7,167,865</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Other US Government.........................</w:t>
            </w:r>
          </w:p>
        </w:tc>
        <w:tc>
          <w:tcPr>
            <w:tcW w:w="24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38,874,267</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201,567</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432,902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38,642,932</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Corporate debt..............................</w:t>
            </w:r>
          </w:p>
        </w:tc>
        <w:tc>
          <w:tcPr>
            <w:tcW w:w="24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500,336</w:t>
            </w:r>
          </w:p>
        </w:tc>
        <w:tc>
          <w:tcPr>
            <w:tcW w:w="12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1,276</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499,060</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Accrued interest............................</w:t>
            </w:r>
          </w:p>
        </w:tc>
        <w:tc>
          <w:tcPr>
            <w:tcW w:w="24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755,297</w:t>
            </w:r>
          </w:p>
        </w:tc>
        <w:tc>
          <w:tcPr>
            <w:tcW w:w="12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755,297</w:t>
            </w:r>
          </w:p>
        </w:tc>
      </w:tr>
      <w:tr>
        <w:trPr>
          <w:trHeight w:val="183"/>
        </w:trPr>
        <w:tc>
          <w:tcPr>
            <w:tcW w:w="434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49,250,345</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250,706</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585,855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48,915,196</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Less limited use assets: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Board designated..........................</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(8,891,311)</w:t>
            </w:r>
          </w:p>
        </w:tc>
        <w:tc>
          <w:tcPr>
            <w:tcW w:w="120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(8,891,311)</w:t>
            </w:r>
          </w:p>
        </w:tc>
      </w:tr>
      <w:tr>
        <w:trPr>
          <w:trHeight w:val="183"/>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Indenture agreement.......................</w:t>
            </w:r>
          </w:p>
        </w:tc>
        <w:tc>
          <w:tcPr>
            <w:tcW w:w="2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(5,021,255)</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(950)</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(34,671)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(4,987,534)</w:t>
            </w:r>
          </w:p>
        </w:tc>
      </w:tr>
      <w:tr>
        <w:trPr>
          <w:trHeight w:val="183"/>
        </w:trPr>
        <w:tc>
          <w:tcPr>
            <w:tcW w:w="434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3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35,337,779</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$249,756</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$551,184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$35,036,351</w:t>
            </w:r>
          </w:p>
        </w:tc>
      </w:tr>
      <w:tr>
        <w:trPr>
          <w:trHeight w:val="183"/>
        </w:trPr>
        <w:tc>
          <w:tcPr>
            <w:tcW w:w="434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34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Investment maturities at September 30, 1995 follow:</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AMORTIZED COST</w:t>
            </w:r>
          </w:p>
        </w:tc>
        <w:tc>
          <w:tcPr>
            <w:tcW w:w="440" w:type="dxa"/>
            <w:vAlign w:val="bottom"/>
          </w:tcPr>
          <w:p>
            <w:pPr>
              <w:spacing w:after="0"/>
              <w:rPr>
                <w:sz w:val="15"/>
                <w:szCs w:val="15"/>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5"/>
              </w:rPr>
              <w:t>FAIR VALUE</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(CARRYING VALUE)</w:t>
            </w:r>
          </w:p>
        </w:tc>
      </w:tr>
      <w:tr>
        <w:trPr>
          <w:trHeight w:val="367"/>
        </w:trPr>
        <w:tc>
          <w:tcPr>
            <w:tcW w:w="3620" w:type="dxa"/>
            <w:vAlign w:val="bottom"/>
          </w:tcPr>
          <w:p>
            <w:pPr>
              <w:spacing w:after="0"/>
              <w:rPr>
                <w:sz w:val="20"/>
                <w:szCs w:val="20"/>
                <w:color w:val="auto"/>
              </w:rPr>
            </w:pPr>
            <w:r>
              <w:rPr>
                <w:rFonts w:ascii="Courier New" w:cs="Courier New" w:eastAsia="Courier New" w:hAnsi="Courier New"/>
                <w:sz w:val="12"/>
                <w:szCs w:val="12"/>
                <w:color w:val="auto"/>
                <w:w w:val="79"/>
              </w:rPr>
              <w:t>Due in 1 year..................................................</w:t>
            </w:r>
          </w:p>
        </w:tc>
        <w:tc>
          <w:tcPr>
            <w:tcW w:w="2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17,316,428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17,142,166</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Due in 1 to 5 years............................................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18,745,033</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18,859,110</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Due in 5 to 10 years...........................................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1,742,501</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1,563,398</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US Government mortgage-backed..................................</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10,691,086</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10,595,225</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Accrued interest...............................................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755,297</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755,297</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49,250,345</w:t>
            </w:r>
          </w:p>
        </w:tc>
        <w:tc>
          <w:tcPr>
            <w:tcW w:w="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48,915,196</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Less limited use assets........................................</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(13,912,566)</w:t>
            </w: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(13,878,845)</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2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35,337,779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35,036,351</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15"/>
                <w:szCs w:val="15"/>
                <w:color w:val="auto"/>
              </w:rPr>
            </w:pPr>
          </w:p>
        </w:tc>
        <w:tc>
          <w:tcPr>
            <w:tcW w:w="4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3620" w:type="dxa"/>
            <w:vAlign w:val="bottom"/>
          </w:tcPr>
          <w:p>
            <w:pPr>
              <w:spacing w:after="0"/>
              <w:rPr>
                <w:sz w:val="24"/>
                <w:szCs w:val="24"/>
                <w:color w:val="auto"/>
              </w:rPr>
            </w:pPr>
          </w:p>
        </w:tc>
        <w:tc>
          <w:tcPr>
            <w:tcW w:w="2960" w:type="dxa"/>
            <w:vAlign w:val="bottom"/>
          </w:tcPr>
          <w:p>
            <w:pPr>
              <w:jc w:val="right"/>
              <w:ind w:right="2501"/>
              <w:spacing w:after="0"/>
              <w:rPr>
                <w:sz w:val="20"/>
                <w:szCs w:val="20"/>
                <w:color w:val="auto"/>
              </w:rPr>
            </w:pPr>
            <w:r>
              <w:rPr>
                <w:rFonts w:ascii="Courier New" w:cs="Courier New" w:eastAsia="Courier New" w:hAnsi="Courier New"/>
                <w:sz w:val="16"/>
                <w:szCs w:val="16"/>
                <w:color w:val="auto"/>
                <w:w w:val="93"/>
              </w:rPr>
              <w:t>F-40</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86" w:name="page87"/>
    <w:bookmarkEnd w:id="86"/>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5--ASSETS WHOSE USE IS LIMITED</w:t>
      </w:r>
    </w:p>
    <w:p>
      <w:pPr>
        <w:spacing w:after="0" w:line="188"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At September 30, 1994 and 1995, investments were recorded at fair value. At September 30, 1994 and 1995, assets whose use is limited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Under indenture agreements to meet interest and</w:t>
            </w: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820" w:type="dxa"/>
            <w:vAlign w:val="bottom"/>
          </w:tcPr>
          <w:p>
            <w:pPr>
              <w:jc w:val="right"/>
              <w:ind w:right="2161"/>
              <w:spacing w:after="0"/>
              <w:rPr>
                <w:sz w:val="20"/>
                <w:szCs w:val="20"/>
                <w:color w:val="auto"/>
              </w:rPr>
            </w:pPr>
            <w:r>
              <w:rPr>
                <w:rFonts w:ascii="Courier New" w:cs="Courier New" w:eastAsia="Courier New" w:hAnsi="Courier New"/>
                <w:sz w:val="16"/>
                <w:szCs w:val="16"/>
                <w:color w:val="auto"/>
              </w:rPr>
              <w:t>sinking fund requirements:</w:t>
            </w: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Investments....................................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$ 4,663,115</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$4,987,534</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receivable...............................</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59,607</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32,873</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Investments designated by Board for:</w:t>
            </w: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Employee benefits..............................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3,500,000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3,500,000</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Workers' compensation benefits.................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1,000,000</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Malpractice funding arrangements...............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1,000,000</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Donation to school of pharmacy.................</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4,000,000</w:t>
            </w:r>
          </w:p>
        </w:tc>
        <w:tc>
          <w:tcPr>
            <w:tcW w:w="12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Capital improvements...........................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7,242,303</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3,391,311</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assets whose use is limited..........</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21,465,025</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13,911,718</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Less assets whose use is limited and required for</w:t>
            </w:r>
          </w:p>
        </w:tc>
        <w:tc>
          <w:tcPr>
            <w:tcW w:w="1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current liabilities..............................</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(16,078,474)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(8,176,010)</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ASSETS WHOSE USE IS LIMITED--NONCURRENT..........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$ 5,386,551</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$5,735,708</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6--PROPERTY AND EQUIPMENT</w:t>
      </w:r>
    </w:p>
    <w:p>
      <w:pPr>
        <w:spacing w:after="0" w:line="188" w:lineRule="exact"/>
        <w:rPr>
          <w:sz w:val="20"/>
          <w:szCs w:val="20"/>
          <w:color w:val="auto"/>
        </w:rPr>
      </w:pPr>
    </w:p>
    <w:p>
      <w:pPr>
        <w:ind w:right="3259" w:firstLine="382"/>
        <w:spacing w:after="0" w:line="239" w:lineRule="auto"/>
        <w:rPr>
          <w:sz w:val="20"/>
          <w:szCs w:val="20"/>
          <w:color w:val="auto"/>
        </w:rPr>
      </w:pPr>
      <w:r>
        <w:rPr>
          <w:rFonts w:ascii="Courier New" w:cs="Courier New" w:eastAsia="Courier New" w:hAnsi="Courier New"/>
          <w:sz w:val="16"/>
          <w:szCs w:val="16"/>
          <w:color w:val="auto"/>
        </w:rPr>
        <w:t>A summary of property and equipment as of September 30, 1994 and 1995 follows: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2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$ 1,418,949</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$ 1,418,949</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Land improvements.................................</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1,234,862</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1,258,743</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Buildings and improvements........................</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57,181,784</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62,336,803</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Equipment.........................................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45,643,749</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52,760,799</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Construction in progress..........................</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6,929,104</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1,118,142</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112,408,448</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118,893,436</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(44,560,178)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(51,640,719)</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TOTAL PROPERTY AND EQUIPMENT................</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$67,848,270</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$67,252,717</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50"/>
        </w:trPr>
        <w:tc>
          <w:tcPr>
            <w:tcW w:w="4900" w:type="dxa"/>
            <w:vAlign w:val="bottom"/>
          </w:tcPr>
          <w:p>
            <w:pPr>
              <w:ind w:left="3620"/>
              <w:spacing w:after="0"/>
              <w:rPr>
                <w:sz w:val="20"/>
                <w:szCs w:val="20"/>
                <w:color w:val="auto"/>
              </w:rPr>
            </w:pPr>
            <w:r>
              <w:rPr>
                <w:rFonts w:ascii="Courier New" w:cs="Courier New" w:eastAsia="Courier New" w:hAnsi="Courier New"/>
                <w:sz w:val="16"/>
                <w:szCs w:val="16"/>
                <w:color w:val="auto"/>
              </w:rPr>
              <w:t>F-41</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87" w:name="page88"/>
    <w:bookmarkEnd w:id="87"/>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7--LONG-TERM DEBT</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 summary of long-term debt as of September 30, 1994 and 1995 follows: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1994</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90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General obligation bonds 1977 Series, interest</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payable semi-annually at fixed rates ranging</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from 4.60% to 5.40%, maturing serially through</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March 1, 2001.....................................</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$9,850,000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$8,700,000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General obligation bonds 1980 Series, interest</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payable semi-annually at fixed rates ranging</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900" w:type="dxa"/>
            <w:vAlign w:val="bottom"/>
          </w:tcPr>
          <w:p>
            <w:pPr>
              <w:ind w:left="180"/>
              <w:spacing w:after="0"/>
              <w:rPr>
                <w:sz w:val="20"/>
                <w:szCs w:val="20"/>
                <w:color w:val="auto"/>
              </w:rPr>
            </w:pPr>
            <w:r>
              <w:rPr>
                <w:rFonts w:ascii="Courier New" w:cs="Courier New" w:eastAsia="Courier New" w:hAnsi="Courier New"/>
                <w:sz w:val="16"/>
                <w:szCs w:val="16"/>
                <w:color w:val="auto"/>
              </w:rPr>
              <w:t>from 7.0 % to 7.40%, maturing serially through</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March 1, 1997.....................................</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125,000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75,000</w:t>
            </w:r>
          </w:p>
        </w:tc>
      </w:tr>
      <w:tr>
        <w:trPr>
          <w:trHeight w:val="183"/>
        </w:trPr>
        <w:tc>
          <w:tcPr>
            <w:tcW w:w="490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Total long-term debt........................</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9,975,000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8,775,000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Less current installments of long-term debt.......</w:t>
            </w: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(1,200,000)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(1,250,000)</w:t>
            </w:r>
          </w:p>
        </w:tc>
      </w:tr>
      <w:tr>
        <w:trPr>
          <w:trHeight w:val="183"/>
        </w:trPr>
        <w:tc>
          <w:tcPr>
            <w:tcW w:w="490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LONG-TERM DEBT, EXCLUDING CURRENT INSTALLMENTS....</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$8,775,000</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$7,525,000</w:t>
            </w:r>
          </w:p>
        </w:tc>
      </w:tr>
      <w:tr>
        <w:trPr>
          <w:trHeight w:val="183"/>
        </w:trPr>
        <w:tc>
          <w:tcPr>
            <w:tcW w:w="490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599" w:firstLine="382"/>
        <w:spacing w:after="0" w:line="262" w:lineRule="auto"/>
        <w:rPr>
          <w:sz w:val="20"/>
          <w:szCs w:val="20"/>
          <w:color w:val="auto"/>
        </w:rPr>
      </w:pPr>
      <w:r>
        <w:rPr>
          <w:rFonts w:ascii="Courier New" w:cs="Courier New" w:eastAsia="Courier New" w:hAnsi="Courier New"/>
          <w:sz w:val="15"/>
          <w:szCs w:val="15"/>
          <w:color w:val="auto"/>
        </w:rPr>
        <w:t>The general obligation bonds were authorized by elections held December 7, 1976. The bonds represent direct and general obligations of the Hospital, payable from ad valorem taxes levied against all taxable property located within the taxing district. The Hospital can redeem the 1977 and 1980 Series bonds, in whole or in part, at par plus accrued interest on any interest payment date.</w:t>
      </w:r>
    </w:p>
    <w:p>
      <w:pPr>
        <w:spacing w:after="0" w:line="173" w:lineRule="exact"/>
        <w:rPr>
          <w:sz w:val="20"/>
          <w:szCs w:val="20"/>
          <w:color w:val="auto"/>
        </w:rPr>
      </w:pPr>
    </w:p>
    <w:p>
      <w:pPr>
        <w:ind w:right="3359" w:firstLine="382"/>
        <w:spacing w:after="0"/>
        <w:rPr>
          <w:sz w:val="20"/>
          <w:szCs w:val="20"/>
          <w:color w:val="auto"/>
        </w:rPr>
      </w:pPr>
      <w:r>
        <w:rPr>
          <w:rFonts w:ascii="Courier New" w:cs="Courier New" w:eastAsia="Courier New" w:hAnsi="Courier New"/>
          <w:sz w:val="16"/>
          <w:szCs w:val="16"/>
          <w:color w:val="auto"/>
        </w:rPr>
        <w:t>Scheduled principal payments on long-term debt are as follows: 1996, $1,250,000; 1997, $1,325,000; 1998, $1,400,000; 1999, $1,500,000; 2000, $1,600,000 and thereafter, $1,700,000.</w:t>
      </w:r>
    </w:p>
    <w:p>
      <w:pPr>
        <w:spacing w:after="0" w:line="190" w:lineRule="exact"/>
        <w:rPr>
          <w:sz w:val="20"/>
          <w:szCs w:val="20"/>
          <w:color w:val="auto"/>
        </w:rPr>
      </w:pPr>
    </w:p>
    <w:p>
      <w:pPr>
        <w:ind w:right="2679" w:firstLine="382"/>
        <w:spacing w:after="0" w:line="239" w:lineRule="auto"/>
        <w:rPr>
          <w:sz w:val="20"/>
          <w:szCs w:val="20"/>
          <w:color w:val="auto"/>
        </w:rPr>
      </w:pPr>
      <w:r>
        <w:rPr>
          <w:rFonts w:ascii="Courier New" w:cs="Courier New" w:eastAsia="Courier New" w:hAnsi="Courier New"/>
          <w:sz w:val="16"/>
          <w:szCs w:val="16"/>
          <w:color w:val="auto"/>
        </w:rPr>
        <w:t>Interest costs capitalized in 1994 and 1995 were approximately $554,000 and $17,000,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8--CAPITAL LEASE OBLIGATIONS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Hospital is obligated under one capital lease for equipment. The cost of equipment recorded under such leases was $223,919, net of accumulated amortization of $151,947, as of September 30, 1995. The present value of future minimum lease payments as of September 30, 1995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YEARS ENDING SEPTEMBER 30:</w:t>
            </w:r>
          </w:p>
        </w:tc>
        <w:tc>
          <w:tcPr>
            <w:tcW w:w="800" w:type="dxa"/>
            <w:vAlign w:val="bottom"/>
          </w:tcPr>
          <w:p>
            <w:pPr>
              <w:spacing w:after="0"/>
              <w:rPr>
                <w:sz w:val="15"/>
                <w:szCs w:val="15"/>
                <w:color w:val="auto"/>
              </w:rPr>
            </w:pPr>
          </w:p>
        </w:tc>
      </w:tr>
      <w:tr>
        <w:trPr>
          <w:trHeight w:val="183"/>
        </w:trPr>
        <w:tc>
          <w:tcPr>
            <w:tcW w:w="6440" w:type="dxa"/>
            <w:vAlign w:val="bottom"/>
            <w:gridSpan w:val="2"/>
          </w:tcPr>
          <w:p>
            <w:pPr>
              <w:spacing w:after="0"/>
              <w:rPr>
                <w:sz w:val="20"/>
                <w:szCs w:val="20"/>
                <w:color w:val="auto"/>
              </w:rPr>
            </w:pPr>
            <w:r>
              <w:rPr>
                <w:rFonts w:ascii="Courier New" w:cs="Courier New" w:eastAsia="Courier New" w:hAnsi="Courier New"/>
                <w:sz w:val="16"/>
                <w:szCs w:val="16"/>
                <w:color w:val="auto"/>
                <w:w w:val="99"/>
              </w:rPr>
              <w:t>- -----------------------------------------------------------------</w:t>
            </w:r>
          </w:p>
        </w:tc>
        <w:tc>
          <w:tcPr>
            <w:tcW w:w="800" w:type="dxa"/>
            <w:vAlign w:val="bottom"/>
          </w:tcPr>
          <w:p>
            <w:pPr>
              <w:spacing w:after="0"/>
              <w:rPr>
                <w:sz w:val="15"/>
                <w:szCs w:val="15"/>
                <w:color w:val="auto"/>
              </w:rPr>
            </w:pPr>
          </w:p>
        </w:tc>
      </w:tr>
      <w:tr>
        <w:trPr>
          <w:trHeight w:val="183"/>
        </w:trPr>
        <w:tc>
          <w:tcPr>
            <w:tcW w:w="6440" w:type="dxa"/>
            <w:vAlign w:val="bottom"/>
            <w:gridSpan w:val="2"/>
          </w:tcPr>
          <w:p>
            <w:pPr>
              <w:spacing w:after="0"/>
              <w:rPr>
                <w:sz w:val="20"/>
                <w:szCs w:val="20"/>
                <w:color w:val="auto"/>
              </w:rPr>
            </w:pPr>
            <w:r>
              <w:rPr>
                <w:rFonts w:ascii="Courier New" w:cs="Courier New" w:eastAsia="Courier New" w:hAnsi="Courier New"/>
                <w:sz w:val="16"/>
                <w:szCs w:val="16"/>
                <w:color w:val="auto"/>
              </w:rPr>
              <w:t>1996.............................................................</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$55,062</w:t>
            </w:r>
          </w:p>
        </w:tc>
      </w:tr>
      <w:tr>
        <w:trPr>
          <w:trHeight w:val="183"/>
        </w:trPr>
        <w:tc>
          <w:tcPr>
            <w:tcW w:w="6440" w:type="dxa"/>
            <w:vAlign w:val="bottom"/>
            <w:gridSpan w:val="2"/>
          </w:tcPr>
          <w:p>
            <w:pPr>
              <w:spacing w:after="0"/>
              <w:rPr>
                <w:sz w:val="20"/>
                <w:szCs w:val="20"/>
                <w:color w:val="auto"/>
              </w:rPr>
            </w:pPr>
            <w:r>
              <w:rPr>
                <w:rFonts w:ascii="Courier New" w:cs="Courier New" w:eastAsia="Courier New" w:hAnsi="Courier New"/>
                <w:sz w:val="16"/>
                <w:szCs w:val="16"/>
                <w:color w:val="auto"/>
              </w:rPr>
              <w:t>1997.............................................................</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28,315</w:t>
            </w:r>
          </w:p>
        </w:tc>
      </w:tr>
      <w:tr>
        <w:trPr>
          <w:trHeight w:val="183"/>
        </w:trPr>
        <w:tc>
          <w:tcPr>
            <w:tcW w:w="7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Total minimum lease payments...............................</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83,377</w:t>
            </w:r>
          </w:p>
        </w:tc>
      </w:tr>
      <w:tr>
        <w:trPr>
          <w:trHeight w:val="183"/>
        </w:trPr>
        <w:tc>
          <w:tcPr>
            <w:tcW w:w="6440" w:type="dxa"/>
            <w:vAlign w:val="bottom"/>
            <w:gridSpan w:val="2"/>
          </w:tcPr>
          <w:p>
            <w:pPr>
              <w:spacing w:after="0"/>
              <w:rPr>
                <w:sz w:val="20"/>
                <w:szCs w:val="20"/>
                <w:color w:val="auto"/>
              </w:rPr>
            </w:pPr>
            <w:r>
              <w:rPr>
                <w:rFonts w:ascii="Courier New" w:cs="Courier New" w:eastAsia="Courier New" w:hAnsi="Courier New"/>
                <w:sz w:val="16"/>
                <w:szCs w:val="16"/>
                <w:color w:val="auto"/>
              </w:rPr>
              <w:t>Less amount representing interest (at a rate of 7.5%)............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(4,455)</w:t>
            </w:r>
          </w:p>
        </w:tc>
      </w:tr>
      <w:tr>
        <w:trPr>
          <w:trHeight w:val="183"/>
        </w:trPr>
        <w:tc>
          <w:tcPr>
            <w:tcW w:w="7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440" w:type="dxa"/>
            <w:vAlign w:val="bottom"/>
            <w:gridSpan w:val="2"/>
          </w:tcPr>
          <w:p>
            <w:pPr>
              <w:spacing w:after="0"/>
              <w:rPr>
                <w:sz w:val="20"/>
                <w:szCs w:val="20"/>
                <w:color w:val="auto"/>
              </w:rPr>
            </w:pPr>
            <w:r>
              <w:rPr>
                <w:rFonts w:ascii="Courier New" w:cs="Courier New" w:eastAsia="Courier New" w:hAnsi="Courier New"/>
                <w:sz w:val="16"/>
                <w:szCs w:val="16"/>
                <w:color w:val="auto"/>
              </w:rPr>
              <w:t>Present value of minimum lease payments..........................</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78,922</w:t>
            </w:r>
          </w:p>
        </w:tc>
      </w:tr>
      <w:tr>
        <w:trPr>
          <w:trHeight w:val="183"/>
        </w:trPr>
        <w:tc>
          <w:tcPr>
            <w:tcW w:w="6440" w:type="dxa"/>
            <w:vAlign w:val="bottom"/>
            <w:gridSpan w:val="2"/>
          </w:tcPr>
          <w:p>
            <w:pPr>
              <w:spacing w:after="0"/>
              <w:rPr>
                <w:sz w:val="20"/>
                <w:szCs w:val="20"/>
                <w:color w:val="auto"/>
              </w:rPr>
            </w:pPr>
            <w:r>
              <w:rPr>
                <w:rFonts w:ascii="Courier New" w:cs="Courier New" w:eastAsia="Courier New" w:hAnsi="Courier New"/>
                <w:sz w:val="16"/>
                <w:szCs w:val="16"/>
                <w:color w:val="auto"/>
              </w:rPr>
              <w:t>Less current portion of capital lease obligation.................</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(48,228)</w:t>
            </w:r>
          </w:p>
        </w:tc>
      </w:tr>
      <w:tr>
        <w:trPr>
          <w:trHeight w:val="183"/>
        </w:trPr>
        <w:tc>
          <w:tcPr>
            <w:tcW w:w="7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CAPITAL</w:t>
            </w:r>
          </w:p>
        </w:tc>
        <w:tc>
          <w:tcPr>
            <w:tcW w:w="56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LEASE OBLIGATION, EXCLUDING CURRENT PORTION..............</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$30,694</w:t>
            </w:r>
          </w:p>
        </w:tc>
      </w:tr>
      <w:tr>
        <w:trPr>
          <w:trHeight w:val="183"/>
        </w:trPr>
        <w:tc>
          <w:tcPr>
            <w:tcW w:w="7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NOTE 9--</w:t>
            </w:r>
          </w:p>
        </w:tc>
        <w:tc>
          <w:tcPr>
            <w:tcW w:w="5680" w:type="dxa"/>
            <w:vAlign w:val="bottom"/>
          </w:tcPr>
          <w:p>
            <w:pPr>
              <w:jc w:val="right"/>
              <w:ind w:right="1981"/>
              <w:spacing w:after="0"/>
              <w:rPr>
                <w:sz w:val="20"/>
                <w:szCs w:val="20"/>
                <w:color w:val="auto"/>
              </w:rPr>
            </w:pPr>
            <w:r>
              <w:rPr>
                <w:rFonts w:ascii="Courier New" w:cs="Courier New" w:eastAsia="Courier New" w:hAnsi="Courier New"/>
                <w:sz w:val="16"/>
                <w:szCs w:val="16"/>
                <w:color w:val="auto"/>
                <w:w w:val="98"/>
              </w:rPr>
              <w:t>MANAGEMENT INCENTIVE COMPENSATION PLAN</w:t>
            </w:r>
          </w:p>
        </w:tc>
        <w:tc>
          <w:tcPr>
            <w:tcW w:w="800" w:type="dxa"/>
            <w:vAlign w:val="bottom"/>
          </w:tcPr>
          <w:p>
            <w:pPr>
              <w:spacing w:after="0"/>
              <w:rPr>
                <w:sz w:val="24"/>
                <w:szCs w:val="24"/>
                <w:color w:val="auto"/>
              </w:rPr>
            </w:pPr>
          </w:p>
        </w:tc>
      </w:tr>
    </w:tbl>
    <w:p>
      <w:pPr>
        <w:spacing w:after="0" w:line="188" w:lineRule="exact"/>
        <w:rPr>
          <w:sz w:val="20"/>
          <w:szCs w:val="20"/>
          <w:color w:val="auto"/>
        </w:rPr>
      </w:pPr>
    </w:p>
    <w:p>
      <w:pPr>
        <w:jc w:val="both"/>
        <w:ind w:right="2679" w:firstLine="382"/>
        <w:spacing w:after="0"/>
        <w:rPr>
          <w:sz w:val="20"/>
          <w:szCs w:val="20"/>
          <w:color w:val="auto"/>
        </w:rPr>
      </w:pPr>
      <w:r>
        <w:rPr>
          <w:rFonts w:ascii="Courier New" w:cs="Courier New" w:eastAsia="Courier New" w:hAnsi="Courier New"/>
          <w:sz w:val="16"/>
          <w:szCs w:val="16"/>
          <w:color w:val="auto"/>
        </w:rPr>
        <w:t>Through fiscal year 1994, the Hospital's salary and wage scale for selected upper management personnel included two components of pay: (1) a base salary to be paid bi-weekly and (2) an at-risk</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F-42</w:t>
      </w:r>
    </w:p>
    <w:p>
      <w:pPr>
        <w:sectPr>
          <w:pgSz w:w="11900" w:h="16838" w:orient="portrait"/>
          <w:cols w:equalWidth="0" w:num="1">
            <w:col w:w="10219"/>
          </w:cols>
          <w:pgMar w:left="240" w:top="481" w:right="1440" w:bottom="1440" w:gutter="0" w:footer="0" w:header="0"/>
        </w:sectPr>
      </w:pPr>
    </w:p>
    <w:bookmarkStart w:id="88" w:name="page89"/>
    <w:bookmarkEnd w:id="88"/>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9--MANAGEMENT INCENTIVE COMPENSATION PLAN--(CONTINUED)</w:t>
      </w:r>
    </w:p>
    <w:p>
      <w:pPr>
        <w:spacing w:after="0" w:line="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amount paid through the Management Incentive Compensation Plan (MICP). Employees participating in the MICP were those determined to have a significant bearing on the successful operations of the Hospital. The amounts paid under the MICP (the at-risk amount) were based upon achievement of performance-based goals and objectives. Incentive performance levels, approved by the Board of Managers, were established and communicated to participants prior to the beginning of each fiscal year. Costs recognized in 1994 in connection with the MICP were approximately $623,000. The liability for incentive awards was included in accrued expenses in the accompanying 1994 balance sheet. The MICP was discontinued beginning with fiscal year 1995.</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10--PUBLIC EMPLOYEE RETIREMENT SYSTEM</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DESCRIPTION</w:t>
      </w:r>
    </w:p>
    <w:p>
      <w:pPr>
        <w:spacing w:after="0" w:line="188" w:lineRule="exact"/>
        <w:rPr>
          <w:sz w:val="20"/>
          <w:szCs w:val="20"/>
          <w:color w:val="auto"/>
        </w:rPr>
      </w:pPr>
    </w:p>
    <w:p>
      <w:pPr>
        <w:ind w:right="2979" w:firstLine="382"/>
        <w:spacing w:after="0" w:line="241" w:lineRule="auto"/>
        <w:rPr>
          <w:sz w:val="20"/>
          <w:szCs w:val="20"/>
          <w:color w:val="auto"/>
        </w:rPr>
      </w:pPr>
      <w:r>
        <w:rPr>
          <w:rFonts w:ascii="Courier New" w:cs="Courier New" w:eastAsia="Courier New" w:hAnsi="Courier New"/>
          <w:sz w:val="16"/>
          <w:szCs w:val="16"/>
          <w:color w:val="auto"/>
        </w:rPr>
        <w:t>In 1995, the Board approved resolutions to amend the Retirement Plan and Trust for Employees of Amarillo Hospital District effective October 1, 1994 which changed the name of the Plan to the "Retirement Plan for Employees of Northwest Texas Healthcare System."</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Substantially all full-time employees of the Hospital are eligible for participation in the Plan, a single-employer, defined benefit retirement plan. The Plan provides early, normal (age 65), and late retirement benefits based on the employee's years of service, average compensation, and social security benefits at retirement or termination of service. In addition, the Plan provides vested benefits after five years of service and preretirement death and disability benefits. Employees are not permitted to make contributions to the Plan. The Plan is administered by the Board of Managers of the District. The Plan is a component unit (presented as a Fiduciary Fund) of the District's financial reporting entity and its operations are not reported in these financial statements. Complete financial statements for the Plan may be obtained at the Hospital's administrative offices at 1501 Coulter, Amarillo, Texas 79106. At October 1, 1994 and 1995, the valuation dates, Plan membership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1994</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586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60" w:type="dxa"/>
            <w:vAlign w:val="bottom"/>
          </w:tcPr>
          <w:p>
            <w:pPr>
              <w:spacing w:after="0"/>
              <w:rPr>
                <w:sz w:val="20"/>
                <w:szCs w:val="20"/>
                <w:color w:val="auto"/>
              </w:rPr>
            </w:pPr>
            <w:r>
              <w:rPr>
                <w:rFonts w:ascii="Courier New" w:cs="Courier New" w:eastAsia="Courier New" w:hAnsi="Courier New"/>
                <w:sz w:val="16"/>
                <w:szCs w:val="16"/>
                <w:color w:val="auto"/>
              </w:rPr>
              <w:t>Retirees and beneficiaries currently receiving benefits and</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58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terminated vested participants..............................</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289</w:t>
            </w:r>
          </w:p>
        </w:tc>
      </w:tr>
      <w:tr>
        <w:trPr>
          <w:trHeight w:val="183"/>
        </w:trPr>
        <w:tc>
          <w:tcPr>
            <w:tcW w:w="5860" w:type="dxa"/>
            <w:vAlign w:val="bottom"/>
          </w:tcPr>
          <w:p>
            <w:pPr>
              <w:spacing w:after="0"/>
              <w:rPr>
                <w:sz w:val="20"/>
                <w:szCs w:val="20"/>
                <w:color w:val="auto"/>
              </w:rPr>
            </w:pPr>
            <w:r>
              <w:rPr>
                <w:rFonts w:ascii="Courier New" w:cs="Courier New" w:eastAsia="Courier New" w:hAnsi="Courier New"/>
                <w:sz w:val="16"/>
                <w:szCs w:val="16"/>
                <w:color w:val="auto"/>
              </w:rPr>
              <w:t>Active employees:</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5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Fully vested..............................................</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597</w:t>
            </w:r>
          </w:p>
        </w:tc>
      </w:tr>
      <w:tr>
        <w:trPr>
          <w:trHeight w:val="183"/>
        </w:trPr>
        <w:tc>
          <w:tcPr>
            <w:tcW w:w="5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Nonvested.................................................</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564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579</w:t>
            </w:r>
          </w:p>
        </w:tc>
      </w:tr>
      <w:tr>
        <w:trPr>
          <w:trHeight w:val="183"/>
        </w:trPr>
        <w:tc>
          <w:tcPr>
            <w:tcW w:w="586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w:t>
            </w: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1,417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1,465</w:t>
            </w:r>
          </w:p>
        </w:tc>
      </w:tr>
      <w:tr>
        <w:trPr>
          <w:trHeight w:val="183"/>
        </w:trPr>
        <w:tc>
          <w:tcPr>
            <w:tcW w:w="586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60" w:type="dxa"/>
            <w:vAlign w:val="bottom"/>
          </w:tcPr>
          <w:p>
            <w:pPr>
              <w:spacing w:after="0"/>
              <w:rPr>
                <w:sz w:val="15"/>
                <w:szCs w:val="15"/>
                <w:color w:val="auto"/>
              </w:rPr>
            </w:pPr>
          </w:p>
        </w:tc>
        <w:tc>
          <w:tcPr>
            <w:tcW w:w="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Full-time employees are eligible for participation in the Plan after completing one year of service and upon attainment of age 25. Participants vest 100% upon completion of five years of service. Vested participants are entitled to monthly benefits beginning at the normal retirement age of 65 equal to a percentage of compensation earned. Reduced benefits are available upon early retirement with 20 years of service or at age 55 with ten or more years of participation. Benefits are generally payable in monthly installments, lump sum distribution or a combination thereof.</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F-43</w:t>
      </w:r>
    </w:p>
    <w:p>
      <w:pPr>
        <w:sectPr>
          <w:pgSz w:w="11900" w:h="16838" w:orient="portrait"/>
          <w:cols w:equalWidth="0" w:num="1">
            <w:col w:w="10219"/>
          </w:cols>
          <w:pgMar w:left="240" w:top="481" w:right="1440" w:bottom="1440" w:gutter="0" w:footer="0" w:header="0"/>
        </w:sectPr>
      </w:pPr>
    </w:p>
    <w:bookmarkStart w:id="89" w:name="page90"/>
    <w:bookmarkEnd w:id="89"/>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10--PUBLIC EMPLOYEE RETIREMENT SYSTEM--(CONTINUED)</w:t>
      </w:r>
    </w:p>
    <w:p>
      <w:pPr>
        <w:spacing w:after="0" w:line="5"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Pension provisions include death and disability benefits whereby a vested disabled employee or surviving spouse of a vested employee is entitled to receive monthly benefits (on a ten years certain and life thereafter basis) derived from the greater of (a) the present value amount of the participant's deferred monthly retirement income commencing at normal retirement date as defined in the Plan accrued to the date of death or (b) an amount equal to 24 times the monthly salary on the date of death. Participants who become totally disabled receive monthly disability benefits equal to 50% of monthly salary reduced by 64% of the monthly disability benefit received from Social Security. Disability benefits are paid until normal retirement age, at which time disabled participants begin receiving normal retirement benefits computed as though they had been employed to normal retirement age with their monthly compensation remaining the same as at the time they became disabled.</w:t>
      </w:r>
    </w:p>
    <w:p>
      <w:pPr>
        <w:spacing w:after="0" w:line="192"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pension benefit obligation shown below is a standardized disclosure measure of the present value of pension benefits, adjusted for the effects of projected salary increases and plan step-rate benefits, estimated to be payable in the future as a result of employee service to date. The measure is intended to help users assess the funding status of the Plan on a going-concern basis, assess progress made in accumulating sufficient assets to pay benefits when due, and make comparisons among employers. The measure is the actuarial present value of credited projected benefits and is independent of the funding method used to determine contributions to the Plan.</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Actuarial valuations were performed as of October 1, 1994 and 1995 to determine the pension benefit obligation and contribution requirements for the subsequent fiscal year. Significant actuarial assumptions used in the valuations include (a) a rate of return on the investment of present and future assets of 8% compounded annually and (b) projected salary increases of 5% compounded annually.</w:t>
      </w:r>
    </w:p>
    <w:p>
      <w:pPr>
        <w:spacing w:after="0" w:line="187" w:lineRule="exact"/>
        <w:rPr>
          <w:sz w:val="20"/>
          <w:szCs w:val="20"/>
          <w:color w:val="auto"/>
        </w:rPr>
      </w:pPr>
    </w:p>
    <w:p>
      <w:pPr>
        <w:ind w:right="2779" w:firstLine="382"/>
        <w:spacing w:after="0" w:line="239" w:lineRule="auto"/>
        <w:rPr>
          <w:sz w:val="20"/>
          <w:szCs w:val="20"/>
          <w:color w:val="auto"/>
        </w:rPr>
      </w:pPr>
      <w:r>
        <w:rPr>
          <w:rFonts w:ascii="Courier New" w:cs="Courier New" w:eastAsia="Courier New" w:hAnsi="Courier New"/>
          <w:sz w:val="16"/>
          <w:szCs w:val="16"/>
          <w:color w:val="auto"/>
        </w:rPr>
        <w:t>The unfunded pension benefit obligation applicable to covered employees as of October 1, 1994 and 1995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3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2161"/>
              <w:spacing w:after="0"/>
              <w:rPr>
                <w:sz w:val="20"/>
                <w:szCs w:val="20"/>
                <w:color w:val="auto"/>
              </w:rPr>
            </w:pPr>
            <w:r>
              <w:rPr>
                <w:rFonts w:ascii="Courier New" w:cs="Courier New" w:eastAsia="Courier New" w:hAnsi="Courier New"/>
                <w:sz w:val="16"/>
                <w:szCs w:val="16"/>
                <w:color w:val="auto"/>
                <w:w w:val="98"/>
              </w:rPr>
              <w:t>Pension benefit obligation:</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Retirees and beneficiaries currently receiving</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82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benefits and terminated employees not yet</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receiving benefits...............................</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$ 6,669,829</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$ 8,799,882</w:t>
            </w:r>
          </w:p>
        </w:tc>
      </w:tr>
      <w:tr>
        <w:trPr>
          <w:trHeight w:val="183"/>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Current employees:</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Employer-financed--vested....................</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11,206,082</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8,708,252</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Employer-financed--nonvested.................</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3,582,081</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5,862,522</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Total pension benefit obligation...........</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21,457,992</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23,370,656</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assets available for benefits, at market...</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(17,929,269)</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(20,806,792)</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UNFUNDED PENSION BENEFIT OBLIGATION..............</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$ 3,528,723</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$ 2,563,864</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82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ACTUARIALLY DETERMINED CONTRIBUTION REQUIREMENTS AND CONTRIBUTION MADE</w:t>
      </w:r>
    </w:p>
    <w:p>
      <w:pPr>
        <w:spacing w:after="0" w:line="188" w:lineRule="exact"/>
        <w:rPr>
          <w:sz w:val="20"/>
          <w:szCs w:val="20"/>
          <w:color w:val="auto"/>
        </w:rPr>
      </w:pPr>
    </w:p>
    <w:p>
      <w:pPr>
        <w:ind w:right="2599" w:firstLine="382"/>
        <w:spacing w:after="0" w:line="263" w:lineRule="auto"/>
        <w:rPr>
          <w:sz w:val="20"/>
          <w:szCs w:val="20"/>
          <w:color w:val="auto"/>
        </w:rPr>
      </w:pPr>
      <w:r>
        <w:rPr>
          <w:rFonts w:ascii="Courier New" w:cs="Courier New" w:eastAsia="Courier New" w:hAnsi="Courier New"/>
          <w:sz w:val="15"/>
          <w:szCs w:val="15"/>
          <w:color w:val="auto"/>
        </w:rPr>
        <w:t>The Plan provides that all contributions are to be made by the Hospital. The Hospital intends, but is not required, to make annual contributions at least equal to the actuarially determined contribution requirements. Contributions attributable to normal cost and amortization of the unfunded actuarial</w:t>
      </w:r>
    </w:p>
    <w:p>
      <w:pPr>
        <w:spacing w:after="0" w:line="1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F-44</w:t>
      </w:r>
    </w:p>
    <w:p>
      <w:pPr>
        <w:sectPr>
          <w:pgSz w:w="11900" w:h="16838" w:orient="portrait"/>
          <w:cols w:equalWidth="0" w:num="1">
            <w:col w:w="10219"/>
          </w:cols>
          <w:pgMar w:left="240" w:top="481" w:right="1440" w:bottom="1440" w:gutter="0" w:footer="0" w:header="0"/>
        </w:sectPr>
      </w:pPr>
    </w:p>
    <w:bookmarkStart w:id="90" w:name="page91"/>
    <w:bookmarkEnd w:id="90"/>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10--PUBLIC EMPLOYEE RETIREMENT SYSTEM--(CONTINUED)</w:t>
      </w:r>
    </w:p>
    <w:p>
      <w:pPr>
        <w:spacing w:after="0" w:line="5"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accrued liability are determined using the entry-age-normal cost method over a 20-year amortization period.</w:t>
      </w:r>
    </w:p>
    <w:p>
      <w:pPr>
        <w:spacing w:after="0" w:line="189"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contributions to the Plan for the years ended September 30, 1994 and 1995 were made in accordance with actuarially determined requirements computed in the actuarial valuations completed as of October 1, 1993 and January 1, 1994, respectively.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18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620" w:type="dxa"/>
            <w:vAlign w:val="bottom"/>
          </w:tcPr>
          <w:p>
            <w:pPr>
              <w:spacing w:after="0"/>
              <w:rPr>
                <w:sz w:val="15"/>
                <w:szCs w:val="15"/>
                <w:color w:val="auto"/>
              </w:rPr>
            </w:pPr>
          </w:p>
        </w:tc>
      </w:tr>
      <w:tr>
        <w:trPr>
          <w:trHeight w:val="183"/>
        </w:trPr>
        <w:tc>
          <w:tcPr>
            <w:tcW w:w="600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7"/>
        </w:trPr>
        <w:tc>
          <w:tcPr>
            <w:tcW w:w="6000" w:type="dxa"/>
            <w:vAlign w:val="bottom"/>
          </w:tcPr>
          <w:p>
            <w:pPr>
              <w:spacing w:after="0"/>
              <w:rPr>
                <w:sz w:val="20"/>
                <w:szCs w:val="20"/>
                <w:color w:val="auto"/>
              </w:rPr>
            </w:pPr>
            <w:r>
              <w:rPr>
                <w:rFonts w:ascii="Courier New" w:cs="Courier New" w:eastAsia="Courier New" w:hAnsi="Courier New"/>
                <w:sz w:val="16"/>
                <w:szCs w:val="16"/>
                <w:color w:val="auto"/>
              </w:rPr>
              <w:t>Employer contributions:</w:t>
            </w: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6000" w:type="dxa"/>
            <w:vAlign w:val="bottom"/>
          </w:tcPr>
          <w:p>
            <w:pPr>
              <w:jc w:val="right"/>
              <w:spacing w:after="0"/>
              <w:rPr>
                <w:sz w:val="20"/>
                <w:szCs w:val="20"/>
                <w:color w:val="auto"/>
              </w:rPr>
            </w:pPr>
            <w:r>
              <w:rPr>
                <w:rFonts w:ascii="Courier New" w:cs="Courier New" w:eastAsia="Courier New" w:hAnsi="Courier New"/>
                <w:sz w:val="16"/>
                <w:szCs w:val="16"/>
                <w:color w:val="auto"/>
                <w:w w:val="98"/>
              </w:rPr>
              <w:t>Normal cost....................................................</w:t>
            </w: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$ 1,330,503</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$ 1,564,405</w:t>
            </w:r>
          </w:p>
        </w:tc>
      </w:tr>
      <w:tr>
        <w:trPr>
          <w:trHeight w:val="183"/>
        </w:trPr>
        <w:tc>
          <w:tcPr>
            <w:tcW w:w="6000" w:type="dxa"/>
            <w:vAlign w:val="bottom"/>
          </w:tcPr>
          <w:p>
            <w:pPr>
              <w:jc w:val="right"/>
              <w:spacing w:after="0"/>
              <w:rPr>
                <w:sz w:val="20"/>
                <w:szCs w:val="20"/>
                <w:color w:val="auto"/>
              </w:rPr>
            </w:pPr>
            <w:r>
              <w:rPr>
                <w:rFonts w:ascii="Courier New" w:cs="Courier New" w:eastAsia="Courier New" w:hAnsi="Courier New"/>
                <w:sz w:val="16"/>
                <w:szCs w:val="16"/>
                <w:color w:val="auto"/>
                <w:w w:val="98"/>
              </w:rPr>
              <w:t>Amortization of unfunded actuarial accrued liability...........</w:t>
            </w: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819,085</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693,123</w:t>
            </w:r>
          </w:p>
        </w:tc>
      </w:tr>
      <w:tr>
        <w:trPr>
          <w:trHeight w:val="183"/>
        </w:trPr>
        <w:tc>
          <w:tcPr>
            <w:tcW w:w="600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jc w:val="right"/>
              <w:spacing w:after="0"/>
              <w:rPr>
                <w:sz w:val="20"/>
                <w:szCs w:val="20"/>
                <w:color w:val="auto"/>
              </w:rPr>
            </w:pPr>
            <w:r>
              <w:rPr>
                <w:rFonts w:ascii="Courier New" w:cs="Courier New" w:eastAsia="Courier New" w:hAnsi="Courier New"/>
                <w:sz w:val="16"/>
                <w:szCs w:val="16"/>
                <w:color w:val="auto"/>
              </w:rPr>
              <w:t>Total contributions........................................</w:t>
            </w: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$ 2,149,588</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$ 2,257,528</w:t>
            </w:r>
          </w:p>
        </w:tc>
      </w:tr>
      <w:tr>
        <w:trPr>
          <w:trHeight w:val="183"/>
        </w:trPr>
        <w:tc>
          <w:tcPr>
            <w:tcW w:w="600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w w:val="95"/>
              </w:rPr>
              <w:t>Covered payroll..................................................</w:t>
            </w: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$37,323,623</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$37,906,409</w:t>
            </w:r>
          </w:p>
        </w:tc>
      </w:tr>
      <w:tr>
        <w:trPr>
          <w:trHeight w:val="183"/>
        </w:trPr>
        <w:tc>
          <w:tcPr>
            <w:tcW w:w="600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w w:val="95"/>
              </w:rPr>
              <w:t>Employer contributions as a percentage of covered payroll........</w:t>
            </w:r>
          </w:p>
        </w:tc>
        <w:tc>
          <w:tcPr>
            <w:tcW w:w="1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w:t>
            </w:r>
          </w:p>
        </w:tc>
        <w:tc>
          <w:tcPr>
            <w:tcW w:w="800" w:type="dxa"/>
            <w:vAlign w:val="bottom"/>
          </w:tcPr>
          <w:p>
            <w:pPr>
              <w:spacing w:after="0"/>
              <w:rPr>
                <w:sz w:val="15"/>
                <w:szCs w:val="15"/>
                <w:color w:val="auto"/>
              </w:rPr>
            </w:pPr>
          </w:p>
        </w:tc>
        <w:tc>
          <w:tcPr>
            <w:tcW w:w="6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w:t>
            </w:r>
          </w:p>
        </w:tc>
      </w:tr>
      <w:tr>
        <w:trPr>
          <w:trHeight w:val="183"/>
        </w:trPr>
        <w:tc>
          <w:tcPr>
            <w:tcW w:w="600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rPr>
              <w:t>TOTAL PAYROLL, EXCLUDING HEALTH INSURANCE, PENSION COSTS AND</w:t>
            </w:r>
          </w:p>
        </w:tc>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600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EMPLOYEE BENEFITS........................................</w:t>
            </w: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$51,589,000</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$51,673,000</w:t>
            </w:r>
          </w:p>
        </w:tc>
      </w:tr>
      <w:tr>
        <w:trPr>
          <w:trHeight w:val="183"/>
        </w:trPr>
        <w:tc>
          <w:tcPr>
            <w:tcW w:w="600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tcPr>
          <w:p>
            <w:pPr>
              <w:spacing w:after="0"/>
              <w:rPr>
                <w:sz w:val="15"/>
                <w:szCs w:val="15"/>
                <w:color w:val="auto"/>
              </w:rPr>
            </w:pPr>
          </w:p>
        </w:tc>
        <w:tc>
          <w:tcPr>
            <w:tcW w:w="18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550"/>
        </w:trPr>
        <w:tc>
          <w:tcPr>
            <w:tcW w:w="7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The significant actuarial assumptions used to compute the actuarially</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determined contribution requirement are the same as those used to compute the</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rPr>
              <w:t>pension benefit obligation as described above.</w:t>
            </w:r>
          </w:p>
        </w:tc>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7"/>
        </w:trPr>
        <w:tc>
          <w:tcPr>
            <w:tcW w:w="6000" w:type="dxa"/>
            <w:vAlign w:val="bottom"/>
          </w:tcPr>
          <w:p>
            <w:pPr>
              <w:spacing w:after="0"/>
              <w:rPr>
                <w:sz w:val="20"/>
                <w:szCs w:val="20"/>
                <w:color w:val="auto"/>
              </w:rPr>
            </w:pPr>
            <w:r>
              <w:rPr>
                <w:rFonts w:ascii="Courier New" w:cs="Courier New" w:eastAsia="Courier New" w:hAnsi="Courier New"/>
                <w:sz w:val="16"/>
                <w:szCs w:val="16"/>
                <w:color w:val="auto"/>
              </w:rPr>
              <w:t>THREE-YEAR HISTORICAL TREND INFORMATION</w:t>
            </w: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67"/>
        </w:trPr>
        <w:tc>
          <w:tcPr>
            <w:tcW w:w="7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Trend information gives an indication of the progress made in accumulating</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sufficient assets to pay benefits when due. Three-year trend information, for</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the years ended December 31, 1992 and September 30, 1994 and 1995 is presented</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rPr>
              <w:t>as follows:</w:t>
            </w:r>
          </w:p>
        </w:tc>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734"/>
        </w:trPr>
        <w:tc>
          <w:tcPr>
            <w:tcW w:w="6000" w:type="dxa"/>
            <w:vAlign w:val="bottom"/>
          </w:tcPr>
          <w:p>
            <w:pPr>
              <w:spacing w:after="0"/>
              <w:rPr>
                <w:sz w:val="24"/>
                <w:szCs w:val="24"/>
                <w:color w:val="auto"/>
              </w:rPr>
            </w:pPr>
          </w:p>
        </w:tc>
        <w:tc>
          <w:tcPr>
            <w:tcW w:w="1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1992</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1994</w:t>
            </w:r>
          </w:p>
        </w:tc>
        <w:tc>
          <w:tcPr>
            <w:tcW w:w="6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6000" w:type="dxa"/>
            <w:vAlign w:val="bottom"/>
          </w:tcPr>
          <w:p>
            <w:pPr>
              <w:spacing w:after="0"/>
              <w:rPr>
                <w:sz w:val="15"/>
                <w:szCs w:val="15"/>
                <w:color w:val="auto"/>
              </w:rPr>
            </w:pPr>
          </w:p>
        </w:tc>
        <w:tc>
          <w:tcPr>
            <w:tcW w:w="1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Net assets available for benefits as a percentage of the pension benefit</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w w:val="85"/>
              </w:rPr>
              <w:t>obligation...............................................................</w:t>
            </w:r>
          </w:p>
        </w:tc>
        <w:tc>
          <w:tcPr>
            <w:tcW w:w="1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73.2%</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89.0%</w:t>
            </w:r>
          </w:p>
        </w:tc>
      </w:tr>
      <w:tr>
        <w:trPr>
          <w:trHeight w:val="183"/>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Unfunded pension benefit obligation as a percentage of annual covered</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w w:val="85"/>
              </w:rPr>
              <w:t>payroll..................................................................</w:t>
            </w:r>
          </w:p>
        </w:tc>
        <w:tc>
          <w:tcPr>
            <w:tcW w:w="1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16.8%</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w w:val="85"/>
              </w:rPr>
              <w:t>Contributions as a percentage of annual covered payroll..................</w:t>
            </w:r>
          </w:p>
        </w:tc>
        <w:tc>
          <w:tcPr>
            <w:tcW w:w="1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734"/>
        </w:trPr>
        <w:tc>
          <w:tcPr>
            <w:tcW w:w="7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Historical trend information is disclosed in the Plan's separately issued</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financial statements which provides information about progress made in</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rPr>
              <w:t>accumulating sufficient assets to pay benefits when due.</w:t>
            </w:r>
          </w:p>
        </w:tc>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7"/>
        </w:trPr>
        <w:tc>
          <w:tcPr>
            <w:tcW w:w="6000" w:type="dxa"/>
            <w:vAlign w:val="bottom"/>
          </w:tcPr>
          <w:p>
            <w:pPr>
              <w:spacing w:after="0"/>
              <w:rPr>
                <w:sz w:val="20"/>
                <w:szCs w:val="20"/>
                <w:color w:val="auto"/>
              </w:rPr>
            </w:pPr>
            <w:r>
              <w:rPr>
                <w:rFonts w:ascii="Courier New" w:cs="Courier New" w:eastAsia="Courier New" w:hAnsi="Courier New"/>
                <w:sz w:val="16"/>
                <w:szCs w:val="16"/>
                <w:color w:val="auto"/>
              </w:rPr>
              <w:t>PLAN INVESTMENTS</w:t>
            </w: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67"/>
        </w:trPr>
        <w:tc>
          <w:tcPr>
            <w:tcW w:w="78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The composition of the Plan's investment portfolio is diversified among</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common trust funds, U.S. government and U.S. government-backed securities,</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corporate debt and corporate equity securities. Individual investments greater</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7820" w:type="dxa"/>
            <w:vAlign w:val="bottom"/>
            <w:gridSpan w:val="2"/>
          </w:tcPr>
          <w:p>
            <w:pPr>
              <w:spacing w:after="0"/>
              <w:rPr>
                <w:sz w:val="20"/>
                <w:szCs w:val="20"/>
                <w:color w:val="auto"/>
              </w:rPr>
            </w:pPr>
            <w:r>
              <w:rPr>
                <w:rFonts w:ascii="Courier New" w:cs="Courier New" w:eastAsia="Courier New" w:hAnsi="Courier New"/>
                <w:sz w:val="16"/>
                <w:szCs w:val="16"/>
                <w:color w:val="auto"/>
              </w:rPr>
              <w:t>than 5% of net assets available for pension benefits as of September 30, 1995</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6000" w:type="dxa"/>
            <w:vAlign w:val="bottom"/>
          </w:tcPr>
          <w:p>
            <w:pPr>
              <w:spacing w:after="0"/>
              <w:rPr>
                <w:sz w:val="20"/>
                <w:szCs w:val="20"/>
                <w:color w:val="auto"/>
              </w:rPr>
            </w:pPr>
            <w:r>
              <w:rPr>
                <w:rFonts w:ascii="Courier New" w:cs="Courier New" w:eastAsia="Courier New" w:hAnsi="Courier New"/>
                <w:sz w:val="16"/>
                <w:szCs w:val="16"/>
                <w:color w:val="auto"/>
              </w:rPr>
              <w:t>follow:</w:t>
            </w:r>
          </w:p>
        </w:tc>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7"/>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U.S. Treasury Note....................................</w:t>
            </w:r>
          </w:p>
        </w:tc>
        <w:tc>
          <w:tcPr>
            <w:tcW w:w="1820" w:type="dxa"/>
            <w:vAlign w:val="bottom"/>
          </w:tcPr>
          <w:p>
            <w:pPr>
              <w:jc w:val="right"/>
              <w:ind w:right="781"/>
              <w:spacing w:after="0"/>
              <w:rPr>
                <w:sz w:val="20"/>
                <w:szCs w:val="20"/>
                <w:color w:val="auto"/>
              </w:rPr>
            </w:pPr>
            <w:r>
              <w:rPr>
                <w:rFonts w:ascii="Courier New" w:cs="Courier New" w:eastAsia="Courier New" w:hAnsi="Courier New"/>
                <w:sz w:val="16"/>
                <w:szCs w:val="16"/>
                <w:color w:val="auto"/>
                <w:w w:val="97"/>
              </w:rPr>
              <w:t>$2,798,435</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6000" w:type="dxa"/>
            <w:vAlign w:val="bottom"/>
          </w:tcPr>
          <w:p>
            <w:pPr>
              <w:ind w:left="580"/>
              <w:spacing w:after="0"/>
              <w:rPr>
                <w:sz w:val="20"/>
                <w:szCs w:val="20"/>
                <w:color w:val="auto"/>
              </w:rPr>
            </w:pPr>
            <w:r>
              <w:rPr>
                <w:rFonts w:ascii="Courier New" w:cs="Courier New" w:eastAsia="Courier New" w:hAnsi="Courier New"/>
                <w:sz w:val="16"/>
                <w:szCs w:val="16"/>
                <w:color w:val="auto"/>
              </w:rPr>
              <w:t>Collective Employee Benefits Trust Fund J.............</w:t>
            </w:r>
          </w:p>
        </w:tc>
        <w:tc>
          <w:tcPr>
            <w:tcW w:w="18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2,793,216</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7"/>
        </w:trPr>
        <w:tc>
          <w:tcPr>
            <w:tcW w:w="6000" w:type="dxa"/>
            <w:vAlign w:val="bottom"/>
          </w:tcPr>
          <w:p>
            <w:pPr>
              <w:ind w:left="3620"/>
              <w:spacing w:after="0"/>
              <w:rPr>
                <w:sz w:val="20"/>
                <w:szCs w:val="20"/>
                <w:color w:val="auto"/>
              </w:rPr>
            </w:pPr>
            <w:r>
              <w:rPr>
                <w:rFonts w:ascii="Courier New" w:cs="Courier New" w:eastAsia="Courier New" w:hAnsi="Courier New"/>
                <w:sz w:val="16"/>
                <w:szCs w:val="16"/>
                <w:color w:val="auto"/>
              </w:rPr>
              <w:t>F-45</w:t>
            </w: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sectPr>
      </w:pPr>
    </w:p>
    <w:bookmarkStart w:id="91" w:name="page92"/>
    <w:bookmarkEnd w:id="91"/>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11--AFFILIATION WITH OTHER PARTIES</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Hospital is a participant with St. Anthony's Hospital (a not-for-profit organization) in an affiliation to operate Alliance Regional Health Plans, Inc. (Alliance). Alliance, a not-for-profit corporation, was created for the purpose of providing health care services in a cost-effective manner to community residents and employers. Alliance is governed by a twelve-member board composed of four appointees from the District and four appointees from St. Anthony's Hospital. These appointees appoint the other four board members from the community at large. Neither participant has an equity interest in Alliance. Complete financial statements for Alliance can be obtained at the administrative offices at 1500 Coulter, Suite 5, Amarillo, Texas 79106. (See also Note 13 for subsequent event.)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12--COMMITMENTS AND CONTINGENCIES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SELF INSURANCE ARRANGEMENTS</w:t>
      </w:r>
    </w:p>
    <w:p>
      <w:pPr>
        <w:spacing w:after="0" w:line="188" w:lineRule="exact"/>
        <w:rPr>
          <w:sz w:val="20"/>
          <w:szCs w:val="20"/>
          <w:color w:val="auto"/>
        </w:rPr>
      </w:pPr>
    </w:p>
    <w:p>
      <w:pPr>
        <w:ind w:right="2599" w:firstLine="382"/>
        <w:spacing w:after="0" w:line="241" w:lineRule="auto"/>
        <w:rPr>
          <w:sz w:val="20"/>
          <w:szCs w:val="20"/>
          <w:color w:val="auto"/>
        </w:rPr>
      </w:pPr>
      <w:r>
        <w:rPr>
          <w:rFonts w:ascii="Courier New" w:cs="Courier New" w:eastAsia="Courier New" w:hAnsi="Courier New"/>
          <w:sz w:val="16"/>
          <w:szCs w:val="16"/>
          <w:color w:val="auto"/>
        </w:rPr>
        <w:t>The Hospital is involved in litigation arising out of the ordinary course of business. Claims alleging malpractice have been asserted against the Hospital and are currently in various stages of litigation. The Hospital may be liable for settlement of claims up to a limit of $100,000 per person in accordance with the limited liability provisions of the Texas Tort Claims Act.</w:t>
      </w:r>
    </w:p>
    <w:p>
      <w:pPr>
        <w:spacing w:after="0" w:line="190" w:lineRule="exact"/>
        <w:rPr>
          <w:sz w:val="20"/>
          <w:szCs w:val="20"/>
          <w:color w:val="auto"/>
        </w:rPr>
      </w:pPr>
    </w:p>
    <w:p>
      <w:pPr>
        <w:ind w:right="2779" w:firstLine="382"/>
        <w:spacing w:after="0" w:line="239" w:lineRule="auto"/>
        <w:rPr>
          <w:sz w:val="20"/>
          <w:szCs w:val="20"/>
          <w:color w:val="auto"/>
        </w:rPr>
      </w:pPr>
      <w:r>
        <w:rPr>
          <w:rFonts w:ascii="Courier New" w:cs="Courier New" w:eastAsia="Courier New" w:hAnsi="Courier New"/>
          <w:sz w:val="16"/>
          <w:szCs w:val="16"/>
          <w:color w:val="auto"/>
        </w:rPr>
        <w:t>The Hospital self-insures for claims arising from professional malpractice and maintains board-designated assets to provide for such losses.</w:t>
      </w:r>
    </w:p>
    <w:p>
      <w:pPr>
        <w:spacing w:after="0" w:line="189"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The Hospital self-insures health benefits for employees and eligible dependents and maintains board-designated assets to provide for such losses. Additionally, the Hospital has stop-loss reinsurance that limits the Hospital's liability to approximately $9,115,000 in aggregate per year and $250,000 per individual per year.</w:t>
      </w:r>
    </w:p>
    <w:p>
      <w:pPr>
        <w:spacing w:after="0" w:line="190"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The Hospital provides self-funded workers' compensation benefits for any employee injured or disabled on the job and maintains board-designated assets to provide for such losses. Excess indemnity insurance purchased from an independent third-party insurer limits the Hospital's liability to $500,000 per occurrence. The Hospital used a third-party to administer workers' compensation claims until September 30, 1993. On October 1, 1993, the Hospital began administering workers' compensation claims internally.</w:t>
      </w:r>
    </w:p>
    <w:p>
      <w:pPr>
        <w:spacing w:after="0" w:line="188" w:lineRule="exact"/>
        <w:rPr>
          <w:sz w:val="20"/>
          <w:szCs w:val="20"/>
          <w:color w:val="auto"/>
        </w:rPr>
      </w:pPr>
    </w:p>
    <w:p>
      <w:pPr>
        <w:ind w:right="2879" w:firstLine="382"/>
        <w:spacing w:after="0"/>
        <w:rPr>
          <w:sz w:val="20"/>
          <w:szCs w:val="20"/>
          <w:color w:val="auto"/>
        </w:rPr>
      </w:pPr>
      <w:r>
        <w:rPr>
          <w:rFonts w:ascii="Courier New" w:cs="Courier New" w:eastAsia="Courier New" w:hAnsi="Courier New"/>
          <w:sz w:val="16"/>
          <w:szCs w:val="16"/>
          <w:color w:val="auto"/>
        </w:rPr>
        <w:t>It is the opinion of management that estimated self-insurance costs, including known claims and reserves for incurred but not reported claims, are adequate to provide for potential claims.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SALE OF HOSPITAL</w:t>
      </w:r>
    </w:p>
    <w:p>
      <w:pPr>
        <w:spacing w:after="0" w:line="188" w:lineRule="exact"/>
        <w:rPr>
          <w:sz w:val="20"/>
          <w:szCs w:val="20"/>
          <w:color w:val="auto"/>
        </w:rPr>
      </w:pPr>
    </w:p>
    <w:p>
      <w:pPr>
        <w:ind w:right="2779" w:firstLine="382"/>
        <w:spacing w:after="0" w:line="242" w:lineRule="auto"/>
        <w:rPr>
          <w:sz w:val="20"/>
          <w:szCs w:val="20"/>
          <w:color w:val="auto"/>
        </w:rPr>
      </w:pPr>
      <w:r>
        <w:rPr>
          <w:rFonts w:ascii="Courier New" w:cs="Courier New" w:eastAsia="Courier New" w:hAnsi="Courier New"/>
          <w:sz w:val="16"/>
          <w:szCs w:val="16"/>
          <w:color w:val="auto"/>
        </w:rPr>
        <w:t>On September 26, 1995, the Board of Managers of the District (the Board) signed a nonbinding letter of intent to sell the Hospital to Universal Health Services, Inc. (UHS), a hospital management company based in King of Prussia, Pennsylvania. The transaction was contingent upon completion of due diligence procedures, negotiation of specific terms and approval by the Board and by the Amarillo City Commission, UHS's board of directors and various regulatory agencies. (See Note 13 below.)</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F-46</w:t>
      </w:r>
    </w:p>
    <w:p>
      <w:pPr>
        <w:sectPr>
          <w:pgSz w:w="11900" w:h="16838" w:orient="portrait"/>
          <w:cols w:equalWidth="0" w:num="1">
            <w:col w:w="10219"/>
          </w:cols>
          <w:pgMar w:left="240" w:top="481" w:right="1440" w:bottom="1440" w:gutter="0" w:footer="0" w:header="0"/>
        </w:sectPr>
      </w:pPr>
    </w:p>
    <w:bookmarkStart w:id="92" w:name="page93"/>
    <w:bookmarkEnd w:id="92"/>
    <w:p>
      <w:pPr>
        <w:ind w:left="2200"/>
        <w:spacing w:after="0"/>
        <w:rPr>
          <w:sz w:val="20"/>
          <w:szCs w:val="20"/>
          <w:color w:val="auto"/>
        </w:rPr>
      </w:pPr>
      <w:r>
        <w:rPr>
          <w:rFonts w:ascii="Courier New" w:cs="Courier New" w:eastAsia="Courier New" w:hAnsi="Courier New"/>
          <w:sz w:val="16"/>
          <w:szCs w:val="16"/>
          <w:color w:val="auto"/>
        </w:rPr>
        <w:t>NORTHWEST TEXAS HEALTHCARE SYSTEM</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YEARS ENDED SEPTEMBER 30, 1994 AND 1995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AND SIX MONTHS ENDED MARCH 31, 1995 AND 1996 (UNAUDITED)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13--SUBSEQUENT EVENTS (UNAUDITED)</w:t>
      </w:r>
    </w:p>
    <w:p>
      <w:pPr>
        <w:spacing w:after="0" w:line="188" w:lineRule="exact"/>
        <w:rPr>
          <w:sz w:val="20"/>
          <w:szCs w:val="20"/>
          <w:color w:val="auto"/>
        </w:rPr>
      </w:pPr>
    </w:p>
    <w:p>
      <w:pPr>
        <w:ind w:right="3359" w:firstLine="382"/>
        <w:spacing w:after="0" w:line="239" w:lineRule="auto"/>
        <w:rPr>
          <w:sz w:val="20"/>
          <w:szCs w:val="20"/>
          <w:color w:val="auto"/>
        </w:rPr>
      </w:pPr>
      <w:r>
        <w:rPr>
          <w:rFonts w:ascii="Courier New" w:cs="Courier New" w:eastAsia="Courier New" w:hAnsi="Courier New"/>
          <w:sz w:val="16"/>
          <w:szCs w:val="16"/>
          <w:color w:val="auto"/>
        </w:rPr>
        <w:t>During April 1996, St. Anthony's Hospital's interest in Alliance was terminated.</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On May 7, 1996, the sale of the Hospital to UHS was completed.</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F-47</w:t>
      </w:r>
    </w:p>
    <w:p>
      <w:pPr>
        <w:sectPr>
          <w:pgSz w:w="11900" w:h="16838" w:orient="portrait"/>
          <w:cols w:equalWidth="0" w:num="1">
            <w:col w:w="10219"/>
          </w:cols>
          <w:pgMar w:left="240" w:top="481"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1"/>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900" w:type="dxa"/>
            <w:vAlign w:val="bottom"/>
          </w:tcPr>
          <w:p>
            <w:pPr>
              <w:ind w:left="380"/>
              <w:spacing w:after="0"/>
              <w:rPr>
                <w:sz w:val="20"/>
                <w:szCs w:val="20"/>
                <w:color w:val="auto"/>
              </w:rPr>
            </w:pPr>
            <w:r>
              <w:rPr>
                <w:rFonts w:ascii="Courier New" w:cs="Courier New" w:eastAsia="Courier New" w:hAnsi="Courier New"/>
                <w:sz w:val="16"/>
                <w:szCs w:val="16"/>
                <w:color w:val="auto"/>
              </w:rPr>
              <w:t>NO DEALER, SALESPERSON OR ANY OTHER</w:t>
            </w:r>
          </w:p>
        </w:tc>
        <w:tc>
          <w:tcPr>
            <w:tcW w:w="5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PERSON HAS BEEN AUTHORIZED TO GIVE ANY</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INFORMATION OR TO MAKE ANY REPRESENTATIONS</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OTHER THAN THOSE CONTAINED IN THIS</w:t>
            </w:r>
          </w:p>
        </w:tc>
        <w:tc>
          <w:tcPr>
            <w:tcW w:w="540" w:type="dxa"/>
            <w:vAlign w:val="bottom"/>
          </w:tcPr>
          <w:p>
            <w:pPr>
              <w:spacing w:after="0"/>
              <w:rPr>
                <w:sz w:val="15"/>
                <w:szCs w:val="15"/>
                <w:color w:val="auto"/>
              </w:rPr>
            </w:pPr>
          </w:p>
        </w:tc>
        <w:tc>
          <w:tcPr>
            <w:tcW w:w="3380" w:type="dxa"/>
            <w:vAlign w:val="bottom"/>
          </w:tcPr>
          <w:p>
            <w:pPr>
              <w:jc w:val="center"/>
              <w:ind w:right="541"/>
              <w:spacing w:after="0"/>
              <w:rPr>
                <w:sz w:val="20"/>
                <w:szCs w:val="20"/>
                <w:color w:val="auto"/>
              </w:rPr>
            </w:pPr>
            <w:r>
              <w:rPr>
                <w:rFonts w:ascii="Courier New" w:cs="Courier New" w:eastAsia="Courier New" w:hAnsi="Courier New"/>
                <w:sz w:val="16"/>
                <w:szCs w:val="16"/>
                <w:color w:val="auto"/>
                <w:w w:val="98"/>
              </w:rPr>
              <w:t>4,200,000 SHARES</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PROSPECTUS IN CONNECTION WITH THE OFFER</w:t>
            </w:r>
          </w:p>
        </w:tc>
        <w:tc>
          <w:tcPr>
            <w:tcW w:w="540" w:type="dxa"/>
            <w:vAlign w:val="bottom"/>
          </w:tcPr>
          <w:p>
            <w:pPr>
              <w:spacing w:after="0"/>
              <w:rPr>
                <w:sz w:val="15"/>
                <w:szCs w:val="15"/>
                <w:color w:val="auto"/>
              </w:rPr>
            </w:pPr>
          </w:p>
        </w:tc>
        <w:tc>
          <w:tcPr>
            <w:tcW w:w="3380" w:type="dxa"/>
            <w:vAlign w:val="bottom"/>
          </w:tcPr>
          <w:p>
            <w:pPr>
              <w:jc w:val="center"/>
              <w:ind w:right="541"/>
              <w:spacing w:after="0"/>
              <w:rPr>
                <w:sz w:val="20"/>
                <w:szCs w:val="20"/>
                <w:color w:val="auto"/>
              </w:rPr>
            </w:pPr>
            <w:r>
              <w:rPr>
                <w:rFonts w:ascii="Courier New" w:cs="Courier New" w:eastAsia="Courier New" w:hAnsi="Courier New"/>
                <w:sz w:val="16"/>
                <w:szCs w:val="16"/>
                <w:color w:val="auto"/>
                <w:w w:val="99"/>
              </w:rPr>
              <w:t>[UHS LOGO]</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CONTAINED HEREIN, AND, IF GIVEN OR MADE,</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SUCH INFORMATION OR REPRESENTATIONS MUST NOT</w:t>
            </w:r>
          </w:p>
        </w:tc>
        <w:tc>
          <w:tcPr>
            <w:tcW w:w="3380" w:type="dxa"/>
            <w:vAlign w:val="bottom"/>
          </w:tcPr>
          <w:p>
            <w:pPr>
              <w:ind w:left="900"/>
              <w:spacing w:after="0"/>
              <w:rPr>
                <w:sz w:val="20"/>
                <w:szCs w:val="20"/>
                <w:color w:val="auto"/>
              </w:rPr>
            </w:pPr>
            <w:r>
              <w:rPr>
                <w:rFonts w:ascii="Courier New" w:cs="Courier New" w:eastAsia="Courier New" w:hAnsi="Courier New"/>
                <w:sz w:val="16"/>
                <w:szCs w:val="16"/>
                <w:color w:val="auto"/>
              </w:rPr>
              <w:t>UNIVERSAL</w:t>
            </w:r>
          </w:p>
        </w:tc>
      </w:tr>
      <w:tr>
        <w:trPr>
          <w:trHeight w:val="183"/>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BE RELIED UPON AS HAVING BEEN AUTHORIZED BY</w:t>
            </w:r>
          </w:p>
        </w:tc>
        <w:tc>
          <w:tcPr>
            <w:tcW w:w="3380" w:type="dxa"/>
            <w:vAlign w:val="bottom"/>
          </w:tcPr>
          <w:p>
            <w:pPr>
              <w:jc w:val="center"/>
              <w:ind w:right="541"/>
              <w:spacing w:after="0"/>
              <w:rPr>
                <w:sz w:val="20"/>
                <w:szCs w:val="20"/>
                <w:color w:val="auto"/>
              </w:rPr>
            </w:pPr>
            <w:r>
              <w:rPr>
                <w:rFonts w:ascii="Courier New" w:cs="Courier New" w:eastAsia="Courier New" w:hAnsi="Courier New"/>
                <w:sz w:val="16"/>
                <w:szCs w:val="16"/>
                <w:color w:val="auto"/>
                <w:w w:val="98"/>
              </w:rPr>
              <w:t>HEALTH SERVICES,</w:t>
            </w:r>
          </w:p>
        </w:tc>
      </w:tr>
      <w:tr>
        <w:trPr>
          <w:trHeight w:val="183"/>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THE COMPANY OR ANY OF THE UNDERWRITERS. THIS</w:t>
            </w:r>
          </w:p>
        </w:tc>
        <w:tc>
          <w:tcPr>
            <w:tcW w:w="3380" w:type="dxa"/>
            <w:vAlign w:val="bottom"/>
          </w:tcPr>
          <w:p>
            <w:pPr>
              <w:jc w:val="center"/>
              <w:ind w:right="561"/>
              <w:spacing w:after="0"/>
              <w:rPr>
                <w:sz w:val="20"/>
                <w:szCs w:val="20"/>
                <w:color w:val="auto"/>
              </w:rPr>
            </w:pPr>
            <w:r>
              <w:rPr>
                <w:rFonts w:ascii="Courier New" w:cs="Courier New" w:eastAsia="Courier New" w:hAnsi="Courier New"/>
                <w:sz w:val="16"/>
                <w:szCs w:val="16"/>
                <w:color w:val="auto"/>
                <w:w w:val="98"/>
              </w:rPr>
              <w:t>INC.</w:t>
            </w:r>
          </w:p>
        </w:tc>
      </w:tr>
      <w:tr>
        <w:trPr>
          <w:trHeight w:val="183"/>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PROSPECTUS DOES NOT CONSTITUTE AN OFFER OF</w:t>
            </w:r>
          </w:p>
        </w:tc>
        <w:tc>
          <w:tcPr>
            <w:tcW w:w="3380" w:type="dxa"/>
            <w:vAlign w:val="bottom"/>
          </w:tcPr>
          <w:p>
            <w:pPr>
              <w:spacing w:after="0"/>
              <w:rPr>
                <w:sz w:val="15"/>
                <w:szCs w:val="15"/>
                <w:color w:val="auto"/>
              </w:rPr>
            </w:pPr>
          </w:p>
        </w:tc>
      </w:tr>
      <w:tr>
        <w:trPr>
          <w:trHeight w:val="183"/>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ANY SECURITIES OTHER THAN THOSE TO WHICH IT</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RELATES OR AN OFFER TO SELL, OR A SOLICI-</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TATION OF AN OFFER TO BUY, THOSE TO WHICH IT</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RELATES, IN ANY JURISDICTION WHERE, OR TO</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ANY PERSON TO WHOM, IT IS NOT LAWFUL. THE</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DELIVERY OF THIS PROSPECTUS AT ANY TIME DOES</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NOT IMPLY THAT THE INFORMATION HEREIN IS</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CORRECT AS OF ANY TIME SUBSEQUENT TO ITS</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550"/>
        </w:trPr>
        <w:tc>
          <w:tcPr>
            <w:tcW w:w="3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tcPr>
          <w:p>
            <w:pPr>
              <w:ind w:left="1080"/>
              <w:spacing w:after="0"/>
              <w:rPr>
                <w:sz w:val="20"/>
                <w:szCs w:val="20"/>
                <w:color w:val="auto"/>
              </w:rPr>
            </w:pPr>
            <w:r>
              <w:rPr>
                <w:rFonts w:ascii="Courier New" w:cs="Courier New" w:eastAsia="Courier New" w:hAnsi="Courier New"/>
                <w:sz w:val="16"/>
                <w:szCs w:val="16"/>
                <w:color w:val="auto"/>
              </w:rPr>
              <w:t>CLASS B</w:t>
            </w:r>
          </w:p>
        </w:tc>
      </w:tr>
      <w:tr>
        <w:trPr>
          <w:trHeight w:val="183"/>
        </w:trPr>
        <w:tc>
          <w:tcPr>
            <w:tcW w:w="3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tcPr>
          <w:p>
            <w:pPr>
              <w:jc w:val="right"/>
              <w:ind w:right="1261"/>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90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550"/>
        </w:trPr>
        <w:tc>
          <w:tcPr>
            <w:tcW w:w="3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tcPr>
          <w:p>
            <w:pPr>
              <w:jc w:val="right"/>
              <w:ind w:right="1261"/>
              <w:spacing w:after="0"/>
              <w:rPr>
                <w:sz w:val="20"/>
                <w:szCs w:val="20"/>
                <w:color w:val="auto"/>
              </w:rPr>
            </w:pPr>
            <w:r>
              <w:rPr>
                <w:rFonts w:ascii="Courier New" w:cs="Courier New" w:eastAsia="Courier New" w:hAnsi="Courier New"/>
                <w:sz w:val="16"/>
                <w:szCs w:val="16"/>
                <w:color w:val="auto"/>
              </w:rPr>
              <w:t>---------</w:t>
            </w:r>
          </w:p>
        </w:tc>
      </w:tr>
      <w:tr>
        <w:trPr>
          <w:trHeight w:val="367"/>
        </w:trPr>
        <w:tc>
          <w:tcPr>
            <w:tcW w:w="3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tcPr>
          <w:p>
            <w:pPr>
              <w:ind w:left="1080"/>
              <w:spacing w:after="0"/>
              <w:rPr>
                <w:sz w:val="20"/>
                <w:szCs w:val="20"/>
                <w:color w:val="auto"/>
              </w:rPr>
            </w:pPr>
            <w:r>
              <w:rPr>
                <w:rFonts w:ascii="Courier New" w:cs="Courier New" w:eastAsia="Courier New" w:hAnsi="Courier New"/>
                <w:sz w:val="16"/>
                <w:szCs w:val="16"/>
                <w:color w:val="auto"/>
              </w:rPr>
              <w:t>PROSPECTUS</w:t>
            </w:r>
          </w:p>
        </w:tc>
      </w:tr>
      <w:tr>
        <w:trPr>
          <w:trHeight w:val="183"/>
        </w:trPr>
        <w:tc>
          <w:tcPr>
            <w:tcW w:w="3900" w:type="dxa"/>
            <w:vAlign w:val="bottom"/>
          </w:tcPr>
          <w:p>
            <w:pPr>
              <w:ind w:left="960"/>
              <w:spacing w:after="0"/>
              <w:rPr>
                <w:sz w:val="20"/>
                <w:szCs w:val="20"/>
                <w:color w:val="auto"/>
              </w:rPr>
            </w:pPr>
            <w:r>
              <w:rPr>
                <w:rFonts w:ascii="Courier New" w:cs="Courier New" w:eastAsia="Courier New" w:hAnsi="Courier New"/>
                <w:sz w:val="16"/>
                <w:szCs w:val="16"/>
                <w:color w:val="auto"/>
              </w:rPr>
              <w:t>TABLE OF CONTENTS</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tcPr>
          <w:p>
            <w:pPr>
              <w:ind w:left="1000"/>
              <w:spacing w:after="0"/>
              <w:rPr>
                <w:sz w:val="20"/>
                <w:szCs w:val="20"/>
                <w:color w:val="auto"/>
              </w:rPr>
            </w:pPr>
            <w:r>
              <w:rPr>
                <w:rFonts w:ascii="Courier New" w:cs="Courier New" w:eastAsia="Courier New" w:hAnsi="Courier New"/>
                <w:sz w:val="16"/>
                <w:szCs w:val="16"/>
                <w:color w:val="auto"/>
              </w:rPr>
              <w:t>JUNE 20, 1996</w:t>
            </w:r>
          </w:p>
        </w:tc>
      </w:tr>
      <w:tr>
        <w:trPr>
          <w:trHeight w:val="183"/>
        </w:trPr>
        <w:tc>
          <w:tcPr>
            <w:tcW w:w="4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PAGE</w:t>
            </w:r>
          </w:p>
        </w:tc>
        <w:tc>
          <w:tcPr>
            <w:tcW w:w="3380" w:type="dxa"/>
            <w:vAlign w:val="bottom"/>
          </w:tcPr>
          <w:p>
            <w:pPr>
              <w:spacing w:after="0"/>
              <w:rPr>
                <w:sz w:val="15"/>
                <w:szCs w:val="15"/>
                <w:color w:val="auto"/>
              </w:rPr>
            </w:pPr>
          </w:p>
        </w:tc>
      </w:tr>
      <w:tr>
        <w:trPr>
          <w:trHeight w:val="183"/>
        </w:trPr>
        <w:tc>
          <w:tcPr>
            <w:tcW w:w="4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380" w:type="dxa"/>
            <w:vAlign w:val="bottom"/>
          </w:tcPr>
          <w:p>
            <w:pPr>
              <w:jc w:val="right"/>
              <w:ind w:right="1261"/>
              <w:spacing w:after="0"/>
              <w:rPr>
                <w:sz w:val="20"/>
                <w:szCs w:val="20"/>
                <w:color w:val="auto"/>
              </w:rPr>
            </w:pPr>
            <w:r>
              <w:rPr>
                <w:rFonts w:ascii="Courier New" w:cs="Courier New" w:eastAsia="Courier New" w:hAnsi="Courier New"/>
                <w:sz w:val="16"/>
                <w:szCs w:val="16"/>
                <w:color w:val="auto"/>
              </w:rPr>
              <w:t>---------</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Available Information................</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Incorporation of Certain Documents by</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Reference............................</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Prospectus Summary...................</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Risk Factors.........................</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Capitalization.......................</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Pro Forma Financial Information......</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Selected Financial Data..............</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w:t>
            </w:r>
          </w:p>
        </w:tc>
        <w:tc>
          <w:tcPr>
            <w:tcW w:w="3380" w:type="dxa"/>
            <w:vAlign w:val="bottom"/>
          </w:tcPr>
          <w:p>
            <w:pPr>
              <w:ind w:left="1080"/>
              <w:spacing w:after="0"/>
              <w:rPr>
                <w:sz w:val="20"/>
                <w:szCs w:val="20"/>
                <w:color w:val="auto"/>
              </w:rPr>
            </w:pPr>
            <w:r>
              <w:rPr>
                <w:rFonts w:ascii="Courier New" w:cs="Courier New" w:eastAsia="Courier New" w:hAnsi="Courier New"/>
                <w:sz w:val="16"/>
                <w:szCs w:val="16"/>
                <w:color w:val="auto"/>
              </w:rPr>
              <w:t>SMITH BARNEY INC.</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3900" w:type="dxa"/>
            <w:vAlign w:val="bottom"/>
          </w:tcPr>
          <w:p>
            <w:pPr>
              <w:ind w:left="180"/>
              <w:spacing w:after="0"/>
              <w:rPr>
                <w:sz w:val="20"/>
                <w:szCs w:val="20"/>
                <w:color w:val="auto"/>
              </w:rPr>
            </w:pPr>
            <w:r>
              <w:rPr>
                <w:rFonts w:ascii="Courier New" w:cs="Courier New" w:eastAsia="Courier New" w:hAnsi="Courier New"/>
                <w:sz w:val="16"/>
                <w:szCs w:val="16"/>
                <w:color w:val="auto"/>
              </w:rPr>
              <w:t>of Financial Condition and Results</w:t>
            </w:r>
          </w:p>
        </w:tc>
        <w:tc>
          <w:tcPr>
            <w:tcW w:w="540" w:type="dxa"/>
            <w:vAlign w:val="bottom"/>
          </w:tcPr>
          <w:p>
            <w:pPr>
              <w:spacing w:after="0"/>
              <w:rPr>
                <w:sz w:val="15"/>
                <w:szCs w:val="15"/>
                <w:color w:val="auto"/>
              </w:rPr>
            </w:pPr>
          </w:p>
        </w:tc>
        <w:tc>
          <w:tcPr>
            <w:tcW w:w="3380" w:type="dxa"/>
            <w:vAlign w:val="bottom"/>
          </w:tcPr>
          <w:p>
            <w:pPr>
              <w:ind w:left="800"/>
              <w:spacing w:after="0"/>
              <w:rPr>
                <w:sz w:val="20"/>
                <w:szCs w:val="20"/>
                <w:color w:val="auto"/>
              </w:rPr>
            </w:pPr>
            <w:r>
              <w:rPr>
                <w:rFonts w:ascii="Courier New" w:cs="Courier New" w:eastAsia="Courier New" w:hAnsi="Courier New"/>
                <w:sz w:val="16"/>
                <w:szCs w:val="16"/>
                <w:color w:val="auto"/>
              </w:rPr>
              <w:t>BEAR, STEARNS &amp; CO. INC.</w:t>
            </w:r>
          </w:p>
        </w:tc>
      </w:tr>
      <w:tr>
        <w:trPr>
          <w:trHeight w:val="183"/>
        </w:trPr>
        <w:tc>
          <w:tcPr>
            <w:tcW w:w="3900" w:type="dxa"/>
            <w:vAlign w:val="bottom"/>
          </w:tcPr>
          <w:p>
            <w:pPr>
              <w:ind w:left="180"/>
              <w:spacing w:after="0"/>
              <w:rPr>
                <w:sz w:val="20"/>
                <w:szCs w:val="20"/>
                <w:color w:val="auto"/>
              </w:rPr>
            </w:pPr>
            <w:r>
              <w:rPr>
                <w:rFonts w:ascii="Courier New" w:cs="Courier New" w:eastAsia="Courier New" w:hAnsi="Courier New"/>
                <w:sz w:val="16"/>
                <w:szCs w:val="16"/>
                <w:color w:val="auto"/>
              </w:rPr>
              <w:t>of Operations......................</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Business.............................</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w:t>
            </w:r>
          </w:p>
        </w:tc>
        <w:tc>
          <w:tcPr>
            <w:tcW w:w="3380" w:type="dxa"/>
            <w:vAlign w:val="bottom"/>
          </w:tcPr>
          <w:p>
            <w:pPr>
              <w:ind w:left="800"/>
              <w:spacing w:after="0"/>
              <w:rPr>
                <w:sz w:val="20"/>
                <w:szCs w:val="20"/>
                <w:color w:val="auto"/>
              </w:rPr>
            </w:pPr>
            <w:r>
              <w:rPr>
                <w:rFonts w:ascii="Courier New" w:cs="Courier New" w:eastAsia="Courier New" w:hAnsi="Courier New"/>
                <w:sz w:val="16"/>
                <w:szCs w:val="16"/>
                <w:color w:val="auto"/>
              </w:rPr>
              <w:t>DILLON, READ &amp; CO. INC.</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Selling Stockholder..................</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Description of Common Stock..........</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w:t>
            </w:r>
          </w:p>
        </w:tc>
        <w:tc>
          <w:tcPr>
            <w:tcW w:w="3380" w:type="dxa"/>
            <w:vAlign w:val="bottom"/>
          </w:tcPr>
          <w:p>
            <w:pPr>
              <w:ind w:left="520"/>
              <w:spacing w:after="0"/>
              <w:rPr>
                <w:sz w:val="20"/>
                <w:szCs w:val="20"/>
                <w:color w:val="auto"/>
              </w:rPr>
            </w:pPr>
            <w:r>
              <w:rPr>
                <w:rFonts w:ascii="Courier New" w:cs="Courier New" w:eastAsia="Courier New" w:hAnsi="Courier New"/>
                <w:sz w:val="16"/>
                <w:szCs w:val="16"/>
                <w:color w:val="auto"/>
              </w:rPr>
              <w:t>DONALDSON, LUFKIN &amp; JENRETTE</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Underwriting.........................</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w:t>
            </w:r>
          </w:p>
        </w:tc>
        <w:tc>
          <w:tcPr>
            <w:tcW w:w="3380" w:type="dxa"/>
            <w:vAlign w:val="bottom"/>
          </w:tcPr>
          <w:p>
            <w:pPr>
              <w:ind w:left="1080"/>
              <w:spacing w:after="0"/>
              <w:rPr>
                <w:sz w:val="20"/>
                <w:szCs w:val="20"/>
                <w:color w:val="auto"/>
              </w:rPr>
            </w:pPr>
            <w:r>
              <w:rPr>
                <w:rFonts w:ascii="Courier New" w:cs="Courier New" w:eastAsia="Courier New" w:hAnsi="Courier New"/>
                <w:sz w:val="16"/>
                <w:szCs w:val="16"/>
                <w:color w:val="auto"/>
              </w:rPr>
              <w:t>SECURITIES CORPORATION</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Legal Matters........................</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w:t>
            </w: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Experts..............................</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w:t>
            </w:r>
          </w:p>
        </w:tc>
        <w:tc>
          <w:tcPr>
            <w:tcW w:w="3380" w:type="dxa"/>
            <w:vAlign w:val="bottom"/>
          </w:tcPr>
          <w:p>
            <w:pPr>
              <w:ind w:left="1080"/>
              <w:spacing w:after="0"/>
              <w:rPr>
                <w:sz w:val="20"/>
                <w:szCs w:val="20"/>
                <w:color w:val="auto"/>
              </w:rPr>
            </w:pPr>
            <w:r>
              <w:rPr>
                <w:rFonts w:ascii="Courier New" w:cs="Courier New" w:eastAsia="Courier New" w:hAnsi="Courier New"/>
                <w:sz w:val="16"/>
                <w:szCs w:val="16"/>
                <w:color w:val="auto"/>
              </w:rPr>
              <w:t>J.P. MORGAN &amp; CO.</w:t>
            </w: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Index to Consolidated Financial</w:t>
            </w:r>
          </w:p>
        </w:tc>
        <w:tc>
          <w:tcPr>
            <w:tcW w:w="5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83"/>
        </w:trPr>
        <w:tc>
          <w:tcPr>
            <w:tcW w:w="3900" w:type="dxa"/>
            <w:vAlign w:val="bottom"/>
          </w:tcPr>
          <w:p>
            <w:pPr>
              <w:spacing w:after="0"/>
              <w:rPr>
                <w:sz w:val="20"/>
                <w:szCs w:val="20"/>
                <w:color w:val="auto"/>
              </w:rPr>
            </w:pPr>
            <w:r>
              <w:rPr>
                <w:rFonts w:ascii="Courier New" w:cs="Courier New" w:eastAsia="Courier New" w:hAnsi="Courier New"/>
                <w:sz w:val="16"/>
                <w:szCs w:val="16"/>
                <w:color w:val="auto"/>
              </w:rPr>
              <w:t>Statements...........................</w:t>
            </w:r>
          </w:p>
        </w:tc>
        <w:tc>
          <w:tcPr>
            <w:tcW w:w="54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F-1</w:t>
            </w:r>
          </w:p>
        </w:tc>
        <w:tc>
          <w:tcPr>
            <w:tcW w:w="3380" w:type="dxa"/>
            <w:vAlign w:val="bottom"/>
          </w:tcPr>
          <w:p>
            <w:pPr>
              <w:spacing w:after="0"/>
              <w:rPr>
                <w:sz w:val="15"/>
                <w:szCs w:val="15"/>
                <w:color w:val="auto"/>
              </w:rPr>
            </w:pPr>
          </w:p>
        </w:tc>
      </w:tr>
    </w:tbl>
    <w:p>
      <w:pPr>
        <w:spacing w:after="0" w:line="186"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sectPr>
      <w:pgSz w:w="11900" w:h="16838" w:orient="portrait"/>
      <w:cols w:equalWidth="0" w:num="1">
        <w:col w:w="10219"/>
      </w:cols>
      <w:pgMar w:left="240" w:top="6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lvl w:ilvl="1">
      <w:lvlJc w:val="left"/>
      <w:lvlText w:val="(%2)"/>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5"/>
    </w:lvl>
  </w:abstractNum>
  <w:abstractNum w:abstractNumId="10">
    <w:nsid w:val="4E6AFB66"/>
    <w:multiLevelType w:val="hybridMultilevel"/>
    <w:lvl w:ilvl="0">
      <w:lvlJc w:val="left"/>
      <w:lvlText w:val="(%1)"/>
      <w:numFmt w:val="upperLetter"/>
      <w:start w:val="9"/>
    </w:lvl>
  </w:abstractNum>
  <w:abstractNum w:abstractNumId="11">
    <w:nsid w:val="25E45D32"/>
    <w:multiLevelType w:val="hybridMultilevel"/>
    <w:lvl w:ilvl="0">
      <w:lvlJc w:val="left"/>
      <w:lvlText w:val="(%1)"/>
      <w:numFmt w:val="upperLetter"/>
      <w:start w:val="10"/>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2019-12-12T08:13:51Z</dcterms:created>
  <dcterms:modified xsi:type="dcterms:W3CDTF">2019-12-12T08:13:51Z</dcterms:modified>
</cp:coreProperties>
</file>