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SECURITIES AND EXCHANGE COMMISSION</w:t>
      </w:r>
    </w:p>
    <w:p>
      <w:pPr>
        <w:sectPr>
          <w:pgSz w:w="11900" w:h="16838" w:orient="portrait"/>
          <w:cols w:equalWidth="0" w:num="1">
            <w:col w:w="10219"/>
          </w:cols>
          <w:pgMar w:left="240" w:top="244" w:right="1440" w:bottom="1440" w:gutter="0" w:footer="0" w:header="0"/>
        </w:sectPr>
      </w:pPr>
    </w:p>
    <w:p>
      <w:pPr>
        <w:spacing w:after="0" w:line="224"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Washington, D.C.</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ectPr>
          <w:pgSz w:w="11900" w:h="16838" w:orient="portrait"/>
          <w:cols w:equalWidth="0" w:num="2">
            <w:col w:w="4540" w:space="200"/>
            <w:col w:w="5479"/>
          </w:cols>
          <w:pgMar w:left="240" w:top="244" w:right="1440" w:bottom="1440" w:gutter="0" w:footer="0" w:header="0"/>
          <w:type w:val="continuous"/>
        </w:sectPr>
      </w:pPr>
    </w:p>
    <w:p>
      <w:pPr>
        <w:spacing w:after="0" w:line="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218"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1)</w:t>
      </w:r>
    </w:p>
    <w:p>
      <w:pPr>
        <w:sectPr>
          <w:pgSz w:w="11900" w:h="16838" w:orient="portrait"/>
          <w:cols w:equalWidth="0" w:num="1">
            <w:col w:w="10219"/>
          </w:cols>
          <w:pgMar w:left="240" w:top="244"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UNIVERSAL HEALTH SERVICES</w:t>
      </w:r>
    </w:p>
    <w:p>
      <w:pPr>
        <w:spacing w:after="0" w:line="200" w:lineRule="exact"/>
        <w:rPr>
          <w:sz w:val="24"/>
          <w:szCs w:val="24"/>
          <w:color w:val="auto"/>
        </w:rPr>
      </w:pPr>
    </w:p>
    <w:p>
      <w:pPr>
        <w:sectPr>
          <w:pgSz w:w="11900" w:h="16838" w:orient="portrait"/>
          <w:cols w:equalWidth="0" w:num="2">
            <w:col w:w="4240" w:space="720"/>
            <w:col w:w="52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4"/>
          <w:szCs w:val="24"/>
          <w:color w:val="auto"/>
        </w:rPr>
      </w:pPr>
    </w:p>
    <w:p>
      <w:pPr>
        <w:sectPr>
          <w:pgSz w:w="11900" w:h="16838" w:orient="portrait"/>
          <w:cols w:equalWidth="0" w:num="2">
            <w:col w:w="4240" w:space="720"/>
            <w:col w:w="52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913903-100</w:t>
      </w:r>
    </w:p>
    <w:p>
      <w:pPr>
        <w:spacing w:after="0" w:line="200" w:lineRule="exact"/>
        <w:rPr>
          <w:sz w:val="24"/>
          <w:szCs w:val="24"/>
          <w:color w:val="auto"/>
        </w:rPr>
      </w:pPr>
    </w:p>
    <w:p>
      <w:pPr>
        <w:sectPr>
          <w:pgSz w:w="11900" w:h="16838" w:orient="portrait"/>
          <w:cols w:equalWidth="0" w:num="2">
            <w:col w:w="4240" w:space="720"/>
            <w:col w:w="52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4199"/>
        <w:spacing w:after="0"/>
        <w:rPr>
          <w:sz w:val="20"/>
          <w:szCs w:val="20"/>
          <w:color w:val="auto"/>
        </w:rPr>
      </w:pPr>
      <w:r>
        <w:rPr>
          <w:rFonts w:ascii="Courier New" w:cs="Courier New" w:eastAsia="Courier New" w:hAnsi="Courier New"/>
          <w:sz w:val="16"/>
          <w:szCs w:val="16"/>
          <w:color w:val="auto"/>
        </w:rPr>
        <w:t>913903-100</w:t>
      </w:r>
    </w:p>
    <w:p>
      <w:pPr>
        <w:spacing w:after="0" w:line="200" w:lineRule="exact"/>
        <w:rPr>
          <w:sz w:val="24"/>
          <w:szCs w:val="24"/>
          <w:color w:val="auto"/>
        </w:rPr>
      </w:pPr>
    </w:p>
    <w:p>
      <w:pPr>
        <w:sectPr>
          <w:pgSz w:w="11900" w:h="16838" w:orient="portrait"/>
          <w:cols w:equalWidth="0" w:num="2">
            <w:col w:w="4240" w:space="720"/>
            <w:col w:w="5259"/>
          </w:cols>
          <w:pgMar w:left="240" w:top="244" w:right="1440" w:bottom="1440" w:gutter="0" w:footer="0" w:header="0"/>
          <w:type w:val="continuous"/>
        </w:sectPr>
      </w:pPr>
    </w:p>
    <w:p>
      <w:pPr>
        <w:spacing w:after="0" w:line="18"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SS or IRS Identification Nos. Of Above Person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MELLON BANK CORPORATION IRS No. 25-1233834</w:t>
      </w:r>
    </w:p>
    <w:p>
      <w:pPr>
        <w:spacing w:after="0" w:line="164" w:lineRule="exact"/>
        <w:rPr>
          <w:sz w:val="24"/>
          <w:szCs w:val="24"/>
          <w:color w:val="auto"/>
        </w:rPr>
      </w:pPr>
    </w:p>
    <w:p>
      <w:pPr>
        <w:sectPr>
          <w:pgSz w:w="11900" w:h="16838" w:orient="portrait"/>
          <w:cols w:equalWidth="0" w:num="2">
            <w:col w:w="5600" w:space="300"/>
            <w:col w:w="4319"/>
          </w:cols>
          <w:pgMar w:left="240" w:top="244" w:right="1440" w:bottom="1440" w:gutter="0" w:footer="0" w:header="0"/>
          <w:type w:val="continuous"/>
        </w:sect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jc w:val="right"/>
        <w:ind w:right="1879"/>
        <w:spacing w:after="0" w:line="238" w:lineRule="auto"/>
        <w:tabs>
          <w:tab w:leader="none" w:pos="1880" w:val="left"/>
          <w:tab w:leader="none" w:pos="1460" w:val="left"/>
          <w:tab w:leader="none" w:pos="1040" w:val="left"/>
          <w:tab w:leader="none" w:pos="520" w:val="left"/>
          <w:tab w:leader="none" w:pos="100" w:val="left"/>
        </w:tabs>
        <w:rPr>
          <w:sz w:val="20"/>
          <w:szCs w:val="20"/>
          <w:color w:val="auto"/>
        </w:rPr>
      </w:pPr>
      <w:r>
        <w:rPr>
          <w:rFonts w:ascii="Courier New" w:cs="Courier New" w:eastAsia="Courier New" w:hAnsi="Courier New"/>
          <w:sz w:val="18"/>
          <w:szCs w:val="18"/>
          <w:color w:val="auto"/>
        </w:rPr>
        <w:t>(a)</w:t>
        <w:tab/>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tab/>
        <w:t>(</w:t>
      </w:r>
      <w:r>
        <w:rPr>
          <w:sz w:val="20"/>
          <w:szCs w:val="20"/>
          <w:color w:val="auto"/>
        </w:rPr>
        <w:tab/>
      </w:r>
      <w:r>
        <w:rPr>
          <w:rFonts w:ascii="Courier New" w:cs="Courier New" w:eastAsia="Courier New" w:hAnsi="Courier New"/>
          <w:sz w:val="18"/>
          <w:szCs w:val="18"/>
          <w:color w:val="auto"/>
        </w:rPr>
        <w:t>)</w:t>
      </w:r>
    </w:p>
    <w:p>
      <w:pPr>
        <w:spacing w:after="0" w:line="202"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26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United States</w:t>
            </w:r>
          </w:p>
        </w:tc>
      </w:tr>
      <w:tr>
        <w:trPr>
          <w:trHeight w:val="405"/>
        </w:trPr>
        <w:tc>
          <w:tcPr>
            <w:tcW w:w="222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1,989,000</w:t>
            </w: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2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1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5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w:t>
            </w:r>
          </w:p>
        </w:tc>
        <w:tc>
          <w:tcPr>
            <w:tcW w:w="2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Sole Dispositive Power</w:t>
            </w: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1,288,000</w:t>
            </w:r>
          </w:p>
        </w:tc>
      </w:tr>
      <w:tr>
        <w:trPr>
          <w:trHeight w:val="405"/>
        </w:trPr>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9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Shared Dispositive Power</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711,000</w:t>
            </w:r>
          </w:p>
        </w:tc>
      </w:tr>
    </w:tbl>
    <w:p>
      <w:pPr>
        <w:spacing w:after="0" w:line="207" w:lineRule="exact"/>
        <w:rPr>
          <w:sz w:val="24"/>
          <w:szCs w:val="24"/>
          <w:color w:val="auto"/>
        </w:rPr>
      </w:pPr>
    </w:p>
    <w:p>
      <w:pPr>
        <w:ind w:left="6320" w:right="2939" w:hanging="6312"/>
        <w:spacing w:after="0" w:line="290" w:lineRule="auto"/>
        <w:tabs>
          <w:tab w:leader="none" w:pos="84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2,000,000</w:t>
      </w:r>
    </w:p>
    <w:p>
      <w:pPr>
        <w:spacing w:after="0" w:line="366"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w:t>
      </w:r>
    </w:p>
    <w:tbl>
      <w:tblPr>
        <w:tblLayout w:type="fixed"/>
        <w:tblInd w:w="0" w:type="dxa"/>
        <w:tblCellMar>
          <w:top w:w="0" w:type="dxa"/>
          <w:left w:w="0" w:type="dxa"/>
          <w:bottom w:w="0" w:type="dxa"/>
          <w:right w:w="0" w:type="dxa"/>
        </w:tblCellMar>
      </w:tblPr>
      <w:tr>
        <w:trPr>
          <w:trHeight w:val="203"/>
        </w:trPr>
        <w:tc>
          <w:tcPr>
            <w:tcW w:w="640" w:type="dxa"/>
            <w:vAlign w:val="bottom"/>
          </w:tcPr>
          <w:p>
            <w:pPr>
              <w:spacing w:after="0"/>
              <w:rPr>
                <w:sz w:val="17"/>
                <w:szCs w:val="17"/>
                <w:color w:val="auto"/>
              </w:rPr>
            </w:pPr>
          </w:p>
        </w:tc>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(11)</w:t>
            </w:r>
          </w:p>
        </w:tc>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6.71</w:t>
            </w:r>
          </w:p>
        </w:tc>
      </w:tr>
      <w:tr>
        <w:trPr>
          <w:trHeight w:val="405"/>
        </w:trPr>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(12)</w:t>
            </w:r>
          </w:p>
        </w:tc>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ectPr>
          <w:pgSz w:w="11900" w:h="16838" w:orient="portrait"/>
          <w:cols w:equalWidth="0" w:num="1">
            <w:col w:w="10219"/>
          </w:cols>
          <w:pgMar w:left="240" w:top="244" w:right="1440"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c>
          <w:tcPr>
            <w:tcW w:w="6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20" w:type="dxa"/>
            <w:vAlign w:val="bottom"/>
            <w:gridSpan w:val="4"/>
          </w:tcPr>
          <w:p>
            <w:pPr>
              <w:ind w:left="1200"/>
              <w:spacing w:after="0" w:line="203" w:lineRule="exact"/>
              <w:rPr>
                <w:sz w:val="20"/>
                <w:szCs w:val="20"/>
                <w:color w:val="auto"/>
              </w:rPr>
            </w:pPr>
            <w:r>
              <w:rPr>
                <w:rFonts w:ascii="Courier New" w:cs="Courier New" w:eastAsia="Courier New" w:hAnsi="Courier New"/>
                <w:sz w:val="18"/>
                <w:szCs w:val="18"/>
                <w:color w:val="auto"/>
              </w:rPr>
              <w:t>SECURITIES AND EXCHANGE COMMISSION</w:t>
            </w:r>
          </w:p>
        </w:tc>
      </w:tr>
      <w:tr>
        <w:trPr>
          <w:trHeight w:val="203"/>
        </w:trPr>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20" w:type="dxa"/>
            <w:vAlign w:val="bottom"/>
            <w:gridSpan w:val="2"/>
          </w:tcPr>
          <w:p>
            <w:pPr>
              <w:ind w:left="1740"/>
              <w:spacing w:after="0" w:line="203" w:lineRule="exact"/>
              <w:rPr>
                <w:sz w:val="20"/>
                <w:szCs w:val="20"/>
                <w:color w:val="auto"/>
              </w:rPr>
            </w:pPr>
            <w:r>
              <w:rPr>
                <w:rFonts w:ascii="Courier New" w:cs="Courier New" w:eastAsia="Courier New" w:hAnsi="Courier New"/>
                <w:sz w:val="18"/>
                <w:szCs w:val="18"/>
                <w:color w:val="auto"/>
              </w:rPr>
              <w:t>Washington, D.C.</w:t>
            </w: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20549</w:t>
            </w:r>
          </w:p>
        </w:tc>
        <w:tc>
          <w:tcPr>
            <w:tcW w:w="2900" w:type="dxa"/>
            <w:vAlign w:val="bottom"/>
          </w:tcPr>
          <w:p>
            <w:pPr>
              <w:spacing w:after="0"/>
              <w:rPr>
                <w:sz w:val="17"/>
                <w:szCs w:val="17"/>
                <w:color w:val="auto"/>
              </w:rPr>
            </w:pPr>
          </w:p>
        </w:tc>
      </w:tr>
      <w:tr>
        <w:trPr>
          <w:trHeight w:val="405"/>
        </w:trPr>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20" w:type="dxa"/>
            <w:vAlign w:val="bottom"/>
            <w:gridSpan w:val="2"/>
          </w:tcPr>
          <w:p>
            <w:pPr>
              <w:ind w:left="2360"/>
              <w:spacing w:after="0"/>
              <w:rPr>
                <w:sz w:val="20"/>
                <w:szCs w:val="20"/>
                <w:color w:val="auto"/>
              </w:rPr>
            </w:pPr>
            <w:r>
              <w:rPr>
                <w:rFonts w:ascii="Courier New" w:cs="Courier New" w:eastAsia="Courier New" w:hAnsi="Courier New"/>
                <w:sz w:val="18"/>
                <w:szCs w:val="18"/>
                <w:color w:val="auto"/>
                <w:w w:val="95"/>
              </w:rPr>
              <w:t>SCHEDULE 13G</w:t>
            </w:r>
          </w:p>
        </w:tc>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20" w:type="dxa"/>
            <w:vAlign w:val="bottom"/>
            <w:gridSpan w:val="4"/>
          </w:tcPr>
          <w:p>
            <w:pPr>
              <w:ind w:left="460"/>
              <w:spacing w:after="0" w:line="203" w:lineRule="exact"/>
              <w:rPr>
                <w:sz w:val="20"/>
                <w:szCs w:val="20"/>
                <w:color w:val="auto"/>
              </w:rPr>
            </w:pPr>
            <w:r>
              <w:rPr>
                <w:rFonts w:ascii="Courier New" w:cs="Courier New" w:eastAsia="Courier New" w:hAnsi="Courier New"/>
                <w:sz w:val="18"/>
                <w:szCs w:val="18"/>
                <w:color w:val="auto"/>
              </w:rPr>
              <w:t>(Under the Securities and Exchange Act of 1934)</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1(a)</w:t>
            </w:r>
          </w:p>
        </w:tc>
        <w:tc>
          <w:tcPr>
            <w:tcW w:w="2620" w:type="dxa"/>
            <w:vAlign w:val="bottom"/>
          </w:tcPr>
          <w:p>
            <w:pPr>
              <w:ind w:left="160"/>
              <w:spacing w:after="0"/>
              <w:rPr>
                <w:sz w:val="20"/>
                <w:szCs w:val="20"/>
                <w:color w:val="auto"/>
              </w:rPr>
            </w:pPr>
            <w:r>
              <w:rPr>
                <w:rFonts w:ascii="Courier New" w:cs="Courier New" w:eastAsia="Courier New" w:hAnsi="Courier New"/>
                <w:sz w:val="18"/>
                <w:szCs w:val="18"/>
                <w:color w:val="auto"/>
              </w:rPr>
              <w:t>Name of Issuer:</w:t>
            </w:r>
          </w:p>
        </w:tc>
        <w:tc>
          <w:tcPr>
            <w:tcW w:w="4600" w:type="dxa"/>
            <w:vAlign w:val="bottom"/>
            <w:gridSpan w:val="3"/>
          </w:tcPr>
          <w:p>
            <w:pPr>
              <w:ind w:left="700"/>
              <w:spacing w:after="0"/>
              <w:rPr>
                <w:sz w:val="20"/>
                <w:szCs w:val="20"/>
                <w:color w:val="auto"/>
              </w:rPr>
            </w:pPr>
            <w:r>
              <w:rPr>
                <w:rFonts w:ascii="Courier New" w:cs="Courier New" w:eastAsia="Courier New" w:hAnsi="Courier New"/>
                <w:sz w:val="18"/>
                <w:szCs w:val="18"/>
                <w:color w:val="auto"/>
              </w:rPr>
              <w:t>UNIVERSAL HEALTH SERVICES</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1(b)</w:t>
            </w:r>
          </w:p>
        </w:tc>
        <w:tc>
          <w:tcPr>
            <w:tcW w:w="432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8"/>
              </w:rPr>
              <w:t>Address of Issuer's Principal Executive</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Offices:</w:t>
            </w:r>
          </w:p>
        </w:tc>
      </w:tr>
      <w:tr>
        <w:trPr>
          <w:trHeight w:val="203"/>
        </w:trPr>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3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367 S. Gulph Road, King of Prussia, PA</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19406</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2(a)</w:t>
            </w:r>
          </w:p>
        </w:tc>
        <w:tc>
          <w:tcPr>
            <w:tcW w:w="2620" w:type="dxa"/>
            <w:vAlign w:val="bottom"/>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46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Mellon Bank Corporation and any other</w:t>
            </w:r>
          </w:p>
        </w:tc>
      </w:tr>
      <w:tr>
        <w:trPr>
          <w:trHeight w:val="203"/>
        </w:trPr>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6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reporting person(s) identified on the</w:t>
            </w:r>
          </w:p>
        </w:tc>
      </w:tr>
      <w:tr>
        <w:trPr>
          <w:trHeight w:val="203"/>
        </w:trPr>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6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second part of the cover page(s).</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2(b)</w:t>
            </w:r>
          </w:p>
        </w:tc>
        <w:tc>
          <w:tcPr>
            <w:tcW w:w="722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203"/>
        </w:trPr>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 Mellon Bank Corporation</w:t>
            </w:r>
          </w:p>
        </w:tc>
      </w:tr>
      <w:tr>
        <w:trPr>
          <w:trHeight w:val="203"/>
        </w:trPr>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One Mellon Bank Center</w:t>
            </w:r>
          </w:p>
        </w:tc>
      </w:tr>
      <w:tr>
        <w:trPr>
          <w:trHeight w:val="203"/>
        </w:trPr>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Pittsburgh, Pennsylvania 15258</w:t>
            </w:r>
          </w:p>
        </w:tc>
      </w:tr>
      <w:tr>
        <w:trPr>
          <w:trHeight w:val="203"/>
        </w:trPr>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(for all reporting persons)</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2(c)</w:t>
            </w:r>
          </w:p>
        </w:tc>
        <w:tc>
          <w:tcPr>
            <w:tcW w:w="2620" w:type="dxa"/>
            <w:vAlign w:val="bottom"/>
          </w:tcPr>
          <w:p>
            <w:pPr>
              <w:ind w:left="160"/>
              <w:spacing w:after="0"/>
              <w:rPr>
                <w:sz w:val="20"/>
                <w:szCs w:val="20"/>
                <w:color w:val="auto"/>
              </w:rPr>
            </w:pPr>
            <w:r>
              <w:rPr>
                <w:rFonts w:ascii="Courier New" w:cs="Courier New" w:eastAsia="Courier New" w:hAnsi="Courier New"/>
                <w:sz w:val="18"/>
                <w:szCs w:val="18"/>
                <w:color w:val="auto"/>
              </w:rPr>
              <w:t>Citizenship:</w:t>
            </w:r>
          </w:p>
        </w:tc>
        <w:tc>
          <w:tcPr>
            <w:tcW w:w="1000" w:type="dxa"/>
            <w:vAlign w:val="bottom"/>
          </w:tcPr>
          <w:p>
            <w:pPr>
              <w:spacing w:after="0"/>
              <w:rPr>
                <w:sz w:val="24"/>
                <w:szCs w:val="24"/>
                <w:color w:val="auto"/>
              </w:rPr>
            </w:pPr>
          </w:p>
        </w:tc>
        <w:tc>
          <w:tcPr>
            <w:tcW w:w="360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United States</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2(d)</w:t>
            </w:r>
          </w:p>
        </w:tc>
        <w:tc>
          <w:tcPr>
            <w:tcW w:w="36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360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2(e)</w:t>
            </w:r>
          </w:p>
        </w:tc>
        <w:tc>
          <w:tcPr>
            <w:tcW w:w="2620" w:type="dxa"/>
            <w:vAlign w:val="bottom"/>
          </w:tcPr>
          <w:p>
            <w:pPr>
              <w:ind w:left="160"/>
              <w:spacing w:after="0"/>
              <w:rPr>
                <w:sz w:val="20"/>
                <w:szCs w:val="20"/>
                <w:color w:val="auto"/>
              </w:rPr>
            </w:pPr>
            <w:r>
              <w:rPr>
                <w:rFonts w:ascii="Courier New" w:cs="Courier New" w:eastAsia="Courier New" w:hAnsi="Courier New"/>
                <w:sz w:val="18"/>
                <w:szCs w:val="18"/>
                <w:color w:val="auto"/>
              </w:rPr>
              <w:t>CUSIP Number:</w:t>
            </w:r>
          </w:p>
        </w:tc>
        <w:tc>
          <w:tcPr>
            <w:tcW w:w="1000" w:type="dxa"/>
            <w:vAlign w:val="bottom"/>
          </w:tcPr>
          <w:p>
            <w:pPr>
              <w:spacing w:after="0"/>
              <w:rPr>
                <w:sz w:val="24"/>
                <w:szCs w:val="24"/>
                <w:color w:val="auto"/>
              </w:rPr>
            </w:pPr>
          </w:p>
        </w:tc>
        <w:tc>
          <w:tcPr>
            <w:tcW w:w="360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913903-100</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c>
          <w:tcPr>
            <w:tcW w:w="722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See Item 12 of cover page(s) ("Type of Reporting</w:t>
            </w:r>
          </w:p>
        </w:tc>
      </w:tr>
      <w:tr>
        <w:trPr>
          <w:trHeight w:val="203"/>
        </w:trPr>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3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Person") for each reporting person.</w:t>
            </w:r>
          </w:p>
        </w:tc>
        <w:tc>
          <w:tcPr>
            <w:tcW w:w="2900" w:type="dxa"/>
            <w:vAlign w:val="bottom"/>
          </w:tcPr>
          <w:p>
            <w:pPr>
              <w:spacing w:after="0"/>
              <w:rPr>
                <w:sz w:val="17"/>
                <w:szCs w:val="17"/>
                <w:color w:val="auto"/>
              </w:rPr>
            </w:pPr>
          </w:p>
        </w:tc>
      </w:tr>
    </w:tbl>
    <w:p>
      <w:pPr>
        <w:spacing w:after="0" w:line="201" w:lineRule="exact"/>
        <w:rPr>
          <w:sz w:val="20"/>
          <w:szCs w:val="20"/>
          <w:color w:val="auto"/>
        </w:rPr>
      </w:pPr>
    </w:p>
    <w:p>
      <w:pPr>
        <w:ind w:left="1700"/>
        <w:spacing w:after="0"/>
        <w:tabs>
          <w:tab w:leader="none" w:pos="2300" w:val="left"/>
        </w:tabs>
        <w:rPr>
          <w:sz w:val="20"/>
          <w:szCs w:val="20"/>
          <w:color w:val="auto"/>
        </w:rPr>
      </w:pPr>
      <w:r>
        <w:rPr>
          <w:rFonts w:ascii="Courier New" w:cs="Courier New" w:eastAsia="Courier New" w:hAnsi="Courier New"/>
          <w:sz w:val="18"/>
          <w:szCs w:val="18"/>
          <w:color w:val="auto"/>
        </w:rPr>
        <w:t>BK =</w:t>
      </w:r>
      <w:r>
        <w:rPr>
          <w:sz w:val="20"/>
          <w:szCs w:val="20"/>
          <w:color w:val="auto"/>
        </w:rPr>
        <w:tab/>
      </w:r>
      <w:r>
        <w:rPr>
          <w:rFonts w:ascii="Courier New" w:cs="Courier New" w:eastAsia="Courier New" w:hAnsi="Courier New"/>
          <w:sz w:val="16"/>
          <w:szCs w:val="16"/>
          <w:color w:val="auto"/>
        </w:rPr>
        <w:t>Bank as defined in Section 3(a)(6) of the Act</w:t>
      </w:r>
    </w:p>
    <w:p>
      <w:pPr>
        <w:spacing w:after="0" w:line="201" w:lineRule="exact"/>
        <w:rPr>
          <w:sz w:val="20"/>
          <w:szCs w:val="20"/>
          <w:color w:val="auto"/>
        </w:rPr>
      </w:pPr>
    </w:p>
    <w:p>
      <w:pPr>
        <w:ind w:left="1700"/>
        <w:spacing w:after="0"/>
        <w:tabs>
          <w:tab w:leader="none" w:pos="2300" w:val="left"/>
        </w:tabs>
        <w:rPr>
          <w:sz w:val="20"/>
          <w:szCs w:val="20"/>
          <w:color w:val="auto"/>
        </w:rPr>
      </w:pPr>
      <w:r>
        <w:rPr>
          <w:rFonts w:ascii="Courier New" w:cs="Courier New" w:eastAsia="Courier New" w:hAnsi="Courier New"/>
          <w:sz w:val="18"/>
          <w:szCs w:val="18"/>
          <w:color w:val="auto"/>
        </w:rPr>
        <w:t>IV =</w:t>
      </w:r>
      <w:r>
        <w:rPr>
          <w:sz w:val="20"/>
          <w:szCs w:val="20"/>
          <w:color w:val="auto"/>
        </w:rPr>
        <w:tab/>
      </w:r>
      <w:r>
        <w:rPr>
          <w:rFonts w:ascii="Courier New" w:cs="Courier New" w:eastAsia="Courier New" w:hAnsi="Courier New"/>
          <w:sz w:val="16"/>
          <w:szCs w:val="16"/>
          <w:color w:val="auto"/>
        </w:rPr>
        <w:t>Investment Company registered under Section 8 of the</w:t>
      </w:r>
    </w:p>
    <w:p>
      <w:pPr>
        <w:ind w:left="2320"/>
        <w:spacing w:after="0" w:line="238" w:lineRule="auto"/>
        <w:rPr>
          <w:sz w:val="20"/>
          <w:szCs w:val="20"/>
          <w:color w:val="auto"/>
        </w:rPr>
      </w:pPr>
      <w:r>
        <w:rPr>
          <w:rFonts w:ascii="Courier New" w:cs="Courier New" w:eastAsia="Courier New" w:hAnsi="Courier New"/>
          <w:sz w:val="18"/>
          <w:szCs w:val="18"/>
          <w:color w:val="auto"/>
        </w:rPr>
        <w:t>Investment Company Act</w:t>
      </w:r>
    </w:p>
    <w:p>
      <w:pPr>
        <w:spacing w:after="0" w:line="207" w:lineRule="exact"/>
        <w:rPr>
          <w:sz w:val="20"/>
          <w:szCs w:val="20"/>
          <w:color w:val="auto"/>
        </w:rPr>
      </w:pPr>
    </w:p>
    <w:p>
      <w:pPr>
        <w:ind w:left="2320" w:right="2199" w:hanging="631"/>
        <w:spacing w:after="0" w:line="235" w:lineRule="auto"/>
        <w:tabs>
          <w:tab w:leader="none" w:pos="2300" w:val="left"/>
        </w:tabs>
        <w:rPr>
          <w:sz w:val="20"/>
          <w:szCs w:val="20"/>
          <w:color w:val="auto"/>
        </w:rPr>
      </w:pPr>
      <w:r>
        <w:rPr>
          <w:rFonts w:ascii="Courier New" w:cs="Courier New" w:eastAsia="Courier New" w:hAnsi="Courier New"/>
          <w:sz w:val="18"/>
          <w:szCs w:val="18"/>
          <w:color w:val="auto"/>
        </w:rPr>
        <w:t>IA =</w:t>
        <w:tab/>
        <w:t>Investment Adviser registered under Section 203 of the Investment Advisers Act of 1940</w:t>
      </w:r>
    </w:p>
    <w:p>
      <w:pPr>
        <w:spacing w:after="0" w:line="208" w:lineRule="exact"/>
        <w:rPr>
          <w:sz w:val="20"/>
          <w:szCs w:val="20"/>
          <w:color w:val="auto"/>
        </w:rPr>
      </w:pPr>
    </w:p>
    <w:p>
      <w:pPr>
        <w:ind w:left="2320" w:right="2099" w:hanging="631"/>
        <w:spacing w:after="0" w:line="236" w:lineRule="auto"/>
        <w:tabs>
          <w:tab w:leader="none" w:pos="2300" w:val="left"/>
        </w:tabs>
        <w:rPr>
          <w:sz w:val="20"/>
          <w:szCs w:val="20"/>
          <w:color w:val="auto"/>
        </w:rPr>
      </w:pPr>
      <w:r>
        <w:rPr>
          <w:rFonts w:ascii="Courier New" w:cs="Courier New" w:eastAsia="Courier New" w:hAnsi="Courier New"/>
          <w:sz w:val="18"/>
          <w:szCs w:val="18"/>
          <w:color w:val="auto"/>
        </w:rPr>
        <w:t>EP =</w:t>
        <w:tab/>
        <w:t>Employee Benefit Plan, Pension Fund which is subject to the provisions of the Employee Retirement Income Security Act of 1974 or Endowment Fund; see</w:t>
      </w:r>
    </w:p>
    <w:p>
      <w:pPr>
        <w:spacing w:after="0" w:line="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Section 240.13-d(1)(b)(1)(ii)(F)</w:t>
      </w:r>
    </w:p>
    <w:p>
      <w:pPr>
        <w:spacing w:after="0" w:line="207" w:lineRule="exact"/>
        <w:rPr>
          <w:sz w:val="20"/>
          <w:szCs w:val="20"/>
          <w:color w:val="auto"/>
        </w:rPr>
      </w:pPr>
    </w:p>
    <w:p>
      <w:pPr>
        <w:ind w:left="2320" w:right="2619" w:hanging="631"/>
        <w:spacing w:after="0" w:line="235" w:lineRule="auto"/>
        <w:tabs>
          <w:tab w:leader="none" w:pos="2300" w:val="left"/>
        </w:tabs>
        <w:rPr>
          <w:sz w:val="20"/>
          <w:szCs w:val="20"/>
          <w:color w:val="auto"/>
        </w:rPr>
      </w:pPr>
      <w:r>
        <w:rPr>
          <w:rFonts w:ascii="Courier New" w:cs="Courier New" w:eastAsia="Courier New" w:hAnsi="Courier New"/>
          <w:sz w:val="18"/>
          <w:szCs w:val="18"/>
          <w:color w:val="auto"/>
        </w:rPr>
        <w:t>HC =</w:t>
        <w:tab/>
        <w:t>Parent Holding Company, in accordance with Section 240.13-d(1)(b)(1)(ii)(G)</w:t>
      </w:r>
    </w:p>
    <w:p>
      <w:pPr>
        <w:spacing w:after="0" w:line="203" w:lineRule="exact"/>
        <w:rPr>
          <w:sz w:val="20"/>
          <w:szCs w:val="20"/>
          <w:color w:val="auto"/>
        </w:rPr>
      </w:pPr>
    </w:p>
    <w:p>
      <w:pPr>
        <w:spacing w:after="0"/>
        <w:tabs>
          <w:tab w:leader="none" w:pos="940" w:val="left"/>
          <w:tab w:leader="none" w:pos="230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w:t>
      </w:r>
      <w:r>
        <w:rPr>
          <w:sz w:val="20"/>
          <w:szCs w:val="20"/>
          <w:color w:val="auto"/>
        </w:rPr>
        <w:tab/>
      </w:r>
      <w:r>
        <w:rPr>
          <w:rFonts w:ascii="Courier New" w:cs="Courier New" w:eastAsia="Courier New" w:hAnsi="Courier New"/>
          <w:sz w:val="16"/>
          <w:szCs w:val="16"/>
          <w:color w:val="auto"/>
        </w:rPr>
        <w:t>See Items 5 through 9 and 11 of cover page(s)</w:t>
      </w:r>
    </w:p>
    <w:p>
      <w:pPr>
        <w:ind w:left="2320"/>
        <w:spacing w:after="0" w:line="238" w:lineRule="auto"/>
        <w:rPr>
          <w:sz w:val="20"/>
          <w:szCs w:val="20"/>
          <w:color w:val="auto"/>
        </w:rPr>
      </w:pPr>
      <w:r>
        <w:rPr>
          <w:rFonts w:ascii="Courier New" w:cs="Courier New" w:eastAsia="Courier New" w:hAnsi="Courier New"/>
          <w:sz w:val="18"/>
          <w:szCs w:val="18"/>
          <w:color w:val="auto"/>
        </w:rPr>
        <w:t>as to each reporting person.</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amount beneficially owned includes, where appropriate, securities not outstanding which are subject to options, warrants, rights or conversion privileges that are exercisable within 60 days. The filing of this Schedule 13G shall not be construed as an admission that Mellon Bank Corporation, or its direct or indirect subsidiaries, including Mellon Bank, N.A., are for the purposes of Section 13(d) or 13(g) of the Act, the beneficial owners of any securities covered by this Schedule 13G.</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following information applies if checked: ( ) Mellon Bank, N.A. is the trustee of the issuer's employee benefit plan (the "Plan"), which is subject to ERISA. The securities reported include</w:t>
      </w:r>
    </w:p>
    <w:tbl>
      <w:tblPr>
        <w:tblLayout w:type="fixed"/>
        <w:tblInd w:w="0" w:type="dxa"/>
        <w:tblCellMar>
          <w:top w:w="0" w:type="dxa"/>
          <w:left w:w="0" w:type="dxa"/>
          <w:bottom w:w="0" w:type="dxa"/>
          <w:right w:w="0" w:type="dxa"/>
        </w:tblCellMar>
      </w:tblPr>
      <w:tr>
        <w:trPr>
          <w:trHeight w:val="199"/>
        </w:trPr>
        <w:tc>
          <w:tcPr>
            <w:tcW w:w="6860" w:type="dxa"/>
            <w:vAlign w:val="bottom"/>
            <w:gridSpan w:val="4"/>
          </w:tcPr>
          <w:p>
            <w:pPr>
              <w:spacing w:after="0" w:line="198" w:lineRule="exact"/>
              <w:rPr>
                <w:sz w:val="20"/>
                <w:szCs w:val="20"/>
                <w:color w:val="auto"/>
              </w:rPr>
            </w:pPr>
            <w:r>
              <w:rPr>
                <w:rFonts w:ascii="Courier New" w:cs="Courier New" w:eastAsia="Courier New" w:hAnsi="Courier New"/>
                <w:sz w:val="18"/>
                <w:szCs w:val="18"/>
                <w:color w:val="auto"/>
                <w:w w:val="98"/>
              </w:rPr>
              <w:t>all shares held of record by Mellon Bank, N.A. as trustee of the</w:t>
            </w:r>
          </w:p>
        </w:tc>
        <w:tc>
          <w:tcPr>
            <w:tcW w:w="740" w:type="dxa"/>
            <w:vAlign w:val="bottom"/>
          </w:tcPr>
          <w:p>
            <w:pPr>
              <w:spacing w:after="0" w:line="198" w:lineRule="exact"/>
              <w:rPr>
                <w:sz w:val="20"/>
                <w:szCs w:val="20"/>
                <w:color w:val="auto"/>
              </w:rPr>
            </w:pPr>
            <w:r>
              <w:rPr>
                <w:rFonts w:ascii="Courier New" w:cs="Courier New" w:eastAsia="Courier New" w:hAnsi="Courier New"/>
                <w:sz w:val="18"/>
                <w:szCs w:val="18"/>
                <w:color w:val="auto"/>
              </w:rPr>
              <w:t>Plan.</w:t>
            </w:r>
          </w:p>
        </w:tc>
      </w:tr>
      <w:tr>
        <w:trPr>
          <w:trHeight w:val="203"/>
        </w:trPr>
        <w:tc>
          <w:tcPr>
            <w:tcW w:w="6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The reporting person, however, disclaims beneficial ownership of</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all</w:t>
            </w:r>
          </w:p>
        </w:tc>
      </w:tr>
      <w:tr>
        <w:trPr>
          <w:trHeight w:val="203"/>
        </w:trPr>
        <w:tc>
          <w:tcPr>
            <w:tcW w:w="3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shares that have been allocated to</w:t>
            </w:r>
          </w:p>
        </w:tc>
        <w:tc>
          <w:tcPr>
            <w:tcW w:w="3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individual accounts of employee</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participants in the Plan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 which</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directions have been received</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followed.</w:t>
            </w:r>
          </w:p>
        </w:tc>
        <w:tc>
          <w:tcPr>
            <w:tcW w:w="1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26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Ownership of Five Percent</w:t>
            </w:r>
          </w:p>
        </w:tc>
        <w:tc>
          <w:tcPr>
            <w:tcW w:w="3220" w:type="dxa"/>
            <w:vAlign w:val="bottom"/>
          </w:tcPr>
          <w:p>
            <w:pPr>
              <w:ind w:left="60"/>
              <w:spacing w:after="0"/>
              <w:rPr>
                <w:sz w:val="20"/>
                <w:szCs w:val="20"/>
                <w:color w:val="auto"/>
              </w:rPr>
            </w:pPr>
            <w:r>
              <w:rPr>
                <w:rFonts w:ascii="Courier New" w:cs="Courier New" w:eastAsia="Courier New" w:hAnsi="Courier New"/>
                <w:sz w:val="18"/>
                <w:szCs w:val="18"/>
                <w:color w:val="auto"/>
              </w:rPr>
              <w:t>or Less of a Class:   If this</w:t>
            </w:r>
          </w:p>
        </w:tc>
        <w:tc>
          <w:tcPr>
            <w:tcW w:w="740" w:type="dxa"/>
            <w:vAlign w:val="bottom"/>
          </w:tcPr>
          <w:p>
            <w:pPr>
              <w:spacing w:after="0"/>
              <w:rPr>
                <w:sz w:val="24"/>
                <w:szCs w:val="24"/>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statement is being filed</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report</w:t>
            </w:r>
          </w:p>
        </w:tc>
        <w:tc>
          <w:tcPr>
            <w:tcW w:w="3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fact that as of the date hereof</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reporting person has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ceased to</w:t>
            </w:r>
          </w:p>
        </w:tc>
        <w:tc>
          <w:tcPr>
            <w:tcW w:w="3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be the beneficial owner of more</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than five percent of the</w:t>
            </w:r>
          </w:p>
        </w:tc>
        <w:tc>
          <w:tcPr>
            <w:tcW w:w="4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class of securities, check the following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Item 6 Ownership of More than Five Percent on Behalf of Another Person: All of the securities are beneficially owned by Mellon Bank Corporation and direct or indirect subsidiaries in their various fiduciary capacities. As a result, another entity in every instance is entitled to dividends or proceeds of sale. The number of individual accounts holding an interest of 5% or more is ( 0 ).</w:t>
      </w:r>
    </w:p>
    <w:p>
      <w:pPr>
        <w:sectPr>
          <w:pgSz w:w="11900" w:h="16838" w:orient="portrait"/>
          <w:cols w:equalWidth="0" w:num="1">
            <w:col w:w="10219"/>
          </w:cols>
          <w:pgMar w:left="240" w:top="312" w:right="1440" w:bottom="0" w:gutter="0" w:footer="0" w:header="0"/>
        </w:sectPr>
      </w:pPr>
    </w:p>
    <w:bookmarkStart w:id="2" w:name="page3"/>
    <w:bookmarkEnd w:id="2"/>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w:t>
      </w:r>
    </w:p>
    <w:p>
      <w:pPr>
        <w:spacing w:after="0"/>
        <w:tabs>
          <w:tab w:leader="none" w:pos="6520" w:val="left"/>
        </w:tabs>
        <w:rPr>
          <w:sz w:val="20"/>
          <w:szCs w:val="20"/>
          <w:color w:val="auto"/>
        </w:rPr>
      </w:pPr>
      <w:r>
        <w:rPr>
          <w:rFonts w:ascii="Courier New" w:cs="Courier New" w:eastAsia="Courier New" w:hAnsi="Courier New"/>
          <w:sz w:val="18"/>
          <w:szCs w:val="18"/>
          <w:color w:val="auto"/>
        </w:rPr>
        <w:t>the Security Being Reported by the Parent Holding Company:</w:t>
      </w:r>
      <w:r>
        <w:rPr>
          <w:sz w:val="20"/>
          <w:szCs w:val="20"/>
          <w:color w:val="auto"/>
        </w:rPr>
        <w:tab/>
      </w:r>
      <w:r>
        <w:rPr>
          <w:rFonts w:ascii="Courier New" w:cs="Courier New" w:eastAsia="Courier New" w:hAnsi="Courier New"/>
          <w:sz w:val="16"/>
          <w:szCs w:val="16"/>
          <w:color w:val="auto"/>
        </w:rPr>
        <w:t>See Exhibit I.</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65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420" w:type="dxa"/>
            <w:vAlign w:val="bottom"/>
          </w:tcPr>
          <w:p>
            <w:pPr>
              <w:ind w:left="120"/>
              <w:spacing w:after="0"/>
              <w:rPr>
                <w:sz w:val="20"/>
                <w:szCs w:val="20"/>
                <w:color w:val="auto"/>
              </w:rPr>
            </w:pPr>
            <w:r>
              <w:rPr>
                <w:rFonts w:ascii="Courier New" w:cs="Courier New" w:eastAsia="Courier New" w:hAnsi="Courier New"/>
                <w:sz w:val="18"/>
                <w:szCs w:val="18"/>
                <w:color w:val="auto"/>
                <w:w w:val="86"/>
              </w:rPr>
              <w:t>N/A</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11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Notice of</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Dissolution of Group:</w:t>
            </w:r>
          </w:p>
        </w:tc>
        <w:tc>
          <w:tcPr>
            <w:tcW w:w="420" w:type="dxa"/>
            <w:vAlign w:val="bottom"/>
          </w:tcPr>
          <w:p>
            <w:pPr>
              <w:ind w:left="120"/>
              <w:spacing w:after="0"/>
              <w:rPr>
                <w:sz w:val="20"/>
                <w:szCs w:val="20"/>
                <w:color w:val="auto"/>
              </w:rPr>
            </w:pPr>
            <w:r>
              <w:rPr>
                <w:rFonts w:ascii="Courier New" w:cs="Courier New" w:eastAsia="Courier New" w:hAnsi="Courier New"/>
                <w:sz w:val="18"/>
                <w:szCs w:val="18"/>
                <w:color w:val="auto"/>
                <w:w w:val="86"/>
              </w:rPr>
              <w:t>N/A</w:t>
            </w:r>
          </w:p>
        </w:tc>
      </w:tr>
      <w:tr>
        <w:trPr>
          <w:trHeight w:val="405"/>
        </w:trPr>
        <w:tc>
          <w:tcPr>
            <w:tcW w:w="7480" w:type="dxa"/>
            <w:vAlign w:val="bottom"/>
            <w:gridSpan w:val="4"/>
          </w:tcPr>
          <w:p>
            <w:pPr>
              <w:spacing w:after="0"/>
              <w:rPr>
                <w:sz w:val="20"/>
                <w:szCs w:val="20"/>
                <w:color w:val="auto"/>
              </w:rPr>
            </w:pPr>
            <w:r>
              <w:rPr>
                <w:rFonts w:ascii="Courier New" w:cs="Courier New" w:eastAsia="Courier New" w:hAnsi="Courier New"/>
                <w:sz w:val="18"/>
                <w:szCs w:val="18"/>
                <w:color w:val="auto"/>
              </w:rPr>
              <w:t>Item 10   Certification:   By signing below I certify that, to the</w:t>
            </w:r>
          </w:p>
        </w:tc>
        <w:tc>
          <w:tcPr>
            <w:tcW w:w="420" w:type="dxa"/>
            <w:vAlign w:val="bottom"/>
          </w:tcPr>
          <w:p>
            <w:pPr>
              <w:spacing w:after="0"/>
              <w:rPr>
                <w:sz w:val="24"/>
                <w:szCs w:val="24"/>
                <w:color w:val="auto"/>
              </w:rPr>
            </w:pPr>
          </w:p>
        </w:tc>
      </w:tr>
      <w:tr>
        <w:trPr>
          <w:trHeight w:val="203"/>
        </w:trPr>
        <w:tc>
          <w:tcPr>
            <w:tcW w:w="7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best of my knowledge and belief, the securities referred to above were</w:t>
            </w:r>
          </w:p>
        </w:tc>
        <w:tc>
          <w:tcPr>
            <w:tcW w:w="42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ordinary course of business and were not acquired for</w:t>
            </w:r>
          </w:p>
        </w:tc>
        <w:tc>
          <w:tcPr>
            <w:tcW w:w="420" w:type="dxa"/>
            <w:vAlign w:val="bottom"/>
          </w:tcPr>
          <w:p>
            <w:pPr>
              <w:spacing w:after="0"/>
              <w:rPr>
                <w:sz w:val="17"/>
                <w:szCs w:val="17"/>
                <w:color w:val="auto"/>
              </w:rPr>
            </w:pP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purpose</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and</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do not have the effect of changing or influencing</w:t>
            </w:r>
          </w:p>
        </w:tc>
        <w:tc>
          <w:tcPr>
            <w:tcW w:w="420" w:type="dxa"/>
            <w:vAlign w:val="bottom"/>
          </w:tcPr>
          <w:p>
            <w:pPr>
              <w:spacing w:after="0"/>
              <w:rPr>
                <w:sz w:val="17"/>
                <w:szCs w:val="17"/>
                <w:color w:val="auto"/>
              </w:rPr>
            </w:pP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control</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issuer of such securities and were not acquired in</w:t>
            </w:r>
          </w:p>
        </w:tc>
        <w:tc>
          <w:tcPr>
            <w:tcW w:w="420" w:type="dxa"/>
            <w:vAlign w:val="bottom"/>
          </w:tcPr>
          <w:p>
            <w:pPr>
              <w:spacing w:after="0"/>
              <w:rPr>
                <w:sz w:val="17"/>
                <w:szCs w:val="17"/>
                <w:color w:val="auto"/>
              </w:rPr>
            </w:pPr>
          </w:p>
        </w:tc>
      </w:tr>
      <w:tr>
        <w:trPr>
          <w:trHeight w:val="203"/>
        </w:trPr>
        <w:tc>
          <w:tcPr>
            <w:tcW w:w="2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connection with or</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participant in any transaction having such</w:t>
            </w:r>
          </w:p>
        </w:tc>
        <w:tc>
          <w:tcPr>
            <w:tcW w:w="42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purposes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effect.</w:t>
            </w:r>
          </w:p>
        </w:tc>
        <w:tc>
          <w:tcPr>
            <w:tcW w:w="548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 This filing is signed by Mellon Bank Corporation on behalf of all reporting entities pursuant to Rule</w:t>
      </w:r>
    </w:p>
    <w:p>
      <w:pPr>
        <w:spacing w:after="0" w:line="1"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13d-1(f)(1) promulgated under the Securities and Exchange Act of 1934, as amended.</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24,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BANK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WILLIAM L. DAWSON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William L. Dawson</w:t>
      </w:r>
    </w:p>
    <w:p>
      <w:pPr>
        <w:ind w:left="640"/>
        <w:spacing w:after="0" w:line="237" w:lineRule="auto"/>
        <w:rPr>
          <w:sz w:val="20"/>
          <w:szCs w:val="20"/>
          <w:color w:val="auto"/>
        </w:rPr>
      </w:pPr>
      <w:r>
        <w:rPr>
          <w:rFonts w:ascii="Courier New" w:cs="Courier New" w:eastAsia="Courier New" w:hAnsi="Courier New"/>
          <w:sz w:val="18"/>
          <w:szCs w:val="18"/>
          <w:color w:val="auto"/>
        </w:rPr>
        <w:t>Senior Vice President,</w:t>
      </w:r>
    </w:p>
    <w:p>
      <w:pPr>
        <w:ind w:left="640"/>
        <w:spacing w:after="0" w:line="238" w:lineRule="auto"/>
        <w:rPr>
          <w:sz w:val="20"/>
          <w:szCs w:val="20"/>
          <w:color w:val="auto"/>
        </w:rPr>
      </w:pPr>
      <w:r>
        <w:rPr>
          <w:rFonts w:ascii="Courier New" w:cs="Courier New" w:eastAsia="Courier New" w:hAnsi="Courier New"/>
          <w:sz w:val="18"/>
          <w:szCs w:val="18"/>
          <w:color w:val="auto"/>
        </w:rPr>
        <w:t>Mellon Bank, N.A.</w:t>
      </w:r>
    </w:p>
    <w:p>
      <w:pPr>
        <w:ind w:left="640"/>
        <w:spacing w:after="0"/>
        <w:rPr>
          <w:sz w:val="20"/>
          <w:szCs w:val="20"/>
          <w:color w:val="auto"/>
        </w:rPr>
      </w:pPr>
      <w:r>
        <w:rPr>
          <w:rFonts w:ascii="Courier New" w:cs="Courier New" w:eastAsia="Courier New" w:hAnsi="Courier New"/>
          <w:sz w:val="18"/>
          <w:szCs w:val="18"/>
          <w:color w:val="auto"/>
        </w:rPr>
        <w:t>Attorney-In-Fact for</w:t>
      </w:r>
    </w:p>
    <w:p>
      <w:pPr>
        <w:ind w:left="640"/>
        <w:spacing w:after="0" w:line="237" w:lineRule="auto"/>
        <w:rPr>
          <w:sz w:val="20"/>
          <w:szCs w:val="20"/>
          <w:color w:val="auto"/>
        </w:rPr>
      </w:pPr>
      <w:r>
        <w:rPr>
          <w:rFonts w:ascii="Courier New" w:cs="Courier New" w:eastAsia="Courier New" w:hAnsi="Courier New"/>
          <w:sz w:val="18"/>
          <w:szCs w:val="18"/>
          <w:color w:val="auto"/>
        </w:rPr>
        <w:t>Mellon Bank Corporation</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5</w:t>
      </w:r>
    </w:p>
    <w:p>
      <w:pPr>
        <w:ind w:left="3700"/>
        <w:spacing w:after="0" w:line="238" w:lineRule="auto"/>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10"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The shares reported on the attached Form 13G are beneficially owned by the following direct or indirect subsidiaries of Mellon Bank Corporation, as marked (X):</w:t>
      </w:r>
    </w:p>
    <w:p>
      <w:pPr>
        <w:spacing w:after="0" w:line="200" w:lineRule="exact"/>
        <w:rPr>
          <w:sz w:val="20"/>
          <w:szCs w:val="20"/>
          <w:color w:val="auto"/>
        </w:rPr>
      </w:pPr>
    </w:p>
    <w:p>
      <w:pPr>
        <w:spacing w:after="0" w:line="206"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Boston Safe Deposit and Trust Company</w:t>
      </w:r>
    </w:p>
    <w:p>
      <w:pPr>
        <w:spacing w:after="0" w:line="4" w:lineRule="exact"/>
        <w:rPr>
          <w:rFonts w:ascii="Courier New" w:cs="Courier New" w:eastAsia="Courier New" w:hAnsi="Courier New"/>
          <w:sz w:val="18"/>
          <w:szCs w:val="18"/>
          <w:color w:val="auto"/>
        </w:rPr>
      </w:pPr>
    </w:p>
    <w:p>
      <w:pPr>
        <w:ind w:left="86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X ) Boston Safe Deposit and Trust Company of California ( X ) Boston Safe Deposit and Trust Company of New York</w:t>
      </w:r>
    </w:p>
    <w:p>
      <w:pPr>
        <w:spacing w:after="0" w:line="203" w:lineRule="exact"/>
        <w:rPr>
          <w:sz w:val="20"/>
          <w:szCs w:val="20"/>
          <w:color w:val="auto"/>
        </w:rPr>
      </w:pPr>
    </w:p>
    <w:p>
      <w:pPr>
        <w:ind w:left="1280" w:hanging="429"/>
        <w:spacing w:after="0"/>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Bank (Delaware) National Association</w:t>
      </w:r>
    </w:p>
    <w:p>
      <w:pPr>
        <w:ind w:left="1280" w:hanging="429"/>
        <w:spacing w:after="0" w:line="238"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Bank (MD)</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Franklin Portfolio Associates Trust</w:t>
      </w:r>
    </w:p>
    <w:p>
      <w:pPr>
        <w:ind w:left="1280" w:hanging="429"/>
        <w:spacing w:after="0" w:line="238"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Boston Safe Advisors</w:t>
      </w:r>
    </w:p>
    <w:p>
      <w:pPr>
        <w:spacing w:after="0" w:line="202" w:lineRule="exact"/>
        <w:rPr>
          <w:sz w:val="20"/>
          <w:szCs w:val="20"/>
          <w:color w:val="auto"/>
        </w:rPr>
      </w:pPr>
    </w:p>
    <w:p>
      <w:pPr>
        <w:ind w:left="1060" w:hanging="209"/>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Mellon Capital Management Corporation</w:t>
      </w:r>
    </w:p>
    <w:p>
      <w:pPr>
        <w:ind w:left="1060" w:hanging="209"/>
        <w:spacing w:after="0" w:line="238"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Mellon Equity Associates</w:t>
      </w:r>
    </w:p>
    <w:p>
      <w:pPr>
        <w:ind w:left="1280" w:hanging="429"/>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Boston Company Asset Management, Inc.</w:t>
      </w:r>
    </w:p>
    <w:p>
      <w:pPr>
        <w:ind w:left="1060" w:hanging="209"/>
        <w:spacing w:after="0" w:line="238"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The Dreyfus Corporation</w:t>
      </w:r>
    </w:p>
    <w:p>
      <w:pPr>
        <w:ind w:left="1280" w:hanging="429"/>
        <w:spacing w:after="0" w:line="238"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Dreyfus Investment Advisors, Inc.</w:t>
      </w:r>
    </w:p>
    <w:p>
      <w:pPr>
        <w:spacing w:after="0" w:line="200" w:lineRule="exact"/>
        <w:rPr>
          <w:sz w:val="20"/>
          <w:szCs w:val="20"/>
          <w:color w:val="auto"/>
        </w:rPr>
      </w:pPr>
    </w:p>
    <w:p>
      <w:pPr>
        <w:spacing w:after="0" w:line="210"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The Item 3 classification of each of the subsidiaries listed under (A) above is "Item 3(b) Bank as defined in Section 3(a)(6) of the Act."</w:t>
      </w:r>
    </w:p>
    <w:p>
      <w:pPr>
        <w:spacing w:after="0" w:line="200" w:lineRule="exact"/>
        <w:rPr>
          <w:sz w:val="20"/>
          <w:szCs w:val="20"/>
          <w:color w:val="auto"/>
        </w:rPr>
      </w:pPr>
    </w:p>
    <w:p>
      <w:pPr>
        <w:spacing w:after="0" w:line="211" w:lineRule="exact"/>
        <w:rPr>
          <w:sz w:val="20"/>
          <w:szCs w:val="20"/>
          <w:color w:val="auto"/>
        </w:rPr>
      </w:pPr>
    </w:p>
    <w:p>
      <w:pPr>
        <w:ind w:right="3039" w:firstLine="843"/>
        <w:spacing w:after="0" w:line="279" w:lineRule="auto"/>
        <w:rPr>
          <w:sz w:val="20"/>
          <w:szCs w:val="20"/>
          <w:color w:val="auto"/>
        </w:rPr>
      </w:pPr>
      <w:r>
        <w:rPr>
          <w:rFonts w:ascii="Courier New" w:cs="Courier New" w:eastAsia="Courier New" w:hAnsi="Courier New"/>
          <w:sz w:val="16"/>
          <w:szCs w:val="16"/>
          <w:color w:val="auto"/>
        </w:rPr>
        <w:t>The Item 3 classification of each of the subsidiaries listed under (B) above is "Item 3 (e) Investment Advisor registered under Section 203 of the Investment Advisers Act of 1940."</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1)"/>
      <w:numFmt w:val="decimal"/>
      <w:start w:val="3"/>
    </w:lvl>
  </w:abstractNum>
  <w:abstractNum w:abstractNumId="2">
    <w:nsid w:val="3D1B58BA"/>
    <w:multiLevelType w:val="hybridMultilevel"/>
    <w:lvl w:ilvl="0">
      <w:lvlJc w:val="left"/>
      <w:lvlText w:val="(%1)"/>
      <w:numFmt w:val="decimal"/>
      <w:start w:val="9"/>
    </w:lvl>
  </w:abstractNum>
  <w:abstractNum w:abstractNumId="3">
    <w:nsid w:val="507ED7AB"/>
    <w:multiLevelType w:val="hybridMultilevel"/>
    <w:lvl w:ilvl="0">
      <w:lvlJc w:val="left"/>
      <w:lvlText w:val="(%1)"/>
      <w:numFmt w:val="upperLetter"/>
      <w:start w:val="1"/>
    </w:lvl>
  </w:abstractNum>
  <w:abstractNum w:abstractNumId="4">
    <w:nsid w:val="2EB141F2"/>
    <w:multiLevelType w:val="hybridMultilevel"/>
    <w:lvl w:ilvl="0">
      <w:lvlJc w:val="left"/>
      <w:lvlText w:val="(%1)"/>
      <w:numFmt w:val="upperLetter"/>
      <w:start w:val="1"/>
    </w:lvl>
    <w:lvl w:ilvl="1">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2019-12-13T10:40:45Z</dcterms:created>
  <dcterms:modified xsi:type="dcterms:W3CDTF">2019-12-13T10:40:45Z</dcterms:modified>
</cp:coreProperties>
</file>