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7070d8k.htm"/>
      <w:bookmarkStart w:id="1" w:name="ksd17707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UNIVERSAL HEALTH SERVICES,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15" w:type="dxa"/>
        <w:jc w:val="left"/>
        <w:tblInd w:w="0" w:type="dxa"/>
        <w:tblLayout w:type="fixed"/>
        <w:tblCellMar>
          <w:top w:w="0" w:type="dxa"/>
          <w:left w:w="0" w:type="dxa"/>
          <w:bottom w:w="0" w:type="dxa"/>
          <w:right w:w="0" w:type="dxa"/>
        </w:tblCellMar>
      </w:tblPr>
      <w:tblGrid>
        <w:gridCol w:w="2345"/>
        <w:gridCol w:w="60"/>
        <w:gridCol w:w="980"/>
        <w:gridCol w:w="60"/>
        <w:gridCol w:w="1370"/>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center"/>
              <w:rPr>
                <w:b/>
                <w:caps/>
              </w:rPr>
            </w:pPr>
            <w:r>
              <w:rPr>
                <w:b/>
                <w:caps/>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1-10765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23-2077891</w:t>
            </w:r>
          </w:p>
        </w:tc>
      </w:tr>
      <w:tr>
        <w:trPr/>
        <w:tc>
          <w:tcPr>
            <w:tcW w:w="23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UNIVERSAL CORPORATE CENTER</w:t>
      </w:r>
    </w:p>
    <w:p>
      <w:pPr>
        <w:pStyle w:val="TextBody"/>
        <w:bidi w:val="0"/>
        <w:spacing w:before="0" w:after="0"/>
        <w:jc w:val="center"/>
        <w:rPr>
          <w:rFonts w:ascii="Times New Roman" w:hAnsi="Times New Roman"/>
          <w:b/>
          <w:sz w:val="20"/>
        </w:rPr>
      </w:pPr>
      <w:r>
        <w:rPr>
          <w:rFonts w:ascii="Times New Roman" w:hAnsi="Times New Roman"/>
          <w:b/>
          <w:sz w:val="20"/>
        </w:rPr>
        <w:t>367 SOUTH GULPH ROAD</w:t>
      </w:r>
    </w:p>
    <w:p>
      <w:pPr>
        <w:pStyle w:val="TextBody"/>
        <w:bidi w:val="0"/>
        <w:spacing w:before="0" w:after="0"/>
        <w:jc w:val="center"/>
        <w:rPr>
          <w:rFonts w:ascii="Times New Roman" w:hAnsi="Times New Roman"/>
          <w:b/>
          <w:sz w:val="20"/>
        </w:rPr>
      </w:pPr>
      <w:r>
        <w:rPr>
          <w:rFonts w:ascii="Times New Roman" w:hAnsi="Times New Roman"/>
          <w:b/>
          <w:sz w:val="20"/>
        </w:rPr>
        <w:t xml:space="preserve">KING OF PRUSSIA, </w:t>
      </w:r>
      <w:r>
        <w:rPr>
          <w:rFonts w:ascii="Times New Roman" w:hAnsi="Times New Roman"/>
          <w:b/>
          <w:caps/>
          <w:sz w:val="20"/>
        </w:rPr>
        <w:t>Pennsylvania</w:t>
      </w:r>
      <w:r>
        <w:rPr>
          <w:rFonts w:ascii="Times New Roman" w:hAnsi="Times New Roman"/>
          <w:b/>
          <w:sz w:val="20"/>
        </w:rPr>
        <w:t xml:space="preserve"> 19406</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 (Zip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(610) 768-3300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835" w:type="dxa"/>
        <w:jc w:val="left"/>
        <w:tblInd w:w="0" w:type="dxa"/>
        <w:tblLayout w:type="fixed"/>
        <w:tblCellMar>
          <w:top w:w="0" w:type="dxa"/>
          <w:left w:w="0" w:type="dxa"/>
          <w:bottom w:w="0" w:type="dxa"/>
          <w:right w:w="0" w:type="dxa"/>
        </w:tblCellMar>
      </w:tblPr>
      <w:tblGrid>
        <w:gridCol w:w="2315"/>
        <w:gridCol w:w="60"/>
        <w:gridCol w:w="740"/>
        <w:gridCol w:w="60"/>
        <w:gridCol w:w="2660"/>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3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315" w:type="dxa"/>
            <w:tcBorders/>
            <w:vAlign w:val="center"/>
          </w:tcPr>
          <w:p>
            <w:pPr>
              <w:pStyle w:val="TableContents"/>
              <w:bidi w:val="0"/>
              <w:spacing w:before="0" w:after="283"/>
              <w:jc w:val="center"/>
              <w:rPr/>
            </w:pPr>
            <w:r>
              <w:rPr/>
              <w:t>Class B 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UHS</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05" w:type="dxa"/>
        <w:jc w:val="left"/>
        <w:tblInd w:w="0" w:type="dxa"/>
        <w:tblLayout w:type="fixed"/>
        <w:tblCellMar>
          <w:top w:w="0" w:type="dxa"/>
          <w:left w:w="0" w:type="dxa"/>
          <w:bottom w:w="0" w:type="dxa"/>
          <w:right w:w="0" w:type="dxa"/>
        </w:tblCellMar>
      </w:tblPr>
      <w:tblGrid>
        <w:gridCol w:w="965"/>
        <w:gridCol w:w="3740"/>
      </w:tblGrid>
      <w:tr>
        <w:trPr/>
        <w:tc>
          <w:tcPr>
            <w:tcW w:w="96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11, 2026, Universal Health Services, Inc. (the “Issuer”) and certain of its subsidiaries entered into an underwriting agreement (the “Underwriting Agreement”) with J.P. Morgan Securities LLC, BofA Securities, Inc., Truist Securities, Inc., U.S. Bancorp Investments, Inc. and Wells Fargo Securities, LLC as representatives of the several underwriters named therein (the “Underwriters”), for the issuance and sale by the Issuer of $1,100,000,000 aggregate principal amount of senior secured notes (collectively, the “Notes”) in the following tranches: </w:t>
      </w:r>
    </w:p>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75"/>
        <w:gridCol w:w="110"/>
        <w:gridCol w:w="60"/>
        <w:gridCol w:w="7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$600,000,000 aggregate principal amount of 5.500% Senior Secured Notes due 2031; and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110"/>
        <w:gridCol w:w="60"/>
        <w:gridCol w:w="7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$500,000,000 aggregate principal amount of 6.000% Senior Secured Notes due 2036.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will be guaranteed on a senior secured basis by all of the Issuer’s existing and future direct and indirect subsidiaries that guarantee the Issuer’s senior secured credit facility or the Issuer’s other first lien obligations or any junior lien obligations (the “Subsidiary Guarantors”), and will be issued and sold pursuant to the Issuer’s and the Subsidiary Guarantors’ Registration Statement on Form S-3 (File No. 333-282135), as amended by the Post-Effective Amendment No. 1 thereto as filed with the Securities and Exchange Commission (the “SEC”) on August 7, 2026, including the prospectus dated September 16, 2024, and a related prospectus supplement dated August 11, 2026 as filed with the SEC on August 13, 2026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includes customary representations, warranties and covenants by the Issuer and the Subsidiary Guarantors. It also provides for customary indemnification by the Issuer and the Subsidiary Guarantors, on the one hand, and the Underwriters, on the other hand, against certain liabilities arising out of or in connection with the sale of the Notes and for customary contribution provisions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As more fully described under the caption “Underwriting” in the Prospectus Supplement, certain of the Underwriters and their respective affiliates have provided, and may in the future provide, a variety of these services to the Issuer and to persons and entities with relationships with the Issuer, for which they have received or will receive customary fees and expenses. In particular, JPMorgan Chase Bank, N.A., an affiliate of J.P. Morgan Securities LLC, acts as a joint lead arranger and acts as administrative agent under the Issuer’s senior secured credit facility, and affiliates of certain of the other Underwriters, including J.P. Morgan Securities LLC, BofA Securities, Inc., Truist Securities, Inc., U.S. Bancorp Investments, Inc. and Wells Fargo Securities, LLC, act as lenders and, in some cases, as joint lead arrangers and agents, under the Issuer’s revolving credit facility and tranche A term loan facilities. In addition, J.P. Morgan Securities LLC is acting as the Issuer’s financial advisor in connection with the Issuer’s proposed acquisition of Talkspace, Inc. The affiliates of certain Underwriters will receive a portion of the proceeds of the transactions as a result of the repayment of the outstanding borrowings under the Issuer’s revolving credit facility. Additionally, certain of the Underwriters and/or their respective affiliates may hold some of the Issuer’s 1.650% Senior Secured Notes due 2026 and may receive a portion of the proceeds from the transactions as a result.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Underwriting Agreement is qualified in its entirety by the terms of such agreement, which is incorporated herein by reference and attached to this report as Exhibit 1.1. </w:t>
      </w:r>
    </w:p>
    <w:p>
      <w:pPr>
        <w:pStyle w:val="TextBody"/>
        <w:bidi w:val="0"/>
        <w:spacing w:before="0" w:after="0"/>
        <w:jc w:val="left"/>
        <w:rPr/>
      </w:pPr>
      <w:r>
        <w:rPr/>
        <w:t> </w:t>
      </w:r>
      <w:r>
        <w:br w:type="page"/>
      </w:r>
    </w:p>
    <w:p>
      <w:pPr>
        <w:pStyle w:val="HorizontalLine"/>
        <w:bidi w:val="0"/>
        <w:jc w:val="left"/>
        <w:rPr/>
      </w:pPr>
      <w:r>
        <w:rPr/>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2"/>
        <w:gridCol w:w="120"/>
        <w:gridCol w:w="9533"/>
      </w:tblGrid>
      <w:tr>
        <w:trPr/>
        <w:tc>
          <w:tcPr>
            <w:tcW w:w="5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33" w:type="dxa"/>
            <w:tcBorders/>
            <w:vAlign w:val="center"/>
          </w:tcPr>
          <w:p>
            <w:pPr>
              <w:pStyle w:val="TableContents"/>
              <w:bidi w:val="0"/>
              <w:spacing w:before="0" w:after="283"/>
              <w:jc w:val="left"/>
              <w:rPr>
                <w:sz w:val="4"/>
                <w:szCs w:val="4"/>
              </w:rPr>
            </w:pPr>
            <w:r>
              <w:rPr>
                <w:sz w:val="4"/>
                <w:szCs w:val="4"/>
              </w:rPr>
            </w:r>
          </w:p>
        </w:tc>
      </w:tr>
      <w:tr>
        <w:trPr/>
        <w:tc>
          <w:tcPr>
            <w:tcW w:w="552"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bidi w:val="0"/>
              <w:spacing w:before="0" w:after="20"/>
              <w:jc w:val="center"/>
              <w:rPr>
                <w:rFonts w:ascii="Times New Roman" w:hAnsi="Times New Roman"/>
                <w:sz w:val="16"/>
              </w:rPr>
            </w:pPr>
            <w:r>
              <w:rPr>
                <w:rFonts w:ascii="Times New Roman" w:hAnsi="Times New Roman"/>
                <w:sz w:val="16"/>
              </w:rPr>
              <w:t>No.</w:t>
            </w:r>
          </w:p>
        </w:tc>
        <w:tc>
          <w:tcPr>
            <w:tcW w:w="120" w:type="dxa"/>
            <w:tcBorders/>
            <w:vAlign w:val="center"/>
          </w:tcPr>
          <w:p>
            <w:pPr>
              <w:pStyle w:val="TableContents"/>
              <w:bidi w:val="0"/>
              <w:spacing w:before="0" w:after="283"/>
              <w:jc w:val="left"/>
              <w:rPr/>
            </w:pPr>
            <w:r>
              <w:rPr/>
              <w:t>  </w:t>
            </w:r>
          </w:p>
        </w:tc>
        <w:tc>
          <w:tcPr>
            <w:tcW w:w="9533" w:type="dxa"/>
            <w:tcBorders/>
            <w:vAlign w:val="center"/>
          </w:tcPr>
          <w:p>
            <w:pPr>
              <w:pStyle w:val="TableContents"/>
              <w:bidi w:val="0"/>
              <w:spacing w:before="0" w:after="283"/>
              <w:jc w:val="center"/>
              <w:rPr/>
            </w:pPr>
            <w:r>
              <w:rPr/>
              <w:t>Exhibit Description</w:t>
            </w:r>
          </w:p>
        </w:tc>
      </w:tr>
      <w:tr>
        <w:trPr/>
        <w:tc>
          <w:tcPr>
            <w:tcW w:w="552" w:type="dxa"/>
            <w:tcBorders/>
            <w:vAlign w:val="center"/>
          </w:tcPr>
          <w:p>
            <w:pPr>
              <w:pStyle w:val="TableContents"/>
              <w:bidi w:val="0"/>
              <w:spacing w:before="0" w:after="283"/>
              <w:jc w:val="left"/>
              <w:rPr>
                <w:sz w:val="4"/>
                <w:szCs w:val="4"/>
              </w:rPr>
            </w:pPr>
            <w:r>
              <w:rPr>
                <w:sz w:val="4"/>
                <w:szCs w:val="4"/>
              </w:rPr>
            </w:r>
          </w:p>
        </w:tc>
        <w:tc>
          <w:tcPr>
            <w:tcW w:w="9653" w:type="dxa"/>
            <w:gridSpan w:val="2"/>
            <w:tcBorders/>
            <w:vAlign w:val="center"/>
          </w:tcPr>
          <w:p>
            <w:pPr>
              <w:pStyle w:val="TableContents"/>
              <w:bidi w:val="0"/>
              <w:spacing w:before="0" w:after="283"/>
              <w:jc w:val="left"/>
              <w:rPr>
                <w:sz w:val="4"/>
                <w:szCs w:val="4"/>
              </w:rPr>
            </w:pPr>
            <w:r>
              <w:rPr>
                <w:sz w:val="4"/>
                <w:szCs w:val="4"/>
              </w:rPr>
            </w:r>
          </w:p>
        </w:tc>
      </w:tr>
      <w:tr>
        <w:trPr/>
        <w:tc>
          <w:tcPr>
            <w:tcW w:w="552"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533" w:type="dxa"/>
            <w:tcBorders/>
            <w:vAlign w:val="center"/>
          </w:tcPr>
          <w:p>
            <w:pPr>
              <w:pStyle w:val="TableContents"/>
              <w:bidi w:val="0"/>
              <w:spacing w:before="0" w:after="283"/>
              <w:jc w:val="left"/>
              <w:rPr/>
            </w:pPr>
            <w:hyperlink w:anchor="d177070dex11.htm">
              <w:r>
                <w:rPr>
                  <w:rStyle w:val="InternetLink"/>
                </w:rPr>
                <w:t xml:space="preserve">Underwriting Agreement, dated as of August 11, 2026, among Universal Health Services, Inc., the subsidiary guarantors named therein, and J.P. Morgan Securities LLC, BofA Securities, Inc., Truist Securities, Inc., U.S. Bancorp Investments, Inc. and Wells Fargo Securities, LLC as representatives of the other several underwriters named therein. </w:t>
              </w:r>
            </w:hyperlink>
          </w:p>
        </w:tc>
      </w:tr>
      <w:tr>
        <w:trPr/>
        <w:tc>
          <w:tcPr>
            <w:tcW w:w="552" w:type="dxa"/>
            <w:tcBorders/>
            <w:vAlign w:val="center"/>
          </w:tcPr>
          <w:p>
            <w:pPr>
              <w:pStyle w:val="TableContents"/>
              <w:bidi w:val="0"/>
              <w:spacing w:before="0" w:after="283"/>
              <w:jc w:val="left"/>
              <w:rPr>
                <w:sz w:val="4"/>
                <w:szCs w:val="4"/>
              </w:rPr>
            </w:pPr>
            <w:r>
              <w:rPr>
                <w:sz w:val="4"/>
                <w:szCs w:val="4"/>
              </w:rPr>
            </w:r>
          </w:p>
        </w:tc>
        <w:tc>
          <w:tcPr>
            <w:tcW w:w="9653" w:type="dxa"/>
            <w:gridSpan w:val="2"/>
            <w:tcBorders/>
            <w:vAlign w:val="center"/>
          </w:tcPr>
          <w:p>
            <w:pPr>
              <w:pStyle w:val="TableContents"/>
              <w:bidi w:val="0"/>
              <w:spacing w:before="0" w:after="283"/>
              <w:jc w:val="left"/>
              <w:rPr>
                <w:sz w:val="4"/>
                <w:szCs w:val="4"/>
              </w:rPr>
            </w:pPr>
            <w:r>
              <w:rPr>
                <w:sz w:val="4"/>
                <w:szCs w:val="4"/>
              </w:rPr>
            </w:r>
          </w:p>
        </w:tc>
      </w:tr>
      <w:tr>
        <w:trPr/>
        <w:tc>
          <w:tcPr>
            <w:tcW w:w="552"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33" w:type="dxa"/>
            <w:tcBorders/>
            <w:vAlign w:val="center"/>
          </w:tcPr>
          <w:p>
            <w:pPr>
              <w:pStyle w:val="TableContents"/>
              <w:bidi w:val="0"/>
              <w:spacing w:before="0" w:after="283"/>
              <w:jc w:val="left"/>
              <w:rPr/>
            </w:pPr>
            <w:hyperlink r:id="rId2">
              <w:r>
                <w:rPr>
                  <w:rStyle w:val="InternetLink"/>
                </w:rPr>
                <w:t xml:space="preserve">Consent of PricewaterhouseCoopers LLP. </w:t>
              </w:r>
            </w:hyperlink>
          </w:p>
        </w:tc>
      </w:tr>
      <w:tr>
        <w:trPr/>
        <w:tc>
          <w:tcPr>
            <w:tcW w:w="552" w:type="dxa"/>
            <w:tcBorders/>
            <w:vAlign w:val="center"/>
          </w:tcPr>
          <w:p>
            <w:pPr>
              <w:pStyle w:val="TableContents"/>
              <w:bidi w:val="0"/>
              <w:spacing w:before="0" w:after="283"/>
              <w:jc w:val="left"/>
              <w:rPr>
                <w:sz w:val="4"/>
                <w:szCs w:val="4"/>
              </w:rPr>
            </w:pPr>
            <w:r>
              <w:rPr>
                <w:sz w:val="4"/>
                <w:szCs w:val="4"/>
              </w:rPr>
            </w:r>
          </w:p>
        </w:tc>
        <w:tc>
          <w:tcPr>
            <w:tcW w:w="9653" w:type="dxa"/>
            <w:gridSpan w:val="2"/>
            <w:tcBorders/>
            <w:vAlign w:val="center"/>
          </w:tcPr>
          <w:p>
            <w:pPr>
              <w:pStyle w:val="TableContents"/>
              <w:bidi w:val="0"/>
              <w:spacing w:before="0" w:after="283"/>
              <w:jc w:val="left"/>
              <w:rPr>
                <w:sz w:val="4"/>
                <w:szCs w:val="4"/>
              </w:rPr>
            </w:pPr>
            <w:r>
              <w:rPr>
                <w:sz w:val="4"/>
                <w:szCs w:val="4"/>
              </w:rPr>
            </w:r>
          </w:p>
        </w:tc>
      </w:tr>
      <w:tr>
        <w:trPr/>
        <w:tc>
          <w:tcPr>
            <w:tcW w:w="552"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33"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as an exhibit to the Issuer’s and the Subsidiary Guarantors’ Registration Statement on Form S-3 (File No. 333-282135), originally filed with the SEC on September 16, 2024 (the “Registration Statement”), and included herein solely to correct an incorrect hyperlink in the Exhibit Index to the Post-Effective Amendment No. 1 to the Registration Statement, as filed with the SEC on August 7, 2026.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448"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440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10" w:type="dxa"/>
            <w:gridSpan w:val="3"/>
            <w:tcBorders/>
            <w:vAlign w:val="center"/>
          </w:tcPr>
          <w:p>
            <w:pPr>
              <w:pStyle w:val="TableContents"/>
              <w:bidi w:val="0"/>
              <w:spacing w:before="0" w:after="283"/>
              <w:jc w:val="left"/>
              <w:rPr/>
            </w:pPr>
            <w:r>
              <w:rPr/>
              <w:t>Universal Health Services,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46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Steve Filton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xml:space="preserve">Executive Vice President and Chief Financial </w:t>
              <w:br/>
              <w:t>Officer</w:t>
            </w:r>
          </w:p>
        </w:tc>
      </w:tr>
    </w:tbl>
    <w:p>
      <w:pPr>
        <w:pStyle w:val="TextBody"/>
        <w:bidi w:val="0"/>
        <w:spacing w:before="0" w:after="0"/>
        <w:jc w:val="right"/>
        <w:rPr>
          <w:rFonts w:ascii="Times New Roman" w:hAnsi="Times New Roman"/>
          <w:b/>
          <w:sz w:val="20"/>
        </w:rPr>
      </w:pPr>
      <w:bookmarkStart w:id="2" w:name="d177070dex11.htm"/>
      <w:bookmarkStart w:id="3" w:name="ksd177070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UNIVERSAL HEALTH SERVICES,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$600,000,000 5.500% Senior Secured Notes due 2031 </w:t>
      </w:r>
    </w:p>
    <w:p>
      <w:pPr>
        <w:pStyle w:val="TextBody"/>
        <w:bidi w:val="0"/>
        <w:spacing w:before="0" w:after="0"/>
        <w:jc w:val="center"/>
        <w:rPr>
          <w:rFonts w:ascii="Times New Roman" w:hAnsi="Times New Roman"/>
          <w:b/>
          <w:sz w:val="20"/>
        </w:rPr>
      </w:pPr>
      <w:r>
        <w:rPr>
          <w:rFonts w:ascii="Times New Roman" w:hAnsi="Times New Roman"/>
          <w:b/>
          <w:sz w:val="20"/>
        </w:rPr>
        <w:t xml:space="preserve">$500,000,000 6.000% Senior Secured Notes due 2036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11, 2026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Truist Securities, Inc. </w:t>
      </w:r>
    </w:p>
    <w:p>
      <w:pPr>
        <w:pStyle w:val="TextBody"/>
        <w:bidi w:val="0"/>
        <w:spacing w:before="0" w:after="0"/>
        <w:jc w:val="left"/>
        <w:rPr>
          <w:rFonts w:ascii="Times New Roman" w:hAnsi="Times New Roman"/>
          <w:sz w:val="20"/>
        </w:rPr>
      </w:pPr>
      <w:r>
        <w:rPr>
          <w:rFonts w:ascii="Times New Roman" w:hAnsi="Times New Roman"/>
          <w:sz w:val="20"/>
        </w:rPr>
        <w:t xml:space="preserve">U.S. Bancorp Investments, Inc. </w:t>
      </w:r>
    </w:p>
    <w:p>
      <w:pPr>
        <w:pStyle w:val="TextBody"/>
        <w:bidi w:val="0"/>
        <w:spacing w:before="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0" w:after="0"/>
        <w:jc w:val="left"/>
        <w:rPr/>
      </w:pPr>
      <w:r>
        <w:rPr/>
        <w:t> </w:t>
      </w:r>
      <w:r>
        <w:rPr>
          <w:rFonts w:ascii="Times New Roman" w:hAnsi="Times New Roman"/>
          <w:sz w:val="20"/>
        </w:rPr>
        <w:t xml:space="preserve">As Representatives of the </w:t>
      </w:r>
    </w:p>
    <w:p>
      <w:pPr>
        <w:pStyle w:val="TextBody"/>
        <w:bidi w:val="0"/>
        <w:spacing w:before="0" w:after="0"/>
        <w:jc w:val="left"/>
        <w:rPr/>
      </w:pPr>
      <w:r>
        <w:rPr/>
        <w:t> </w:t>
      </w:r>
      <w:r>
        <w:rPr>
          <w:rFonts w:ascii="Times New Roman" w:hAnsi="Times New Roman"/>
          <w:sz w:val="20"/>
        </w:rPr>
        <w:t xml:space="preserve">several Underwriters listed </w:t>
      </w:r>
    </w:p>
    <w:p>
      <w:pPr>
        <w:pStyle w:val="TextBody"/>
        <w:bidi w:val="0"/>
        <w:spacing w:before="0" w:after="0"/>
        <w:jc w:val="left"/>
        <w:rPr/>
      </w:pPr>
      <w:r>
        <w:rPr/>
        <w:t> </w:t>
      </w:r>
      <w:r>
        <w:rPr>
          <w:rFonts w:ascii="Times New Roman" w:hAnsi="Times New Roman"/>
          <w:sz w:val="20"/>
        </w:rPr>
        <w:t xml:space="preserve">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c/o 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240" w:after="0"/>
        <w:jc w:val="left"/>
        <w:rPr>
          <w:rFonts w:ascii="Times New Roman" w:hAnsi="Times New Roman"/>
          <w:sz w:val="20"/>
        </w:rPr>
      </w:pPr>
      <w:r>
        <w:rPr>
          <w:rFonts w:ascii="Times New Roman" w:hAnsi="Times New Roman"/>
          <w:sz w:val="20"/>
        </w:rPr>
        <w:t xml:space="preserve">c/o Truist Securities, Inc. </w:t>
      </w:r>
    </w:p>
    <w:p>
      <w:pPr>
        <w:pStyle w:val="TextBody"/>
        <w:bidi w:val="0"/>
        <w:spacing w:before="0" w:after="0"/>
        <w:jc w:val="left"/>
        <w:rPr>
          <w:rFonts w:ascii="Times New Roman" w:hAnsi="Times New Roman"/>
          <w:sz w:val="20"/>
        </w:rPr>
      </w:pPr>
      <w:r>
        <w:rPr>
          <w:rFonts w:ascii="Times New Roman" w:hAnsi="Times New Roman"/>
          <w:sz w:val="20"/>
        </w:rPr>
        <w:t xml:space="preserve">50 Hudson Yards, 70th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240" w:after="0"/>
        <w:jc w:val="left"/>
        <w:rPr>
          <w:rFonts w:ascii="Times New Roman" w:hAnsi="Times New Roman"/>
          <w:sz w:val="20"/>
        </w:rPr>
      </w:pPr>
      <w:r>
        <w:rPr>
          <w:rFonts w:ascii="Times New Roman" w:hAnsi="Times New Roman"/>
          <w:sz w:val="20"/>
        </w:rPr>
        <w:t xml:space="preserve">c/o U.S. Bancorp Investments, Inc. </w:t>
      </w:r>
    </w:p>
    <w:p>
      <w:pPr>
        <w:pStyle w:val="TextBody"/>
        <w:bidi w:val="0"/>
        <w:spacing w:before="0" w:after="0"/>
        <w:jc w:val="left"/>
        <w:rPr>
          <w:rFonts w:ascii="Times New Roman" w:hAnsi="Times New Roman"/>
          <w:sz w:val="20"/>
        </w:rPr>
      </w:pPr>
      <w:r>
        <w:rPr>
          <w:rFonts w:ascii="Times New Roman" w:hAnsi="Times New Roman"/>
          <w:sz w:val="20"/>
        </w:rPr>
        <w:t xml:space="preserve">214 North Tryon Street, 26th Floor </w:t>
      </w:r>
    </w:p>
    <w:p>
      <w:pPr>
        <w:pStyle w:val="TextBody"/>
        <w:bidi w:val="0"/>
        <w:spacing w:before="0" w:after="0"/>
        <w:jc w:val="left"/>
        <w:rPr>
          <w:rFonts w:ascii="Times New Roman" w:hAnsi="Times New Roman"/>
          <w:sz w:val="20"/>
        </w:rPr>
      </w:pPr>
      <w:r>
        <w:rPr>
          <w:rFonts w:ascii="Times New Roman" w:hAnsi="Times New Roman"/>
          <w:sz w:val="20"/>
        </w:rPr>
        <w:t xml:space="preserve">Charlotte, NC 28202 </w:t>
      </w:r>
    </w:p>
    <w:p>
      <w:pPr>
        <w:pStyle w:val="TextBody"/>
        <w:bidi w:val="0"/>
        <w:spacing w:before="240" w:after="0"/>
        <w:jc w:val="left"/>
        <w:rPr>
          <w:rFonts w:ascii="Times New Roman" w:hAnsi="Times New Roman"/>
          <w:sz w:val="20"/>
        </w:rPr>
      </w:pPr>
      <w:r>
        <w:rPr>
          <w:rFonts w:ascii="Times New Roman" w:hAnsi="Times New Roman"/>
          <w:sz w:val="20"/>
        </w:rPr>
        <w:t xml:space="preserve">c/o 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550 South Tryon Street </w:t>
      </w:r>
    </w:p>
    <w:p>
      <w:pPr>
        <w:pStyle w:val="TextBody"/>
        <w:bidi w:val="0"/>
        <w:spacing w:before="0" w:after="0"/>
        <w:jc w:val="left"/>
        <w:rPr>
          <w:rFonts w:ascii="Times New Roman" w:hAnsi="Times New Roman"/>
          <w:sz w:val="20"/>
        </w:rPr>
      </w:pPr>
      <w:r>
        <w:rPr>
          <w:rFonts w:ascii="Times New Roman" w:hAnsi="Times New Roman"/>
          <w:sz w:val="20"/>
        </w:rPr>
        <w:t xml:space="preserve">Charlotte, NC 28202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Universal Health Services, Inc., a Delaware corporation (the “</w:t>
      </w:r>
      <w:r>
        <w:rPr>
          <w:rFonts w:ascii="Times New Roman" w:hAnsi="Times New Roman"/>
          <w:sz w:val="20"/>
          <w:u w:val="single"/>
        </w:rPr>
        <w:t>Company</w:t>
      </w:r>
      <w:r>
        <w:rPr>
          <w:rFonts w:ascii="Times New Roman" w:hAnsi="Times New Roman"/>
          <w:sz w:val="20"/>
        </w:rPr>
        <w:t>”), proposes to issue and sell to the several Underwriters listed in Schedule 1 hereto (the “</w:t>
      </w:r>
      <w:r>
        <w:rPr>
          <w:rFonts w:ascii="Times New Roman" w:hAnsi="Times New Roman"/>
          <w:sz w:val="20"/>
          <w:u w:val="single"/>
        </w:rPr>
        <w:t>Underwriters</w:t>
      </w:r>
      <w:r>
        <w:rPr>
          <w:rFonts w:ascii="Times New Roman" w:hAnsi="Times New Roman"/>
          <w:sz w:val="20"/>
        </w:rPr>
        <w:t xml:space="preserve">”), for whom J.P. Morgan Securities LLC, BofA Securities, Inc., Truist Securities, Inc., U.S. Bancorp Investments, Inc. and Wells Fargo Securities, LLC are acting as representatives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w:t>
      </w:r>
      <w:r>
        <w:rPr>
          <w:rFonts w:ascii="Times New Roman" w:hAnsi="Times New Roman"/>
          <w:sz w:val="20"/>
          <w:u w:val="single"/>
        </w:rPr>
        <w:t>Representatives</w:t>
      </w:r>
      <w:r>
        <w:rPr>
          <w:rFonts w:ascii="Times New Roman" w:hAnsi="Times New Roman"/>
          <w:sz w:val="20"/>
        </w:rPr>
        <w:t>”), $600,000,000 aggregate principal amount of its 5.500% Senior Secured Notes due 2031 (the “</w:t>
      </w:r>
      <w:r>
        <w:rPr>
          <w:rFonts w:ascii="Times New Roman" w:hAnsi="Times New Roman"/>
          <w:sz w:val="20"/>
          <w:u w:val="single"/>
        </w:rPr>
        <w:t>2031 Notes</w:t>
      </w:r>
      <w:r>
        <w:rPr>
          <w:rFonts w:ascii="Times New Roman" w:hAnsi="Times New Roman"/>
          <w:sz w:val="20"/>
        </w:rPr>
        <w:t>”) and $500,000,000 aggregate principal amount of its 6.000% Senior Secured Notes due 2036 (the “</w:t>
      </w:r>
      <w:r>
        <w:rPr>
          <w:rFonts w:ascii="Times New Roman" w:hAnsi="Times New Roman"/>
          <w:sz w:val="20"/>
          <w:u w:val="single"/>
        </w:rPr>
        <w:t>2036 Notes</w:t>
      </w:r>
      <w:r>
        <w:rPr>
          <w:rFonts w:ascii="Times New Roman" w:hAnsi="Times New Roman"/>
          <w:sz w:val="20"/>
        </w:rPr>
        <w:t>” and, together with the 2031 Notes, the “</w:t>
      </w:r>
      <w:r>
        <w:rPr>
          <w:rFonts w:ascii="Times New Roman" w:hAnsi="Times New Roman"/>
          <w:sz w:val="20"/>
          <w:u w:val="single"/>
        </w:rPr>
        <w:t>Securities</w:t>
      </w:r>
      <w:r>
        <w:rPr>
          <w:rFonts w:ascii="Times New Roman" w:hAnsi="Times New Roman"/>
          <w:sz w:val="20"/>
        </w:rPr>
        <w:t>”). The Securities will be issued pursuant to an Indenture dated as of September 26, 2024 (the “</w:t>
      </w:r>
      <w:r>
        <w:rPr>
          <w:rFonts w:ascii="Times New Roman" w:hAnsi="Times New Roman"/>
          <w:sz w:val="20"/>
          <w:u w:val="single"/>
        </w:rPr>
        <w:t>Base Indenture</w:t>
      </w:r>
      <w:r>
        <w:rPr>
          <w:rFonts w:ascii="Times New Roman" w:hAnsi="Times New Roman"/>
          <w:sz w:val="20"/>
        </w:rPr>
        <w:t>”), among the Company, the guarantors listed in Schedule 2 hereto (the “</w:t>
      </w:r>
      <w:r>
        <w:rPr>
          <w:rFonts w:ascii="Times New Roman" w:hAnsi="Times New Roman"/>
          <w:sz w:val="20"/>
          <w:u w:val="single"/>
        </w:rPr>
        <w:t>Subsidiary Guarantors</w:t>
      </w:r>
      <w:r>
        <w:rPr>
          <w:rFonts w:ascii="Times New Roman" w:hAnsi="Times New Roman"/>
          <w:sz w:val="20"/>
        </w:rPr>
        <w:t>”), U.S. Bank Trust Company, National Association, as trustee (the “</w:t>
      </w:r>
      <w:r>
        <w:rPr>
          <w:rFonts w:ascii="Times New Roman" w:hAnsi="Times New Roman"/>
          <w:sz w:val="20"/>
          <w:u w:val="single"/>
        </w:rPr>
        <w:t>Trustee</w:t>
      </w:r>
      <w:r>
        <w:rPr>
          <w:rFonts w:ascii="Times New Roman" w:hAnsi="Times New Roman"/>
          <w:sz w:val="20"/>
        </w:rPr>
        <w:t>”), and JPMorgan Chase Bank, N.A., as collateral agent (the “</w:t>
      </w:r>
      <w:r>
        <w:rPr>
          <w:rFonts w:ascii="Times New Roman" w:hAnsi="Times New Roman"/>
          <w:sz w:val="20"/>
          <w:u w:val="single"/>
        </w:rPr>
        <w:t>Collateral Agent</w:t>
      </w:r>
      <w:r>
        <w:rPr>
          <w:rFonts w:ascii="Times New Roman" w:hAnsi="Times New Roman"/>
          <w:sz w:val="20"/>
        </w:rPr>
        <w:t>”), as supplemented and amended by a Supplemental Indenture to be dated as of August 20, 2026 (the “</w:t>
      </w:r>
      <w:r>
        <w:rPr>
          <w:rFonts w:ascii="Times New Roman" w:hAnsi="Times New Roman"/>
          <w:sz w:val="20"/>
          <w:u w:val="single"/>
        </w:rPr>
        <w:t>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among the Company, the Subsidiary Guarantors, the Trustee and the Collateral Agent, and will be guaranteed on a senior secured basis by each of the Subsidiary Guarantors (the “</w:t>
      </w:r>
      <w:r>
        <w:rPr>
          <w:rFonts w:ascii="Times New Roman" w:hAnsi="Times New Roman"/>
          <w:sz w:val="20"/>
          <w:u w:val="single"/>
        </w:rPr>
        <w:t>Guarantees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Subsidiary Guarantors hereby confirm their agreement with the several Underwriters concerning the purchase and sale of the Securities,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Statement</w:t>
      </w:r>
      <w:r>
        <w:rPr>
          <w:rFonts w:ascii="Times New Roman" w:hAnsi="Times New Roman"/>
          <w:sz w:val="20"/>
        </w:rPr>
        <w:t>. The Company has prepared and filed with the Securities and Exchange Commission (the “</w:t>
      </w:r>
      <w:r>
        <w:rPr>
          <w:rFonts w:ascii="Times New Roman" w:hAnsi="Times New Roman"/>
          <w:sz w:val="20"/>
          <w:u w:val="single"/>
        </w:rPr>
        <w:t>Commission</w:t>
      </w:r>
      <w:r>
        <w:rPr>
          <w:rFonts w:ascii="Times New Roman" w:hAnsi="Times New Roman"/>
          <w:sz w:val="20"/>
        </w:rPr>
        <w:t>”) under the Securities Act of 1933, as amended, and the rules and regulations of the Commission thereunder (collectively, the “</w:t>
      </w:r>
      <w:r>
        <w:rPr>
          <w:rFonts w:ascii="Times New Roman" w:hAnsi="Times New Roman"/>
          <w:sz w:val="20"/>
          <w:u w:val="single"/>
        </w:rPr>
        <w:t>Securities Act</w:t>
      </w:r>
      <w:r>
        <w:rPr>
          <w:rFonts w:ascii="Times New Roman" w:hAnsi="Times New Roman"/>
          <w:sz w:val="20"/>
        </w:rPr>
        <w:t>”), a registration statement on Form S-3 (File No. 333-282135), including a prospectus, relating to the Securities, and has filed Post-Effective Amendment No. 1 thereto (the “Post-Effective Amendment”) with the Commission for the purpose of adding specified subsidiaries as additional co-registrants with respect to their guarantees of the Securities. Such registration statement, as amended by the Post-Effective Amendment and as otherwise amended at the time it became effective, including the information, if any, deemed pursuant to Rule 430A, 430B or 430C under the Securities Act to be part of the registration statement at the time of its effectiveness (“</w:t>
      </w:r>
      <w:r>
        <w:rPr>
          <w:rFonts w:ascii="Times New Roman" w:hAnsi="Times New Roman"/>
          <w:sz w:val="20"/>
          <w:u w:val="single"/>
        </w:rPr>
        <w:t>Rule 430 Information</w:t>
      </w:r>
      <w:r>
        <w:rPr>
          <w:rFonts w:ascii="Times New Roman" w:hAnsi="Times New Roman"/>
          <w:sz w:val="20"/>
        </w:rPr>
        <w:t>”), is referred to herein as the “</w:t>
      </w:r>
      <w:r>
        <w:rPr>
          <w:rFonts w:ascii="Times New Roman" w:hAnsi="Times New Roman"/>
          <w:sz w:val="20"/>
          <w:u w:val="single"/>
        </w:rPr>
        <w:t>Registration Statement</w:t>
      </w:r>
      <w:r>
        <w:rPr>
          <w:rFonts w:ascii="Times New Roman" w:hAnsi="Times New Roman"/>
          <w:sz w:val="20"/>
        </w:rPr>
        <w:t>”; provided, however, that the term “Registration Statement” shall not include any prospectus supplement filed pursuant to Rule 424(b) under the Securities Act relating to any offering of securities pursuant to the Registration Statement other than the Securities; and as used herein, the term “</w:t>
      </w:r>
      <w:r>
        <w:rPr>
          <w:rFonts w:ascii="Times New Roman" w:hAnsi="Times New Roman"/>
          <w:sz w:val="20"/>
          <w:u w:val="single"/>
        </w:rPr>
        <w:t>Preliminary Prospectus</w:t>
      </w:r>
      <w:r>
        <w:rPr>
          <w:rFonts w:ascii="Times New Roman" w:hAnsi="Times New Roman"/>
          <w:sz w:val="20"/>
        </w:rPr>
        <w:t>”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in each case to the extent relating to the Securities, and the term “</w:t>
      </w:r>
      <w:r>
        <w:rPr>
          <w:rFonts w:ascii="Times New Roman" w:hAnsi="Times New Roman"/>
          <w:sz w:val="20"/>
          <w:u w:val="single"/>
        </w:rPr>
        <w:t>Prospectus</w:t>
      </w:r>
      <w:r>
        <w:rPr>
          <w:rFonts w:ascii="Times New Roman" w:hAnsi="Times New Roman"/>
          <w:sz w:val="20"/>
        </w:rPr>
        <w:t>” means the prospectus in the form first used (or made available upon request of purchasers pursuant to Rule 173 under the Securities Act) in connection with confirmation of sales of the Securities. Any reference in this agreement (this “</w:t>
      </w:r>
      <w:r>
        <w:rPr>
          <w:rFonts w:ascii="Times New Roman" w:hAnsi="Times New Roman"/>
          <w:sz w:val="20"/>
          <w:u w:val="single"/>
        </w:rPr>
        <w:t>Agreement</w:t>
      </w:r>
      <w:r>
        <w:rPr>
          <w:rFonts w:ascii="Times New Roman" w:hAnsi="Times New Roman"/>
          <w:sz w:val="20"/>
        </w:rPr>
        <w: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Times New Roman" w:hAnsi="Times New Roman"/>
          <w:sz w:val="20"/>
          <w:u w:val="single"/>
        </w:rPr>
        <w:t>amend</w:t>
      </w:r>
      <w:r>
        <w:rPr>
          <w:rFonts w:ascii="Times New Roman" w:hAnsi="Times New Roman"/>
          <w:sz w:val="20"/>
        </w:rPr>
        <w:t>,” “</w:t>
      </w:r>
      <w:r>
        <w:rPr>
          <w:rFonts w:ascii="Times New Roman" w:hAnsi="Times New Roman"/>
          <w:sz w:val="20"/>
          <w:u w:val="single"/>
        </w:rPr>
        <w:t>amendment</w:t>
      </w:r>
      <w:r>
        <w:rPr>
          <w:rFonts w:ascii="Times New Roman" w:hAnsi="Times New Roman"/>
          <w:sz w:val="20"/>
        </w:rPr>
        <w:t>” or “</w:t>
      </w:r>
      <w:r>
        <w:rPr>
          <w:rFonts w:ascii="Times New Roman" w:hAnsi="Times New Roman"/>
          <w:sz w:val="20"/>
          <w:u w:val="single"/>
        </w:rPr>
        <w:t>supplement</w:t>
      </w:r>
      <w:r>
        <w:rPr>
          <w:rFonts w:ascii="Times New Roman" w:hAnsi="Times New Roman"/>
          <w:sz w:val="20"/>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 w:hAnsi="Times New Roman"/>
          <w:sz w:val="20"/>
          <w:u w:val="single"/>
        </w:rPr>
        <w:t>Exchange Act</w:t>
      </w:r>
      <w:r>
        <w:rPr>
          <w:rFonts w:ascii="Times New Roman" w:hAnsi="Times New Roman"/>
          <w:sz w:val="20"/>
        </w:rPr>
        <w:t xml:space="preserve">”) that are deemed to be incorporated by reference therein; provided, further, that no prospectus supplement filed pursuant to Rule 424(b) under the Securities Act relating to any offering completed prior to the date of this Agreement shall constitute an amendment or supplement to the Registration Statement, any Preliminary Prospectus or the Prospectus for any purpose of this Agreement. Capitalized terms used but not defined herein shall have the meanings given to such terms in the Registration Statement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At or prior to the time when sales of the Securities were first made (the “</w:t>
      </w:r>
      <w:r>
        <w:rPr>
          <w:rFonts w:ascii="Times New Roman" w:hAnsi="Times New Roman"/>
          <w:sz w:val="20"/>
          <w:u w:val="single"/>
        </w:rPr>
        <w:t>Time of Sale</w:t>
      </w:r>
      <w:r>
        <w:rPr>
          <w:rFonts w:ascii="Times New Roman" w:hAnsi="Times New Roman"/>
          <w:sz w:val="20"/>
        </w:rPr>
        <w:t>”), the Company shall have prepared (collectively, the “</w:t>
      </w:r>
      <w:r>
        <w:rPr>
          <w:rFonts w:ascii="Times New Roman" w:hAnsi="Times New Roman"/>
          <w:sz w:val="20"/>
          <w:u w:val="single"/>
        </w:rPr>
        <w:t>Time of Sale Information</w:t>
      </w:r>
      <w:r>
        <w:rPr>
          <w:rFonts w:ascii="Times New Roman" w:hAnsi="Times New Roman"/>
          <w:sz w:val="20"/>
        </w:rPr>
        <w:t>”): a Preliminary Prospectus dated August 10, 2026, and each “</w:t>
      </w:r>
      <w:r>
        <w:rPr>
          <w:rFonts w:ascii="Times New Roman" w:hAnsi="Times New Roman"/>
          <w:sz w:val="20"/>
          <w:u w:val="single"/>
        </w:rPr>
        <w:t>free-writing prospectus</w:t>
      </w:r>
      <w:r>
        <w:rPr>
          <w:rFonts w:ascii="Times New Roman" w:hAnsi="Times New Roman"/>
          <w:sz w:val="20"/>
        </w:rPr>
        <w:t xml:space="preserve">” (as defined pursuant to Rule 405 under the Securities Act) listed on Annex A hereto. </w:t>
      </w:r>
    </w:p>
    <w:p>
      <w:pPr>
        <w:pStyle w:val="TextBody"/>
        <w:bidi w:val="0"/>
        <w:spacing w:before="240" w:after="0"/>
        <w:jc w:val="left"/>
        <w:rPr>
          <w:rFonts w:ascii="Times New Roman" w:hAnsi="Times New Roman"/>
          <w:sz w:val="20"/>
        </w:rPr>
      </w:pPr>
      <w:r>
        <w:rPr>
          <w:rFonts w:ascii="Times New Roman" w:hAnsi="Times New Roman"/>
          <w:sz w:val="20"/>
        </w:rPr>
        <w:t>The Company intends to use the proceeds of the offering to repay at maturity in September 2026 the Company’s 1.650% senior secured notes due 2026 (the “</w:t>
      </w:r>
      <w:r>
        <w:rPr>
          <w:rFonts w:ascii="Times New Roman" w:hAnsi="Times New Roman"/>
          <w:sz w:val="20"/>
          <w:u w:val="single"/>
        </w:rPr>
        <w:t>Existing 2026 Notes</w:t>
      </w:r>
      <w:r>
        <w:rPr>
          <w:rFonts w:ascii="Times New Roman" w:hAnsi="Times New Roman"/>
          <w:sz w:val="20"/>
        </w:rPr>
        <w:t xml:space="preserve">”) and amounts outstanding under our current revolving loan facility, and for general corporate purposes. Until we use the proceeds of this offering to repay the Existing 2026 Notes at maturity, we will invest any proceeds not used to repay amounts outstanding under the revolving credit facility in short-term interest-bearing investments. </w:t>
      </w:r>
    </w:p>
    <w:p>
      <w:pPr>
        <w:pStyle w:val="TextBody"/>
        <w:bidi w:val="0"/>
        <w:spacing w:before="240" w:after="0"/>
        <w:jc w:val="left"/>
        <w:rPr>
          <w:rFonts w:ascii="Times New Roman" w:hAnsi="Times New Roman"/>
          <w:sz w:val="20"/>
        </w:rPr>
      </w:pPr>
      <w:r>
        <w:rPr>
          <w:rFonts w:ascii="Times New Roman" w:hAnsi="Times New Roman"/>
          <w:sz w:val="20"/>
        </w:rPr>
        <w:t>The Securities and the guarantees granted by the Subsidiary Guarantors will be secured by first-priority liens, subject to Permitted Liens (as defined below), on certain of the Company’s and the Subsidiary Guarantors’ assets now owned or acquired in the future by the Company and the Subsidiary Guarantors, other than (a) the Company’s real property, (b) accounts receivable sold pursuant to a Company receivables facility as permitted by the senior secured credit facilities outstanding under its Credit Agreement, dated as of November 15, 2010 and amended and restated as of September 12, 2012, August 7, 2014, October 23, 2018, August 24, 2021, June 23, 2022, September 26, 2024, April 22, 2026 and July 20, 2026, among the Company, JPMorgan Chase Bank, N.A., as administrative agent, the lenders party thereto and certain other parties thereto (collectively, the “</w:t>
      </w:r>
      <w:r>
        <w:rPr>
          <w:rFonts w:ascii="Times New Roman" w:hAnsi="Times New Roman"/>
          <w:sz w:val="20"/>
          <w:u w:val="single"/>
        </w:rPr>
        <w:t>Senior Credit Facilities</w:t>
      </w:r>
      <w:r>
        <w:rPr>
          <w:rFonts w:ascii="Times New Roman" w:hAnsi="Times New Roman"/>
          <w:sz w:val="20"/>
        </w:rPr>
        <w:t>”), and (c) certain other excluded assets as described in the Indenture and the Collateral Documents (as defined below) (the “</w:t>
      </w:r>
      <w:r>
        <w:rPr>
          <w:rFonts w:ascii="Times New Roman" w:hAnsi="Times New Roman"/>
          <w:sz w:val="20"/>
          <w:u w:val="single"/>
        </w:rPr>
        <w:t>Collateral</w:t>
      </w:r>
      <w:r>
        <w:rPr>
          <w:rFonts w:ascii="Times New Roman" w:hAnsi="Times New Roman"/>
          <w:sz w:val="20"/>
        </w:rPr>
        <w:t>”). The Collateral will also secure on a first-priority basis the Senior Credit Facilities and the $700,000,000 principal amount of the Existing 2026 Notes, the $500,000,000 principal amount of 4.625% Senior Secured Notes due 2029, the $800,000,000 principal amount of 2.650% senior secured notes due 2030, the $500,000,000 principal amount of 2.650% senior secured notes due 2032, and the $500,000,000 principal amount of 5.050% Senior Secured Notes due 2034 (collectively, the “</w:t>
      </w:r>
      <w:r>
        <w:rPr>
          <w:rFonts w:ascii="Times New Roman" w:hAnsi="Times New Roman"/>
          <w:sz w:val="20"/>
          <w:u w:val="single"/>
        </w:rPr>
        <w:t>Existing Secured Notes</w:t>
      </w:r>
      <w:r>
        <w:rPr>
          <w:rFonts w:ascii="Times New Roman" w:hAnsi="Times New Roman"/>
          <w:sz w:val="20"/>
        </w:rPr>
        <w:t>”). The Collateral shall be described in: (a) with respect to personal property that constitutes Collateral, the Amended and Restated Collateral Agreement, dated as of August 7, 2014, entered into by the Company, the Subsidiary Guarantors and the Collateral Agent (as amended, restated, amended and restated, modified and/or supplemented to the date hereof, the “</w:t>
      </w:r>
      <w:r>
        <w:rPr>
          <w:rFonts w:ascii="Times New Roman" w:hAnsi="Times New Roman"/>
          <w:sz w:val="20"/>
          <w:u w:val="single"/>
        </w:rPr>
        <w:t>Base Security Agreement</w:t>
      </w:r>
      <w:r>
        <w:rPr>
          <w:rFonts w:ascii="Times New Roman" w:hAnsi="Times New Roman"/>
          <w:sz w:val="20"/>
        </w:rPr>
        <w:t>”) and the Additional Authorized Representative Joinder Agreement, to be dated as of the Closing Date (as defined below), to be entered into by the Company, the Subsidiary Guarantors, the Collateral Agent, the Existing Authorized Representatives (as defined therein) and the Trustee as an Additional Authorized Representative (the “</w:t>
      </w:r>
      <w:r>
        <w:rPr>
          <w:rFonts w:ascii="Times New Roman" w:hAnsi="Times New Roman"/>
          <w:sz w:val="20"/>
          <w:u w:val="single"/>
        </w:rPr>
        <w:t>Joinder</w:t>
      </w:r>
      <w:r>
        <w:rPr>
          <w:rFonts w:ascii="Times New Roman" w:hAnsi="Times New Roman"/>
          <w:sz w:val="20"/>
        </w:rPr>
        <w:t>” and, together with the Base Security Agreement, the “</w:t>
      </w:r>
      <w:r>
        <w:rPr>
          <w:rFonts w:ascii="Times New Roman" w:hAnsi="Times New Roman"/>
          <w:sz w:val="20"/>
          <w:u w:val="single"/>
        </w:rPr>
        <w:t>Security Agreement</w:t>
      </w:r>
      <w:r>
        <w:rPr>
          <w:rFonts w:ascii="Times New Roman" w:hAnsi="Times New Roman"/>
          <w:sz w:val="20"/>
        </w:rPr>
        <w:t xml:space="preserve">”); and (b) with respect to the grants of security interests in registrations and/or applications for trademarks, patents and copyrights (and exclusive licenses in any of the foregoing), in the Security Agreement or, respectively, the Grant of Security Interest in Trademark Rights, dated as of August 7, 2014, entered into by UHS of Delaware, Inc., Ascend Health Corporation and the Collateral Agent, the Grants of Security Interest in Trademark Rights, dated as of June 3, 2016, October 31, 2018 and September 21, 2020, entered into by UHS of Delaware, Inc. and the Collateral Agent, and the Supplemental Grants of Security Interest in Trademark Rights, dated as of August 24, 2021, June 23, 2022 and September 26, 2024, entered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into by UHS of Delaware, Inc. and the Collateral Agent (collectively, the “</w:t>
      </w:r>
      <w:r>
        <w:rPr>
          <w:rFonts w:ascii="Times New Roman" w:hAnsi="Times New Roman"/>
          <w:sz w:val="20"/>
          <w:u w:val="single"/>
        </w:rPr>
        <w:t>Trademark Security Agreements</w:t>
      </w:r>
      <w:r>
        <w:rPr>
          <w:rFonts w:ascii="Times New Roman" w:hAnsi="Times New Roman"/>
          <w:sz w:val="20"/>
        </w:rPr>
        <w:t>”), the Grant of Security Interest in Copyright Rights, dated as of August 7, 2014, entered into by UHS of Delaware, Inc., the Company, Horizon Mental Health Management, LLC and the Collateral Agent, the Grant of Security Interest in Copyright Rights, dated as of June 3, 2016, entered into by UHS of Delaware, Inc., the Company, Horizon Mental Health Management, LLC and the Collateral Agent, the Grant of Security Interest in Copyright Rights, dated as of September 21, 2020, entered into by UHS of Delaware, Inc. and the Collateral Agent and the Grant of Security Interest in Copyright Rights, dated as of December 4, 2020, entered into by UHS of Delaware, Inc., UHP, LP, Horizon Mental Health Management, LLC and the Collateral Agent (collectively, the “</w:t>
      </w:r>
      <w:r>
        <w:rPr>
          <w:rFonts w:ascii="Times New Roman" w:hAnsi="Times New Roman"/>
          <w:sz w:val="20"/>
          <w:u w:val="single"/>
        </w:rPr>
        <w:t>Copyright Security Agreements</w:t>
      </w:r>
      <w:r>
        <w:rPr>
          <w:rFonts w:ascii="Times New Roman" w:hAnsi="Times New Roman"/>
          <w:sz w:val="20"/>
        </w:rPr>
        <w:t>”) or any Patent Security Agreement (the “</w:t>
      </w:r>
      <w:r>
        <w:rPr>
          <w:rFonts w:ascii="Times New Roman" w:hAnsi="Times New Roman"/>
          <w:sz w:val="20"/>
          <w:u w:val="single"/>
        </w:rPr>
        <w:t>Patent Security Agreement</w:t>
      </w:r>
      <w:r>
        <w:rPr>
          <w:rFonts w:ascii="Times New Roman" w:hAnsi="Times New Roman"/>
          <w:sz w:val="20"/>
        </w:rPr>
        <w:t>”), each, if necessary, to be amended, amended and restated or supplemented as of the Closing Date (the Trademark Security Agreements, Copyright Security Agreements and Patent Security Agreement, together with any amendments, amendments and restatements or supplements thereof, collectively, the “</w:t>
      </w:r>
      <w:r>
        <w:rPr>
          <w:rFonts w:ascii="Times New Roman" w:hAnsi="Times New Roman"/>
          <w:sz w:val="20"/>
          <w:u w:val="single"/>
        </w:rPr>
        <w:t>Intellectual Property Security Agreements</w:t>
      </w:r>
      <w:r>
        <w:rPr>
          <w:rFonts w:ascii="Times New Roman" w:hAnsi="Times New Roman"/>
          <w:sz w:val="20"/>
        </w:rPr>
        <w:t>”), each delivered or to be delivered to the Collateral Agent, granting a first-priority security interest in the Collateral, subject to Permitted Liens, to the Collateral Agent for the benefit of the First Lien Secured Parties (as defined in the Collateral Documents). The term “</w:t>
      </w:r>
      <w:r>
        <w:rPr>
          <w:rFonts w:ascii="Times New Roman" w:hAnsi="Times New Roman"/>
          <w:sz w:val="20"/>
          <w:u w:val="single"/>
        </w:rPr>
        <w:t>Collateral Documents</w:t>
      </w:r>
      <w:r>
        <w:rPr>
          <w:rFonts w:ascii="Times New Roman" w:hAnsi="Times New Roman"/>
          <w:sz w:val="20"/>
        </w:rPr>
        <w:t>,” as used herein, shall mean the Security Agreement and any Intellectual Property Security Agreement. The issuance and sale of the Securities, the issuance of the Guarantees, the execution and delivery of the Supplemental Indenture and the Collateral Documents are referred to collectively as the “</w:t>
      </w:r>
      <w:r>
        <w:rPr>
          <w:rFonts w:ascii="Times New Roman" w:hAnsi="Times New Roman"/>
          <w:sz w:val="20"/>
          <w:u w:val="single"/>
        </w:rPr>
        <w:t>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of the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1 hereto at a price equal to 99.337% of the principal amount thereof in the case of the 2031 Notes and at a price equal to 98.709% of the principal amount thereof in the case of the 2036 Notes plus, in each case, accrued interest, if any, from August 20, 2026 to the Closing Date (as defined below). The Company will not be obligated to deliver any of the Securities except upon payment for all the Securities to be purchased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 </w:t>
      </w:r>
    </w:p>
    <w:p>
      <w:pPr>
        <w:pStyle w:val="TextBody"/>
        <w:bidi w:val="0"/>
        <w:spacing w:before="240" w:after="0"/>
        <w:jc w:val="left"/>
        <w:rPr>
          <w:rFonts w:ascii="Times New Roman" w:hAnsi="Times New Roman"/>
          <w:sz w:val="20"/>
        </w:rPr>
      </w:pPr>
      <w:r>
        <w:rPr>
          <w:rFonts w:ascii="Times New Roman" w:hAnsi="Times New Roman"/>
          <w:sz w:val="20"/>
        </w:rPr>
        <w:t>(c) Payment for and delivery of the Securities will be made at the offices of Simpson Thacher &amp; Bartlett LLP at 10:00 A.M., New York City time, on August 20, 2026, or at such other time or place on the same or such other date, not later than the tenth business day thereafter, as the Representatives and the Company may agree upon in writing. The time and date of such payment and delivery is referred to herein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Payment for the Securities shall be made by wire transfer in immediately available funds to the account(s) specified by the Company to the Representatives against delivery to the nominee of The Depository Trust Company (“</w:t>
      </w:r>
      <w:r>
        <w:rPr>
          <w:rFonts w:ascii="Times New Roman" w:hAnsi="Times New Roman"/>
          <w:sz w:val="20"/>
          <w:u w:val="single"/>
        </w:rPr>
        <w:t>DTC</w:t>
      </w:r>
      <w:r>
        <w:rPr>
          <w:rFonts w:ascii="Times New Roman" w:hAnsi="Times New Roman"/>
          <w:sz w:val="20"/>
        </w:rPr>
        <w:t>”), for the account of the Underwriters, of one or more global notes representing the Securities of each series (collectively, the “</w:t>
      </w:r>
      <w:r>
        <w:rPr>
          <w:rFonts w:ascii="Times New Roman" w:hAnsi="Times New Roman"/>
          <w:sz w:val="20"/>
          <w:u w:val="single"/>
        </w:rPr>
        <w:t>Global Notes</w:t>
      </w:r>
      <w:r>
        <w:rPr>
          <w:rFonts w:ascii="Times New Roman" w:hAnsi="Times New Roman"/>
          <w:sz w:val="20"/>
        </w:rPr>
        <w:t xml:space="preserve">”), with any transfer taxes payable in connection with the sale of the Securities duly paid by the Company. The Global Notes will be made available for inspection by the Representatives not later than 1:00 P.M., New York City time, on the business day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(e) The Company and the Subsidiary Guarantors jointly and severally acknowledge and agree that each Underwriter is acting solely in the capacity of an arm’s length contractual counterparty to the Company and the Subsidiary Guarantors with respect to the offering of Securities contemplated hereby (including in connection with determining the terms of the offering) and not as a financial advisor or a fiduciary to, or an agent of, the Company, the Subsidiary Guarantors or any other person. Additionally, neither the Representatives nor any other Underwriter is advising the Company, the Subsidiary Guarantors or any other person as to any legal, tax, investment, accounting or regulatory matters in any jurisdiction. The Company and the Subsidiary Guarantors shall consult with their own advisors concerning such matters and shall be responsible for making their own independent investigation and appraisal of the transactions contemplated hereby, and neither the Representatives nor the Underwriters shall have any responsibility or liability to the Company or the Subsidiary Guarantors with respect thereto. Any review by the Representatives or any Underwriter of the Company, the Subsidiary Guarantors, the transactions contemplated hereby or other matters relating to such transactions will be performed solely for the benefit of the Representatives or such Underwriter, as the case may be, and shall not be on behalf of the Company or the Subsidiary Guarantors, as the case may be,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 and the Subsidiary Guarantors</w:t>
      </w:r>
      <w:r>
        <w:rPr>
          <w:rFonts w:ascii="Times New Roman" w:hAnsi="Times New Roman"/>
          <w:sz w:val="20"/>
        </w:rPr>
        <w:t xml:space="preserve">. The Company and the Subsidiary Guarantors jointly and severally represent and warrant to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Preliminary Prospectus.</w:t>
      </w:r>
      <w:r>
        <w:rPr>
          <w:rFonts w:ascii="Times New Roman" w:hAnsi="Times New Roman"/>
          <w:sz w:val="20"/>
        </w:rPr>
        <w:t xml:space="preserve"> No order preventing or suspending the use of any Preliminary Prospectus has been issued by the Commission, and each Preliminary Prospectus, at the time of filing thereof, complied in all material respects with the Securities Act and did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and the Subsidiary Guarantors make no representation or warranty with respect to any statements or omissions made in reliance upon and in conformity with information relating to any Underwriter furnished to the Company and the Subsidiary Guarantors in writing by such Underwriter through the Representatives expressly for use in any Preliminary Prospectus.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Time of Sale Information</w:t>
      </w:r>
      <w:r>
        <w:rPr>
          <w:rFonts w:ascii="Times New Roman" w:hAnsi="Times New Roman"/>
          <w:sz w:val="20"/>
        </w:rPr>
        <w:t xml:space="preserve">.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and the Subsidiary Guarantors make no representation or warranty with respect to any statements or omissions made in reliance upon and in conformity with information relating to any Underwriter furnished to the Company in writing by such Underwriter through the Representatives expressly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use in the Preliminary Prospectus, the Time of Sale Information or the Prospectus. No statement of material fact included in the Prospectus has been omitted from the Time of Sale Information and no statement of material fact included in the Time of Sale Information that is required to be included in the Prospectus has been omitted therefrom.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Issuer</w:t>
      </w:r>
      <w:r>
        <w:rPr>
          <w:rFonts w:ascii="Times New Roman" w:hAnsi="Times New Roman"/>
          <w:sz w:val="20"/>
        </w:rPr>
        <w:t xml:space="preserve"> </w:t>
      </w:r>
      <w:r>
        <w:rPr>
          <w:rFonts w:ascii="Times New Roman" w:hAnsi="Times New Roman"/>
          <w:i/>
          <w:sz w:val="20"/>
        </w:rPr>
        <w:t xml:space="preserve">Free Writing Prospectus. </w:t>
      </w:r>
      <w:r>
        <w:rPr>
          <w:rFonts w:ascii="Times New Roman" w:hAnsi="Times New Roman"/>
          <w:sz w:val="20"/>
        </w:rPr>
        <w:t>The Company and the Subsidiary Guarantors (including their respective agents and representatives, other than the Underwriters in their capacity as such) have not prepared, made, used, authorized, approved or referred to and will not prepare, make, use, authorize, approve or refer to any “</w:t>
      </w:r>
      <w:r>
        <w:rPr>
          <w:rFonts w:ascii="Times New Roman" w:hAnsi="Times New Roman"/>
          <w:sz w:val="20"/>
          <w:u w:val="single"/>
        </w:rPr>
        <w:t>written communication</w:t>
      </w:r>
      <w:r>
        <w:rPr>
          <w:rFonts w:ascii="Times New Roman" w:hAnsi="Times New Roman"/>
          <w:sz w:val="20"/>
        </w:rPr>
        <w:t>” (as defined in Rule 405 under the Securities Act) that constitutes an offer to sell or solicitation of an offer to buy the Securities (each such communication by the Company and the Subsidiary Guarantors or their agents and representatives (other than a communication referred to in clauses (i) (ii) and (iii) below) an “</w:t>
      </w:r>
      <w:r>
        <w:rPr>
          <w:rFonts w:ascii="Times New Roman" w:hAnsi="Times New Roman"/>
          <w:sz w:val="20"/>
          <w:u w:val="single"/>
        </w:rPr>
        <w:t>Issuer Free Writing Prospectus</w:t>
      </w:r>
      <w:r>
        <w:rPr>
          <w:rFonts w:ascii="Times New Roman" w:hAnsi="Times New Roman"/>
          <w:sz w:val="20"/>
        </w:rPr>
        <w:t xml:space="preserve">”) other than (i) any document not constituting a prospectus pursuant to Section 2(a)(10)(a) of the Securities Act or Rule 134 under the Securities Act, (ii) the Preliminary Prospectus, (iii) the Prospectus, (iv) the documents listed on Annex A hereto, including a Pricing Term Sheet substantially in the form of Annex B hereto, which constitute part of the Time of Sale Information and (v) any electronic road show or other written communications, in each case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and the Subsidiary Guarantors make no representation or warranty with respect to any statements or omissions made in each such Issuer Free Writing Prospectus in reliance upon and in conformity with information relating to any Underwriter furnished to the Company and the Subsidiary Guarantors in writing by such Underwriter through the Representatives expressly for use in any Issuer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Registration Statement and Prospectus.</w:t>
      </w:r>
      <w:r>
        <w:rPr>
          <w:rFonts w:ascii="Times New Roman" w:hAnsi="Times New Roman"/>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Company’s knowledge,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Times New Roman" w:hAnsi="Times New Roman"/>
          <w:sz w:val="20"/>
          <w:u w:val="single"/>
        </w:rPr>
        <w:t>Trust Indenture Act</w:t>
      </w:r>
      <w:r>
        <w:rPr>
          <w:rFonts w:ascii="Times New Roman" w:hAnsi="Times New Roman"/>
          <w:sz w:val="20"/>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which they were made, not misleading; </w:t>
      </w:r>
      <w:r>
        <w:rPr>
          <w:rFonts w:ascii="Times New Roman" w:hAnsi="Times New Roman"/>
          <w:sz w:val="20"/>
          <w:u w:val="single"/>
        </w:rPr>
        <w:t>provided</w:t>
      </w:r>
      <w:r>
        <w:rPr>
          <w:rFonts w:ascii="Times New Roman" w:hAnsi="Times New Roman"/>
          <w:sz w:val="20"/>
        </w:rPr>
        <w:t xml:space="preserve"> that the Company and the Subsidiary Guarantors make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Incorporated Documents.</w:t>
      </w:r>
      <w:r>
        <w:rPr>
          <w:rFonts w:ascii="Times New Roman" w:hAnsi="Times New Roman"/>
          <w:sz w:val="20"/>
        </w:rPr>
        <w:t xml:space="preserve"> The documents incorporated by reference in each of the Registration Statement, the Prospectus and the Time of Sale Information,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Financial Statements.</w:t>
      </w:r>
      <w:r>
        <w:rPr>
          <w:rFonts w:ascii="Times New Roman" w:hAnsi="Times New Roman"/>
          <w:sz w:val="20"/>
        </w:rPr>
        <w:t xml:space="preserve"> The financial statements and the related notes thereto included or incorporated by reference in each of the Registration Statement, the Time of Sale Information and the Prospectus comply in all material respects with the applicable requirements of the Securities Act and the Exchange Act, as applicable, and present fairly the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w:t>
      </w:r>
      <w:r>
        <w:rPr>
          <w:rFonts w:ascii="Times New Roman" w:hAnsi="Times New Roman"/>
          <w:sz w:val="20"/>
          <w:u w:val="single"/>
        </w:rPr>
        <w:t>GAAP</w:t>
      </w:r>
      <w:r>
        <w:rPr>
          <w:rFonts w:ascii="Times New Roman" w:hAnsi="Times New Roman"/>
          <w:sz w:val="20"/>
        </w:rPr>
        <w:t xml:space="preserve">”) applied on a consistent basis throughout the periods covered thereby, and the supporting schedules included or incorporated by reference in each of the Registration Statement, the Prospectus and the Time of Sale Information present fairly the information required to be stated therein; and the other financial information included or incorporated by reference in each of the Registration Statement, the Time of Sale Information and the Prospectus has been derived from the accounting records of the Company and its subsidiaries and presents fairly the information shown thereby. The interactive data in eXtensible Business Reporting Language incorporated by reference in the Registration Statement, the Prospectus and the Time of Sale Information fairly presents the information called for in all material respects and is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No Material Adverse Change.</w:t>
      </w:r>
      <w:r>
        <w:rPr>
          <w:rFonts w:ascii="Times New Roman" w:hAnsi="Times New Roman"/>
          <w:sz w:val="20"/>
        </w:rPr>
        <w:t xml:space="preserve"> Since the date of the most recent financial statements of the Company included or incorporated by reference in each of the Registration Statement, the Time of Sale Information and the Prospectus, (i) there has not been any material change in the capital stock or long-term debt of the Company or any of its subsidiaries, or any dividend or distribution of any kind declared, set aside for payment, paid or made by the Company on any class of capital stock (other than the Company’s regular quarterly dividend and distributions by joint ventures of the Company in the ordinary course of business), or any material adverse change, or any development involving a prospective material adverse change, in or affecting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properties, rights, assets, management, financial position, results of operations or prospects of the Company and its subsidiaries taken as a whole;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and (iii) neither the Company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each of the Registration Statement,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Organization and Good Standing.</w:t>
      </w:r>
      <w:r>
        <w:rPr>
          <w:rFonts w:ascii="Times New Roman" w:hAnsi="Times New Roman"/>
          <w:sz w:val="20"/>
        </w:rPr>
        <w:t xml:space="preserve"> The Company and each of its subsidiaries have been duly organized and are validly existing and in good standing under the laws of their respective jurisdictions of organization, with power and authority (corporate and other) to own their properties and conduct their business as described in the Time of Sale Information and the Prospectus, and have been duly qualified as foreign companies or corporations, as the case may be, for the transaction of business and are in good standing under the laws of each other jurisdiction in which they own or lease properties or conduct any business so as to require such qualification, except where the failure to be so qualified, or in good standing would not, individually or in the aggregate, have a material adverse effect on the business, properties, rights, assets, management, financial position, stockholder’s equity or results of operations or prospects of the Company and its subsidiaries taken as a whole, or on the performance by the Company and the Subsidiary Guarantors of their obligations under this Agreement, the Securities, the Guarantees and the Collateral Documents (a “</w:t>
      </w:r>
      <w:r>
        <w:rPr>
          <w:rFonts w:ascii="Times New Roman" w:hAnsi="Times New Roman"/>
          <w:sz w:val="20"/>
          <w:u w:val="single"/>
        </w:rPr>
        <w:t>Material Adverse Effect</w:t>
      </w:r>
      <w:r>
        <w:rPr>
          <w:rFonts w:ascii="Times New Roman" w:hAnsi="Times New Roman"/>
          <w:sz w:val="20"/>
        </w:rPr>
        <w:t xml:space="preserve">”). The Subsidiary Guarantors set forth on Schedule 2 hereto represent all of the Company’s direct and indirect material subsidiaries, except to the extent any such direct or indirect material subsidiaries are not required to be Subsidiary Guarantors under the terms of the Senior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Capitalization.</w:t>
      </w:r>
      <w:r>
        <w:rPr>
          <w:rFonts w:ascii="Times New Roman" w:hAnsi="Times New Roman"/>
          <w:sz w:val="20"/>
        </w:rPr>
        <w:t xml:space="preserve"> The Company had, as of the date specified, the capitalization as set forth in each of the Registration Statement, the Time of Sale Information and the Prospectus under the heading “Capitalization”; and all the outstanding shares of capital stock or other equity interests of each subsidiary of the Company have been duly and validly authorized and issued, are fully paid and non-assessable and are owned directly or indirectly by the Company (other than capital stock or other equity interests of the holders of minority interests in joint ventures of the Company), free and clear of any lien, charge, encumbrance, security interest, restriction on voting or transfer or any other claim of any third party (other than the lien on capital stock or other equity interests of any subsidiary of the Company securing the Senior Credit Facilities and the Existing Secured Notes).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Due Authorization.</w:t>
      </w:r>
      <w:r>
        <w:rPr>
          <w:rFonts w:ascii="Times New Roman" w:hAnsi="Times New Roman"/>
          <w:sz w:val="20"/>
        </w:rPr>
        <w:t xml:space="preserve"> The Company and each of the Subsidiary Guarantors have full right, power and authority to execute and deliver this Agreement, the Securities, the Guarantees, the Indenture and the Collateral Documents (collectively, the “</w:t>
      </w:r>
      <w:r>
        <w:rPr>
          <w:rFonts w:ascii="Times New Roman" w:hAnsi="Times New Roman"/>
          <w:sz w:val="20"/>
          <w:u w:val="single"/>
        </w:rPr>
        <w:t>Transaction Documents</w:t>
      </w:r>
      <w:r>
        <w:rPr>
          <w:rFonts w:ascii="Times New Roman" w:hAnsi="Times New Roman"/>
          <w:sz w:val="20"/>
        </w:rPr>
        <w:t xml:space="preserve">”) and to perform their respective obligations hereunder and thereunder; and all action required to be taken for the due and proper authorization, execution and delivery of each of the Transaction Documents and the consummation of the transactions contemplated thereby by the Company and the Subsidiary Guarantors has been duly and validly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The Indenture. </w:t>
      </w:r>
      <w:r>
        <w:rPr>
          <w:rFonts w:ascii="Times New Roman" w:hAnsi="Times New Roman"/>
          <w:sz w:val="20"/>
        </w:rPr>
        <w:t>The Base Indenture has been duly authorized, executed and delivered by the Company and each of the Subsidiary Guarantors; and the Supplemental Indenture has been duly authorized by the Company and each of the Subsidiary Guarantors and, when duly executed and delivered in accordance with its terms by each of the parties thereto, the Indenture will constitute a valid and legally binding agreement of the Company and each of the Subsidiary Guarantors enforceable against the Company and each of the Subsidiary Guarantors in accordance with its terms, except as enforceability may be limited by applicable bankruptcy, insolvency or similar laws affecting the enforcement of creditors’ rights generally or by equitable principles relating to enforceability (collectively, the “</w:t>
      </w:r>
      <w:r>
        <w:rPr>
          <w:rFonts w:ascii="Times New Roman" w:hAnsi="Times New Roman"/>
          <w:sz w:val="20"/>
          <w:u w:val="single"/>
        </w:rPr>
        <w:t>Enforceability Exceptions</w:t>
      </w:r>
      <w:r>
        <w:rPr>
          <w:rFonts w:ascii="Times New Roman" w:hAnsi="Times New Roman"/>
          <w:sz w:val="20"/>
        </w:rPr>
        <w:t xml:space="preserve">”), and on the Closing Date, the Indenture will conform in all material respects to the applicable requirements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The Securities and the Guarantees</w:t>
      </w:r>
      <w:r>
        <w:rPr>
          <w:rFonts w:ascii="Times New Roman" w:hAnsi="Times New Roman"/>
          <w:sz w:val="20"/>
        </w:rPr>
        <w:t xml:space="preserve">. The Securities have been duly authorized by the Company and, when duly executed, authenticated, issued and delivered as provided in the Indenture and paid for as provided herein, will be duly and validly issued and outstanding and will constitute valid and legally binding obligations of the Company enforceable against the Company in accordance with their terms, subject to the Enforceability Exceptions, and will be entitled to the benefits of the Indenture; the Guarantees have been duly authorized by each of the Subsidiary Guarantors; and, when the Securities have been duly executed, authenticated, issued and delivered as provided in the Indenture and paid for as provided herein, will be valid and legally binding obligations of each of the Subsidiary Guarantors enforceable against each of the Subsidiary Guarantors in accordance with their terms, subject to the Enforceability Exceptions, and will be entitled to the benefits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Underwriting Agreement</w:t>
      </w:r>
      <w:r>
        <w:rPr>
          <w:rFonts w:ascii="Times New Roman" w:hAnsi="Times New Roman"/>
          <w:sz w:val="20"/>
        </w:rPr>
        <w:t xml:space="preserve">. This Agreement has been duly authorized, executed and delivered by the Company and each of the Subsidiary Guarantors.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Cybersecurity; Data Protection. </w:t>
      </w:r>
      <w:r>
        <w:rPr>
          <w:rFonts w:ascii="Times New Roman" w:hAnsi="Times New Roman"/>
          <w:sz w:val="20"/>
        </w:rPr>
        <w:t>The Company and its subsidiaries’ information technology assets and equipment, computers, systems, networks, hardware, software, websites, applications, and databases (collectively, “</w:t>
      </w:r>
      <w:r>
        <w:rPr>
          <w:rFonts w:ascii="Times New Roman" w:hAnsi="Times New Roman"/>
          <w:sz w:val="20"/>
          <w:u w:val="single"/>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to the knowledge of the Company and its subsidiaries,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reproductive health, consumer health, confidential or regulated data (“</w:t>
      </w:r>
      <w:r>
        <w:rPr>
          <w:rFonts w:ascii="Times New Roman" w:hAnsi="Times New Roman"/>
          <w:sz w:val="20"/>
          <w:u w:val="single"/>
        </w:rPr>
        <w:t>Personal Data</w:t>
      </w:r>
      <w:r>
        <w:rPr>
          <w:rFonts w:ascii="Times New Roman" w:hAnsi="Times New Roman"/>
          <w:sz w:val="20"/>
        </w:rPr>
        <w:t xml:space="preserve">”)) used in connection with their businesses, and there have been no breaches, violations, outages or unauthorized uses, disclosures or acquisitions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disclosure, access, acquisition, misappropriation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Collateral Documents</w:t>
      </w:r>
      <w:r>
        <w:rPr>
          <w:rFonts w:ascii="Times New Roman" w:hAnsi="Times New Roman"/>
          <w:sz w:val="20"/>
        </w:rPr>
        <w:t xml:space="preserve">. Each of the Collateral Documents has been duly authorized by the Company and each of the Subsidiary Guarantors, to the extent a party thereto, and on the Closing Date, each of the Collateral Documents will be duly executed and delivered by the Company and each of the Subsidiary Guarantors, to the extent a party thereto, and, when duly executed and delivered in accordance with its terms by each of the parties thereto, will constitute a valid and legally binding agreement of the Company and each of the Subsidiary Guarantors, to the extent a party thereto, enforceable against the Company and each of the Subsidiary Guarantors, to the extent a party thereto,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Descriptions of the Transaction Documents; Collateral</w:t>
      </w:r>
      <w:r>
        <w:rPr>
          <w:rFonts w:ascii="Times New Roman" w:hAnsi="Times New Roman"/>
          <w:sz w:val="20"/>
        </w:rPr>
        <w:t xml:space="preserve">. Each Transaction Document conforms or will conform as of the Closing Date in all material respects to the description thereof contained in each of the Registration Statement, the Time of Sale Information and the Prospectus. The Collateral conforms in all material respects to the description thereof contained in each of the Registration Statement,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Collateral Documents, Financing Statements and Collateral</w:t>
      </w:r>
      <w:r>
        <w:rPr>
          <w:rFonts w:ascii="Times New Roman" w:hAnsi="Times New Roman"/>
          <w:sz w:val="20"/>
        </w:rPr>
        <w:t xml:space="preserve">. After giving effect to the consummation of the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execution and delivery, the Security Agreement and any of the Intellectual Property Security Agreements will be effective to grant a legal, valid and enforceable security interest in all of the grantor’s right, title and interest in the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Upon due and timely filing and/or recording of the financing statements and Intellectual Property Security Agreements, as applicable, with respect to the Collateral, the security interests granted thereby constitute or will constitute valid, perfected first-priority liens and security interests in the Collateral, to the extent such security interests can be perfected by the filing and/or recording, as applicable, of financing statements and Intellectual Property Security Agreements for the benefit of the First Lien Secured Parties, and such security interests are or will be enforceable in accordance with the terms contained therein against all creditors of any grantor and subject only to liens expressly permitted to be incurred or exist on the Collateral under the Indenture (“</w:t>
            </w:r>
            <w:r>
              <w:rPr>
                <w:rFonts w:ascii="Times New Roman" w:hAnsi="Times New Roman"/>
                <w:sz w:val="20"/>
                <w:u w:val="single"/>
              </w:rPr>
              <w:t>Permitted Liens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the Subsidiary Guarantors own, have rights in or have the power and authority to collaterally assign rights in the Collateral, free and clear of any liens other than the Permitted Liens.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No Violation or Default.</w:t>
      </w:r>
      <w:r>
        <w:rPr>
          <w:rFonts w:ascii="Times New Roman" w:hAnsi="Times New Roman"/>
          <w:sz w:val="20"/>
        </w:rPr>
        <w:t xml:space="preserve">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right or assets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No Conflicts. </w:t>
      </w:r>
      <w:r>
        <w:rPr>
          <w:rFonts w:ascii="Times New Roman" w:hAnsi="Times New Roman"/>
          <w:sz w:val="20"/>
        </w:rPr>
        <w:t xml:space="preserve">The execution, delivery and performance by the Company and each of the Subsidiary Guarantors of each of the Transaction Documents to which each is a party (including, but not limited to, the filing of any applicable financing statements pursuant to the Security Agreement and the filing of any Intellectual Property Security Agreements), the issuance and sale of the Securities, the issuance of the Guarantees, the grant and perfection of liens and security interests in the Collateral pursuant to the Security Agreement and any Intellectual Property Security Agreements and compliance by the Company and each of the Subsidiary Guarantors with the terms thereof and the consummation of the transactions contemplated by the Transaction Documents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(other than any lien or encumbrance created or imposed pursuant to the Collateral Documents or the collateral documents relating to the Senior Credit Facilities and the Existing Secured Notes),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No Consents Required</w:t>
      </w:r>
      <w:r>
        <w:rPr>
          <w:rFonts w:ascii="Times New Roman" w:hAnsi="Times New Roman"/>
          <w:sz w:val="20"/>
        </w:rPr>
        <w:t xml:space="preserve">. No consent, approval, authorization, order, registration or qualification of or with any court or arbitrator or governmental or regulatory authority is required for the execution, delivery and performance by the Company and each of the Subsidiary Guarantors of each of the Transaction Documents to which each is a party (including, but not limited to, the filing of any applicable financing statements pursuant to the Security Agreement or the filing of any Intellectual Property Security Agreements), the issuance and sale of the Securities and the issuance of the Guarantees, as of the date hereof, the grant and perfection of liens and security interests in the Collateral pursuant to the Security Agreement and the Intellectual Property Security Agreements and compliance by the Company and each of the Subsidiary Guarantors with the terms thereof and the consummation of the transactions contemplated by the Transaction Documents, except for (i) the registration of the Securities and the Guarantees under the Securities Act, (ii) the qualification of the Indenture under the Trust Indenture Act, (iii) the perfection of the Collateral Agent’s security interests granted pursuant to the Security Agreement, any Intellectual Property Security Agreements and the financing statements related thereto and (iv) such consents, approvals, authorizations, orders and registrations or qualifications as may be required under applicable state securities laws in connection with the purchase and distribution of the Securities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Legal Proceedings.</w:t>
      </w:r>
      <w:r>
        <w:rPr>
          <w:rFonts w:ascii="Times New Roman" w:hAnsi="Times New Roman"/>
          <w:sz w:val="20"/>
        </w:rPr>
        <w:t xml:space="preserve"> Except as described in each of the Registration Statement, the Time of Sale Information and the Prospectus, there are no legal, governmental or regulatory investigations, actions, suits or proceedings (“</w:t>
      </w:r>
      <w:r>
        <w:rPr>
          <w:rFonts w:ascii="Times New Roman" w:hAnsi="Times New Roman"/>
          <w:sz w:val="20"/>
          <w:u w:val="single"/>
        </w:rPr>
        <w:t>Actions</w:t>
      </w:r>
      <w:r>
        <w:rPr>
          <w:rFonts w:ascii="Times New Roman" w:hAnsi="Times New Roman"/>
          <w:sz w:val="20"/>
        </w:rPr>
        <w:t xml:space="preserve">”) pending to which the Company or any of its subsidiaries is or may be a party or to which any property, right or asset of the Company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its subsidiaries is or may be the subject that, individually or in the aggregate, if determined adversely to the Company or any of its subsidiaries, could reasonably be expected to have a Material Adverse Effect; no such investigations, actions, suits or proceedings are threatened or, to the best knowledge of the Company and each of the Subsidiary Guarantors, contemplated by any governmental or regulatory authority or by others; and (i) there are no current or pending Actions that are required under the Securities Act to be described in the Registration Statement or the Prospectus that are not so described in the Registration Statement, the Time of Sale Information and the Prospectus and (ii) there are no statutes, regulations or contracts or other documents that are required under the Securities Act to be filed as exhibits to the Registration Statement or described in the Registration Statement and the Prospectus that are not so filed as exhibits to the Registration Statement or described in the Registration Statement,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Independent Accountants.</w:t>
      </w:r>
      <w:r>
        <w:rPr>
          <w:rFonts w:ascii="Times New Roman" w:hAnsi="Times New Roman"/>
          <w:sz w:val="20"/>
        </w:rPr>
        <w:t xml:space="preserve"> PricewaterhouseCoopers LLP, which has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Title to Real and Personal Property.</w:t>
      </w:r>
      <w:r>
        <w:rPr>
          <w:rFonts w:ascii="Times New Roman" w:hAnsi="Times New Roman"/>
          <w:sz w:val="20"/>
        </w:rPr>
        <w:t xml:space="preserve"> The Company and its subsidiaries have good and marketable title in fee simple to, or have valid rights to lease or otherwise use, all items of real and personal property that are material to the respective businesses of the Company and its subsidiaries, in each case free and clear of all liens, encumbrances, claims and defects and imperfections of title except for Permitted Liens and those that (i) do not materially interfere with the use made and proposed to be made of such property by the Company and its subsidiaries, (ii) could not reasonably be expected, individually or in the aggregate, to have a Material Adverse Effect or (iii) secure the Senior Credit Facilities and the Existing Secured Notes.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Title to Intellectual Property.</w:t>
      </w:r>
      <w:r>
        <w:rPr>
          <w:rFonts w:ascii="Times New Roman" w:hAnsi="Times New Roman"/>
          <w:sz w:val="20"/>
        </w:rPr>
        <w:t xml:space="preserve"> The Company and its subsidiaries own or possess adequate rights to use all material patents, trademarks, service marks, trade names, trademark registrations, service mark registrations, copyrights and applications for all of the foregoing, licenses and know-how (including trade secrets and other unpatented and/or unpatentable proprietary or confidential information, systems or procedures) used in the conduct of their respective businesses; and the conduct of their respective businesses does not and will not conflict in any material respect with any such rights of others, and the Company and its subsidiaries have not received any notice of any claim of infringement of or conflict with any such rights of others which claims, if asserted and determined adversely to the Company or any of its subsidiaries, could reasonably be expected, individually or in the aggregate, to have a Material Adverse Effect. To the knowledge of the Company, such rights of the Company and their subsidiaries are not being infringed, misappropriated or otherwise violated by any person.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No Undisclosed Relationships.</w:t>
      </w:r>
      <w:r>
        <w:rPr>
          <w:rFonts w:ascii="Times New Roman" w:hAnsi="Times New Roman"/>
          <w:sz w:val="20"/>
        </w:rPr>
        <w:t xml:space="preserve"> No relationship, direct or indirect, exists between or among the Company or any of its subsidiaries, on the one hand, and the directors, officers, stockholders or other affiliates of the Company or any of its subsidiaries, on the other, that is required by the Securities Act to be described in each of the Registration Statement and the Prospectus and that is not so described in such documents and in the Time of Sale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Investment Company Act.</w:t>
      </w:r>
      <w:r>
        <w:rPr>
          <w:rFonts w:ascii="Times New Roman" w:hAnsi="Times New Roman"/>
          <w:sz w:val="20"/>
        </w:rPr>
        <w:t xml:space="preserve"> Neither the Company nor any of the Subsidiary Guarantors is, and after giving effect to the offering and sale of the Securities and the application of the proceeds thereof as described in each of the Registration Statement, the Time of Sale Information and the Prospectus, will be, an “investment company” or an entity “controlled” by an “investment company” within the meaning of the Investment Company Act of 1940, as amended, and the rules and regulations of the Commission thereunder (collectively, the “</w:t>
      </w:r>
      <w:r>
        <w:rPr>
          <w:rFonts w:ascii="Times New Roman" w:hAnsi="Times New Roman"/>
          <w:sz w:val="20"/>
          <w:u w:val="single"/>
        </w:rPr>
        <w:t>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Taxes.</w:t>
      </w:r>
      <w:r>
        <w:rPr>
          <w:rFonts w:ascii="Times New Roman" w:hAnsi="Times New Roman"/>
          <w:sz w:val="20"/>
        </w:rPr>
        <w:t xml:space="preserve"> The Company and its subsidiaries have paid all federal, state, local and foreign taxes and filed all tax returns required to be paid or filed through the date hereof, except to the extent that extensions have been duly filed with respect thereto or taxes are being contested in good faith and for which appropriate reserves have been established in accordance with GAAP; and except as otherwise disclosed in each of the Registration Statement, the Time of Sale Information and the Prospectus, there is no material tax deficiency that has been, or could reasonably be expected to be, asserted against the Company or any of its subsidiaries or any of their respective properties or assets.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Licenses and Permits.</w:t>
      </w:r>
      <w:r>
        <w:rPr>
          <w:rFonts w:ascii="Times New Roman" w:hAnsi="Times New Roman"/>
          <w:sz w:val="20"/>
        </w:rPr>
        <w:t xml:space="preserve"> The Company and its subsidiaries possess all 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Time of Sale Information and the Prospectus, except where the failure to possess or make the same would not, individually or in the aggregate, have a Material Adverse Effect; and except as described in each of the Registration Statement, the Time of Sale Information and the Prospectus, neither the Company nor any of its subsidiaries has received notice of any revocation or modification of any such license, certificate, permit or authorization or has any reason to believe that any such license, certificate, permit or authorization will not be renewed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No Labor Disputes.</w:t>
      </w:r>
      <w:r>
        <w:rPr>
          <w:rFonts w:ascii="Times New Roman" w:hAnsi="Times New Roman"/>
          <w:sz w:val="20"/>
        </w:rPr>
        <w:t xml:space="preserve"> (i) No labor disturbance by or dispute with employees of the Company or any of its subsidiaries exists or, to the best knowledge of the Company and each of the Subsidiary Guarantors, is contemplated or threatened, and (ii) none of the Company or any Subsidiary Guarantor is aware of any existing or imminent labor disturbance by, or dispute with, the employees of any of the Company’s or any of its subsidiaries’ principal suppliers, contractors or customers, except, in the case of clause (i) or (ii), as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Compliance With Environmental Laws</w:t>
      </w:r>
      <w:r>
        <w:rPr>
          <w:rFonts w:ascii="Times New Roman" w:hAnsi="Times New Roman"/>
          <w:sz w:val="20"/>
        </w:rPr>
        <w:t>. (i) The Company and its subsidiaries (x) are, and at all prior times were, in compliance with any and all applicable federal, state, local and foreign laws, rules, regulations, requirements, decisions and orders relating to the protection of human health or safety, the environment, natural resources, hazardous or toxic substances or wastes, pollutants or contaminants (collectively, “</w:t>
      </w:r>
      <w:r>
        <w:rPr>
          <w:rFonts w:ascii="Times New Roman" w:hAnsi="Times New Roman"/>
          <w:sz w:val="20"/>
          <w:u w:val="single"/>
        </w:rPr>
        <w:t>Environmental Laws</w:t>
      </w:r>
      <w:r>
        <w:rPr>
          <w:rFonts w:ascii="Times New Roman" w:hAnsi="Times New Roman"/>
          <w:sz w:val="20"/>
        </w:rPr>
        <w:t xml:space="preserve">”), (y) have received and are in compliance with all permits, licenses, certificates or other authorizations or approvals required of them under applicable Environmental Laws to conduct their respective businesses, and (z) have not received notice of any actual or potential liability under or relating to any Environmental Laws, including for the investigation or remediation of any disposal or release of hazardous or toxic substances or wastes, pollutants or contaminants, and have no knowledge of any event or condition that would reasonably be expected to result in any such notice, and (ii)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are no costs or liabilities associated with Environmental Laws of or relating to the Company or its subsidiaries, except in the case of each of (i) and (ii) above, for any such failure to comply, or failure to receive required permits, licenses or approvals, or cost or liability, as would not, individually or in the aggregate, have a Material Adverse Effect; and (iii) except as described in each of the Registration Statement, the Time of Sale Information and the Prospectus, (x) there are no proceedings that are pending, or that are known to be contemplated, against the Company or any of its subsidiaries under any Environmental Laws in which a governmental entity is also a party, other than such proceedings regarding which it is reasonably believed no monetary sanctions of $300,000 or more will be imposed, (y) the Company and its subsidiaries are not aware of any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and its subsidiaries anticipates material capital expenditures relating to any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Compliance With ERISA.</w:t>
      </w:r>
      <w:r>
        <w:rPr>
          <w:rFonts w:ascii="Times New Roman" w:hAnsi="Times New Roman"/>
          <w:sz w:val="20"/>
        </w:rPr>
        <w:t xml:space="preserve"> (i) Each employee benefit plan, within the meaning of Section 3(3) of the Employee Retirement Income Security Act of 1974, as amended (“</w:t>
      </w:r>
      <w:r>
        <w:rPr>
          <w:rFonts w:ascii="Times New Roman" w:hAnsi="Times New Roman"/>
          <w:sz w:val="20"/>
          <w:u w:val="single"/>
        </w:rPr>
        <w:t>ERISA</w:t>
      </w:r>
      <w:r>
        <w:rPr>
          <w:rFonts w:ascii="Times New Roman" w:hAnsi="Times New Roman"/>
          <w:sz w:val="20"/>
        </w:rPr>
        <w:t>”), for which the Company, or any member of the “Controlled Group” (defined as any organization which, along with the Company, is treated as a single employer within the meaning of Section 414 of the Internal Revenue Code of 1986, as amended (the “</w:t>
      </w:r>
      <w:r>
        <w:rPr>
          <w:rFonts w:ascii="Times New Roman" w:hAnsi="Times New Roman"/>
          <w:sz w:val="20"/>
          <w:u w:val="single"/>
        </w:rPr>
        <w:t>Code</w:t>
      </w:r>
      <w:r>
        <w:rPr>
          <w:rFonts w:ascii="Times New Roman" w:hAnsi="Times New Roman"/>
          <w:sz w:val="20"/>
        </w:rPr>
        <w:t>”)) would have any liability, including, without limitation, any multiemployer plan within the meaning of Section 3(37) of ERISA (each, a “</w:t>
      </w:r>
      <w:r>
        <w:rPr>
          <w:rFonts w:ascii="Times New Roman" w:hAnsi="Times New Roman"/>
          <w:sz w:val="20"/>
          <w:u w:val="single"/>
        </w:rPr>
        <w:t>Plan</w:t>
      </w:r>
      <w:r>
        <w:rPr>
          <w:rFonts w:ascii="Times New Roman" w:hAnsi="Times New Roman"/>
          <w:sz w:val="20"/>
        </w:rPr>
        <w:t xml:space="preserve">”)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no such Plan that is subject to the funding rules of Section 412 of the Code or Section 302 of ERISA has failed to satisfy the “minimum funding standards” within the meaning of Section 412 of the Code, whether or not waived; (iv) the fair market value of the assets of each Plan exceeds the present value of all benefits accrued under such Plan (determined based on those assumptions used to fund such Plan); (v) no “reportable event” (within the meaning of Section 4043(c) of ERISA) for which notice has not been waived pursuant to Section 4043 of ERISA has occurred or is reasonably expected to occur; and (vi) none of the Company nor any member of the Controlled Group has incurred, nor reasonably expects to incur, any liability under Title IV of ERISA (other than contributions to the Plan or premiums to the PBGC, in the ordinary course and without default) in respect of a Plan.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Governmental Licenses</w:t>
      </w:r>
      <w:r>
        <w:rPr>
          <w:rFonts w:ascii="Times New Roman" w:hAnsi="Times New Roman"/>
          <w:sz w:val="20"/>
        </w:rPr>
        <w:t>. Except as described in each of the Registration Statement, Time of Sale Information and the Prospectus, (i) the Company and its subsidiaries possess all required permits, licenses, provider numbers, certificates, approvals (including, without limitation, certificate of need approvals), consents, orders, certifications (including, without limitation, certification under the Medicare, Medicaid, TRICARE programs and other governmental healthcare programs in which they participate), accreditations (including, without limitation, accreditation by The Joint Commission) and other authorizations (collectively, “</w:t>
      </w:r>
      <w:r>
        <w:rPr>
          <w:rFonts w:ascii="Times New Roman" w:hAnsi="Times New Roman"/>
          <w:sz w:val="20"/>
          <w:u w:val="single"/>
        </w:rPr>
        <w:t>Governmental Licenses</w:t>
      </w:r>
      <w:r>
        <w:rPr>
          <w:rFonts w:ascii="Times New Roman" w:hAnsi="Times New Roman"/>
          <w:sz w:val="20"/>
        </w:rPr>
        <w:t xml:space="preserve">”) issued by, and have made all required declarations and filings with, the appropriate federal, state, local or foreign regulatory agencies or bodies and accreditation organizations necessary to conduct the business now operated by them (including, without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Government Licenses as are required (a) under such federal and state healthcare laws as are applicable to the Company and its subsidiaries and (b) with respect to those facilities operated by the Company or any of its subsidiaries that participate in the Medicare, Medicaid and/or TRICARE programs, to receive reimbursement thereunder), except where the failure to possess such Governmental Licenses or to make such declarations and filings would have no Material Adverse Effect; (ii) the Company and its subsidiaries are in compliance with the terms and conditions of all such Governmental Licenses, except where the failure so to comply would not have a Material Adverse Effect; (iii) all of the Governmental Licenses are valid and in full force and effect, except where the invalidity of such Governmental Licenses or the failure of such Governmental Licenses to be in full force and effect would not have a Material Adverse Effect and (iv) none of the Company or any of its subsidiaries has received any notice of proceedings relating to the revocation, suspension or modification of any such Governmental Licenses which, individually or in the aggregate, if the subject of an unfavorable decision, ruling or finding, would have a Material Adverse Effect. All of the acute care hospitals, behavioral healthcare facilities and other facilities operated by the Company or any of its subsidiaries are “providers” (as defined in the Social Security Act and the regulations promulgated thereunder (collectively, “</w:t>
      </w:r>
      <w:r>
        <w:rPr>
          <w:rFonts w:ascii="Times New Roman" w:hAnsi="Times New Roman"/>
          <w:sz w:val="20"/>
          <w:u w:val="single"/>
        </w:rPr>
        <w:t>SSA</w:t>
      </w:r>
      <w:r>
        <w:rPr>
          <w:rFonts w:ascii="Times New Roman" w:hAnsi="Times New Roman"/>
          <w:sz w:val="20"/>
        </w:rPr>
        <w:t>”)), and all ambulatory surgery centers, diagnostic and imaging centers, radiation and oncology centers and other healthcare operations operated by the Company, the Subsidiary Guarantors or any of their respective subsidiaries are “suppliers,” as defined in the SSA, and all such providers of services and suppliers are eligible to participate in the Medicare, Medicaid and TRICARE programs. For purposes of this Agreement, “</w:t>
      </w:r>
      <w:r>
        <w:rPr>
          <w:rFonts w:ascii="Times New Roman" w:hAnsi="Times New Roman"/>
          <w:sz w:val="20"/>
          <w:u w:val="single"/>
        </w:rPr>
        <w:t>Medicaid</w:t>
      </w:r>
      <w:r>
        <w:rPr>
          <w:rFonts w:ascii="Times New Roman" w:hAnsi="Times New Roman"/>
          <w:sz w:val="20"/>
        </w:rPr>
        <w:t>” means any state-operated means-tested entitlement program under Title XIX of the SSA that provides federal grants to states for medical assistance based on specific eligibility criteria, “</w:t>
      </w:r>
      <w:r>
        <w:rPr>
          <w:rFonts w:ascii="Times New Roman" w:hAnsi="Times New Roman"/>
          <w:sz w:val="20"/>
          <w:u w:val="single"/>
        </w:rPr>
        <w:t>Medicare</w:t>
      </w:r>
      <w:r>
        <w:rPr>
          <w:rFonts w:ascii="Times New Roman" w:hAnsi="Times New Roman"/>
          <w:sz w:val="20"/>
        </w:rPr>
        <w:t>” means that government-sponsored entitlement program under Title XVIII of the SSA that provides for a health insurance system for eligible elderly and disabled persons including eligible persons with end-stage renal disease and “</w:t>
      </w:r>
      <w:r>
        <w:rPr>
          <w:rFonts w:ascii="Times New Roman" w:hAnsi="Times New Roman"/>
          <w:sz w:val="20"/>
          <w:u w:val="single"/>
        </w:rPr>
        <w:t>TRICARE</w:t>
      </w:r>
      <w:r>
        <w:rPr>
          <w:rFonts w:ascii="Times New Roman" w:hAnsi="Times New Roman"/>
          <w:sz w:val="20"/>
        </w:rPr>
        <w:t xml:space="preserve">” means the healthcare program established by the U.S. Department of Defense under Title 10, Subtitle A, Part II, Chapter 55 (10 U.S.C. § 1071 et seq.) for members of the military, military retirees and their dependents, and includes the competitive selection of contractors to financially underwrite the delivery of healthcare services under the Civilian Health and Medical Program of the Uniformed Services.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Accounts Receivable</w:t>
      </w:r>
      <w:r>
        <w:rPr>
          <w:rFonts w:ascii="Times New Roman" w:hAnsi="Times New Roman"/>
          <w:sz w:val="20"/>
        </w:rPr>
        <w:t xml:space="preserve">. The accounts receivable of the Company and its subsidiaries have been adjusted to reflect material changes in the reimbursement policies of third party payors such as Medicare, Medicaid, private insurance companies, health maintenance organizations, preferred provider organizations, managed care systems and other third party payors (including, without limitation, Blue Cross plans). The accounts receivable, after giving effect to the allowance for doubtful accounts, relating to such third-party payors do not materially exceed amounts the Company and its subsidiaries are entitled to receive, except as described in both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Prohibited Activities</w:t>
      </w:r>
      <w:r>
        <w:rPr>
          <w:rFonts w:ascii="Times New Roman" w:hAnsi="Times New Roman"/>
          <w:sz w:val="20"/>
        </w:rPr>
        <w:t xml:space="preserve">. Except as described in both the Time of Sale Information and the Prospectus, none of the Company, their respective subsidiaries or, to the knowledge of the Company, any officers, directors, stockholders, members, employees or other agents of the Company or any of its subsidiaries or any of the hospitals operated by them has engaged in any activities which are prohibited under federal Medicare and Medicaid statutes, including, but not limited to, 42 U.S.C. Section 1320a-7 (Program Exclusion), Section 1320a-7a (Civil Monetary Penalties), 1320a-7b (the Anti-kickback Statute), Sections 1395nn and 1396b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“Stark” law, prohibiting certain self-referrals), the federal TRICARE statute, 10 U.S.C. Section 1071 et seq., the Federal Civil False Claims Act, 31 U.S.C. Sections 3729-32, Federal Criminal False Claims Act, 18 U.S.C. Sections 286 and 287, False Statements Relating to Health Care Matters, 18 U.S.C. Section 1035, the Inflation Reduction Act, or the Health Insurance Portability and Accountability Act of 1996 (Public Law 104-191), as amended, including as amended by the Health Information Technology for Economic and Clinical Health Act (42 U.S.C. Section 17921 et seq.) or any regulations promulgated pursuant to such statutes, or related state or local statutes or regulations or any laws or regulations regarding surprise billing and price transparency or rules of professional conduct, including but not limited to the following: (i) knowingly and willfully making or causing to be made a false statement or representation of a material fact in any applications for any benefit or payment under the Medicare or Medicaid program or other federal or state healthcare program or from any third party (where applicable federal or state law prohibits such payments to third parties); (ii) knowingly and willfully making or causing to be made any false statement or representation of a material fact for use in determining rights to any benefit or payment under the Medicare or Medicaid program or other federal or state healthcare program or from any third party (where applicable federal or state law prohibits such payments to third parties); (iii) failing to disclose knowledge by a claimant of the occurrence of any event affecting the initial or continued right to any benefit or payment under the Medicare or Medicaid program or other federal or state healthcare program or from any third party (where applicable federal or state law prohibits such payments to third parties) on its own behalf or on behalf of another, with intent to secure such benefit or payment fraudulently; (iv) knowingly and willfully offering, paying, soliciting or receiving any remuneration (including any kickback, bribe or rebate), directly or indirectly, overtly or covertly, in cash or in kind (A) in return for referring an individual to a person for the furnishing or arranging for the furnishing of any other item or service for which payment may be made in whole or in part by Medicare or Medicaid or other federal or state healthcare program or any third party (where applicable federal or state law prohibits such payments to third parties), or (B) in return for purchasing, leasing or ordering or arranging for or recommending the purchasing, leasing or ordering of any good, facility, service or item for which payment may be made in whole or in part by Medicare or Medicaid or other federal or state healthcare program or any third party (where applicable federal or state law prohibits such payments to third parties); (v) referring an individual to a person with which it has ownership or certain other financial arrangements or billing Medicare or Medicaid or any beneficiary of such program or other person for any designated health service or other item or service (where applicable federal law prohibits such referrals); (vi) knowingly and willfully presenting or causing to be presented a claim for a medical or other item or service that was not provided as claimed, or is for a medical or other item or service and the person knew or should have known the claim was false or fraudulent; (vii) violating any corporate integrity agreement or other agreement with any government agency (including, without limitation, the United States Department of Justice (“</w:t>
      </w:r>
      <w:r>
        <w:rPr>
          <w:rFonts w:ascii="Times New Roman" w:hAnsi="Times New Roman"/>
          <w:sz w:val="20"/>
          <w:u w:val="single"/>
        </w:rPr>
        <w:t>DOJ</w:t>
      </w:r>
      <w:r>
        <w:rPr>
          <w:rFonts w:ascii="Times New Roman" w:hAnsi="Times New Roman"/>
          <w:sz w:val="20"/>
        </w:rPr>
        <w:t>”) and the Office of Inspector General of the United States Department of Health and Human Services (“</w:t>
      </w:r>
      <w:r>
        <w:rPr>
          <w:rFonts w:ascii="Times New Roman" w:hAnsi="Times New Roman"/>
          <w:sz w:val="20"/>
          <w:u w:val="single"/>
        </w:rPr>
        <w:t>OIG</w:t>
      </w:r>
      <w:r>
        <w:rPr>
          <w:rFonts w:ascii="Times New Roman" w:hAnsi="Times New Roman"/>
          <w:sz w:val="20"/>
        </w:rPr>
        <w:t xml:space="preserve">”); and (viii) violating any enforcement initiative instituted by any governmental agency (including, without limitation, the OIG and the DOJ), except, in each case set forth in this paragraph, for any such activities which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Disclosure Controls</w:t>
      </w:r>
      <w:r>
        <w:rPr>
          <w:rFonts w:ascii="Times New Roman" w:hAnsi="Times New Roman"/>
          <w:sz w:val="20"/>
        </w:rPr>
        <w:t xml:space="preserve">. The Company and its subsidiaries each maintain an effective system of “disclosure controls and procedures” (as defined in Rule 13a-15(e) of the Exchange Act) that complies with the requirements of the Exchange Act and that has been designed to ensure that material information relating to the Company and its subsidiaries required to be disclosed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Accounting Controls.</w:t>
      </w:r>
      <w:r>
        <w:rPr>
          <w:rFonts w:ascii="Times New Roman" w:hAnsi="Times New Roman"/>
          <w:sz w:val="20"/>
        </w:rPr>
        <w:t xml:space="preserve"> The Company and its subsidiaries each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incorporated by reference in the Registration Statement, the Prospectus and the Time of Sale Information is prepared in accordance with the Commission’s rules and guidelines applicable thereto. There are no identified material weaknesses or significant deficiencies in the Company’s internal controls.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 xml:space="preserve">Insurance. </w:t>
      </w:r>
      <w:r>
        <w:rPr>
          <w:rFonts w:ascii="Times New Roman" w:hAnsi="Times New Roman"/>
          <w:sz w:val="20"/>
        </w:rPr>
        <w:t xml:space="preserve">The Company and its subsidiaries have insurance covering their respective properties, operations, personnel and businesses, including business interruption insurance, which insurance is in amounts and insures against such losses and risks as are adequate to protect the Company, its subsidiaries and their respective businesses; and neither the Company nor any of its subsidiaries has (i) received notice from any insurer or agent of such insurer that material capital improvements or other material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No Unlawful Payments.</w:t>
      </w:r>
      <w:r>
        <w:rPr>
          <w:rFonts w:ascii="Times New Roman" w:hAnsi="Times New Roman"/>
          <w:sz w:val="20"/>
        </w:rPr>
        <w:t xml:space="preserve"> Neither the Company nor any of its subsidiaries, nor any director, officer or employee of the Company or any of its subsidiaries nor, to the knowledge of the Company and each of the Subsidiary Guarantors,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Compliance with Money Laundering Laws</w:t>
      </w:r>
      <w:r>
        <w:rPr>
          <w:rFonts w:ascii="Times New Roman" w:hAnsi="Times New Roman"/>
          <w:sz w:val="20"/>
        </w:rPr>
        <w:t>.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Times New Roman" w:hAnsi="Times New Roman"/>
          <w:sz w:val="20"/>
          <w:u w:val="single"/>
        </w:rPr>
        <w:t>Anti-Money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knowledge of the Company or any of the Subsidiary Guarantors, threatened. </w:t>
      </w:r>
    </w:p>
    <w:p>
      <w:pPr>
        <w:pStyle w:val="TextBody"/>
        <w:bidi w:val="0"/>
        <w:spacing w:before="24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 xml:space="preserve">No Conflicts with Sanctions Laws. </w:t>
      </w:r>
      <w:r>
        <w:rPr>
          <w:rFonts w:ascii="Times New Roman" w:hAnsi="Times New Roman"/>
          <w:sz w:val="20"/>
        </w:rPr>
        <w:t>Neither the Company nor any of its subsidiaries, directors, officers or employees, nor, to the knowledge of the Company or any of the Subsidiary Guarantors,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Times New Roman" w:hAnsi="Times New Roman"/>
          <w:sz w:val="20"/>
          <w:u w:val="single"/>
        </w:rPr>
        <w:t>OFAC</w:t>
      </w:r>
      <w:r>
        <w:rPr>
          <w:rFonts w:ascii="Times New Roman" w:hAnsi="Times New Roman"/>
          <w:sz w:val="20"/>
        </w:rPr>
        <w:t>”) or the U.S. Department of State and including, without limitation, the designation as a “specially designated national” or “blocked person”), the United Nations Security Council (“</w:t>
      </w:r>
      <w:r>
        <w:rPr>
          <w:rFonts w:ascii="Times New Roman" w:hAnsi="Times New Roman"/>
          <w:sz w:val="20"/>
          <w:u w:val="single"/>
        </w:rPr>
        <w:t>UNSC</w:t>
      </w:r>
      <w:r>
        <w:rPr>
          <w:rFonts w:ascii="Times New Roman" w:hAnsi="Times New Roman"/>
          <w:sz w:val="20"/>
        </w:rPr>
        <w:t>”), the European Union, His Majesty’s Treasury (“</w:t>
      </w:r>
      <w:r>
        <w:rPr>
          <w:rFonts w:ascii="Times New Roman" w:hAnsi="Times New Roman"/>
          <w:sz w:val="20"/>
          <w:u w:val="single"/>
        </w:rPr>
        <w:t>HMT</w:t>
      </w:r>
      <w:r>
        <w:rPr>
          <w:rFonts w:ascii="Times New Roman" w:hAnsi="Times New Roman"/>
          <w:sz w:val="20"/>
        </w:rPr>
        <w:t>”), or other relevant sanctions authority (collectively, “</w:t>
      </w:r>
      <w:r>
        <w:rPr>
          <w:rFonts w:ascii="Times New Roman" w:hAnsi="Times New Roman"/>
          <w:sz w:val="20"/>
          <w:u w:val="single"/>
        </w:rPr>
        <w:t>Sanctions</w:t>
      </w:r>
      <w:r>
        <w:rPr>
          <w:rFonts w:ascii="Times New Roman" w:hAnsi="Times New Roman"/>
          <w:sz w:val="20"/>
        </w:rPr>
        <w:t>”), nor is the Company, any of its subsidiaries or any of the Subsidiary Guarantors located, organized or resident in a country or territory that is the subject or target of Sanctions, including, without limitation, the so-called Donetsk People’s Republic, the so-called Luhansk People’s Republic, the Kherson, the Zaporizhzhia, and the Crimea Regions of Ukraine, Cuba, Iran, North Korea and Syria (with respect to Syria, prior to July 1, 2025) (each, a “</w:t>
      </w:r>
      <w:r>
        <w:rPr>
          <w:rFonts w:ascii="Times New Roman" w:hAnsi="Times New Roman"/>
          <w:sz w:val="20"/>
          <w:u w:val="single"/>
        </w:rPr>
        <w:t>Sanctioned Country</w:t>
      </w:r>
      <w:r>
        <w:rPr>
          <w:rFonts w:ascii="Times New Roman" w:hAnsi="Times New Roman"/>
          <w:sz w:val="20"/>
        </w:rPr>
        <w:t xml:space="preserve">”);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initial purchaser, advisor, investor or otherwise) of Sanctions. Since April 24, 2019, the Company and its subsidiaries have not knowingly engaged in, are not now knowingly engaged in and will not engage in any dealings or transactions with any person that at the time of the dealing or transaction is or was the subject or the target of Sanctions or with any Sanctioned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Solvency.</w:t>
      </w:r>
      <w:r>
        <w:rPr>
          <w:rFonts w:ascii="Times New Roman" w:hAnsi="Times New Roman"/>
          <w:sz w:val="20"/>
        </w:rPr>
        <w:t xml:space="preserve"> On and immediately after the Closing Date, the Company and the Subsidiary Guarantors (after giving effect to the issuance and sale of the Securities and the issuance of the Guarantees and the other transactions related thereto as described in each of the Registration Statement, the Time of Sale Information and the Prospectus) will be Solvent. As used in this paragraph, the term “</w:t>
      </w:r>
      <w:r>
        <w:rPr>
          <w:rFonts w:ascii="Times New Roman" w:hAnsi="Times New Roman"/>
          <w:sz w:val="20"/>
          <w:u w:val="single"/>
        </w:rPr>
        <w:t>Solvent</w:t>
      </w:r>
      <w:r>
        <w:rPr>
          <w:rFonts w:ascii="Times New Roman" w:hAnsi="Times New Roman"/>
          <w:sz w:val="20"/>
        </w:rPr>
        <w:t xml:space="preserve">” means, with respect to a particular date, that on such date (i) the present fair market value (or present fair saleable value) of the assets of the Company and the Subsidiary Guarantors is not less than the total amount required to pay the liabilities of the Company and the Subsidiary Guarantors on their combined total existing debts and liabilities (including contingent liabilities) as they become absolute and matured; (ii) the Company and the Subsidiary Guarantors are able to realize upon their assets and pay their debts and other liabilities, contingent obligations and commitments as they mature and become due in the normal course of business; (iii) assuming consummation of the issuance and sale of the Securities and the issuance of the Guarantees as contemplated by this Agreement, the Registration Statement, the Time of Sale Information and the Prospectus, the Company and the Subsidiary Guarantors are not incurring debts or liabilities beyond their ability to pay as such debts and liabilities mature; (iv) the Company and the Subsidiary Guarantors are not engaged in any business or transaction, and do not propose to engage in any business or transaction, for which their property would constitute unreasonably small capital after giving due consideration to the prevailing practice in the industry in which the Company and the Subsidiary Guarantors are engaged; and (v) the Company and the Subsidiary Guarantors are not defendants in any civil action that would result in a judgment that the Company and the Subsidiary Guarantors are or would become unable to satisfy. </w:t>
      </w:r>
    </w:p>
    <w:p>
      <w:pPr>
        <w:pStyle w:val="TextBody"/>
        <w:bidi w:val="0"/>
        <w:spacing w:before="24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No Restrictions on Subsidiaries</w:t>
      </w:r>
      <w:r>
        <w:rPr>
          <w:rFonts w:ascii="Times New Roman" w:hAnsi="Times New Roman"/>
          <w:sz w:val="20"/>
        </w:rPr>
        <w:t xml:space="preserve">. No subsidiary of the Company is or would be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 except as contained in (i) the Senior Credit Facilities, (ii) the Existing Secured Notes, (iii) the Indenture, (iv) the Security Agreement, (v) certain joint venture agreements entered into by subsidiaries of the Company that are not Subsidiary Guarantors or guarantors of the Senior Credit Facilities, and (vi) other debt of the Company as described in “Description of other indebtedness—Other UHS debt” in the Registration Statement,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No Broker’s Fees.</w:t>
      </w:r>
      <w:r>
        <w:rPr>
          <w:rFonts w:ascii="Times New Roman" w:hAnsi="Times New Roman"/>
          <w:sz w:val="20"/>
        </w:rPr>
        <w:t xml:space="preserve"> 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No Registration Rights</w:t>
      </w:r>
      <w:r>
        <w:rPr>
          <w:rFonts w:ascii="Times New Roman" w:hAnsi="Times New Roman"/>
          <w:sz w:val="20"/>
        </w:rPr>
        <w:t xml:space="preserve">. No person has the right to require the Company or any of its subsidiaries to register any securities for sale under the Securities Act by reason of the filing of the Registration Statement with the Commission or the issuance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No Stabilization.</w:t>
      </w:r>
      <w:r>
        <w:rPr>
          <w:rFonts w:ascii="Times New Roman" w:hAnsi="Times New Roman"/>
          <w:sz w:val="20"/>
        </w:rPr>
        <w:t xml:space="preserve"> Neither the Company nor any of the Subsidiary Guarantors has taken, directly or indirectly, any action designed to or that could reasonably be expected to cause or result in any stabilization or manipulation of the price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(tt) </w:t>
      </w:r>
      <w:r>
        <w:rPr>
          <w:rFonts w:ascii="Times New Roman" w:hAnsi="Times New Roman"/>
          <w:i/>
          <w:sz w:val="20"/>
        </w:rPr>
        <w:t>Margin Rules</w:t>
      </w:r>
      <w:r>
        <w:rPr>
          <w:rFonts w:ascii="Times New Roman" w:hAnsi="Times New Roman"/>
          <w:sz w:val="20"/>
        </w:rPr>
        <w:t xml:space="preserve">. Neither the issuance, sale and delivery of the Securities nor the application of the proceeds thereof by the Company as described in each of the Registration Statement, the Time of Sale Information and the Prospectus will violate Regulation T, U or X of the Board of Governors of the Federal Reserve System or any other regulation of such Board of Governors. </w:t>
      </w:r>
    </w:p>
    <w:p>
      <w:pPr>
        <w:pStyle w:val="TextBody"/>
        <w:bidi w:val="0"/>
        <w:spacing w:before="240" w:after="0"/>
        <w:jc w:val="left"/>
        <w:rPr>
          <w:rFonts w:ascii="Times New Roman" w:hAnsi="Times New Roman"/>
          <w:sz w:val="20"/>
        </w:rPr>
      </w:pPr>
      <w:r>
        <w:rPr>
          <w:rFonts w:ascii="Times New Roman" w:hAnsi="Times New Roman"/>
          <w:sz w:val="20"/>
        </w:rPr>
        <w:t xml:space="preserve">(uu) </w:t>
      </w:r>
      <w:r>
        <w:rPr>
          <w:rFonts w:ascii="Times New Roman" w:hAnsi="Times New Roman"/>
          <w:i/>
          <w:sz w:val="20"/>
        </w:rPr>
        <w:t>Forward-Looking Statements.</w:t>
      </w:r>
      <w:r>
        <w:rPr>
          <w:rFonts w:ascii="Times New Roman" w:hAnsi="Times New Roman"/>
          <w:sz w:val="20"/>
        </w:rPr>
        <w:t xml:space="preserve"> No forward-looking statement (within the meaning of Section 27A of the Securities Act and Section 21E of the Exchange Act) included or incorporated by reference in any of the Registration Statement, the Time of Sale Information or the Prospectus has been made or reaffirmed without a reasonable basis or has been disclosed other than in good faith. </w:t>
      </w:r>
    </w:p>
    <w:p>
      <w:pPr>
        <w:pStyle w:val="TextBody"/>
        <w:bidi w:val="0"/>
        <w:spacing w:before="240" w:after="0"/>
        <w:jc w:val="left"/>
        <w:rPr>
          <w:rFonts w:ascii="Times New Roman" w:hAnsi="Times New Roman"/>
          <w:sz w:val="20"/>
        </w:rPr>
      </w:pPr>
      <w:r>
        <w:rPr>
          <w:rFonts w:ascii="Times New Roman" w:hAnsi="Times New Roman"/>
          <w:sz w:val="20"/>
        </w:rPr>
        <w:t xml:space="preserve">(vv) </w:t>
      </w:r>
      <w:r>
        <w:rPr>
          <w:rFonts w:ascii="Times New Roman" w:hAnsi="Times New Roman"/>
          <w:i/>
          <w:sz w:val="20"/>
        </w:rPr>
        <w:t>Statistical and Market Data</w:t>
      </w:r>
      <w:r>
        <w:rPr>
          <w:rFonts w:ascii="Times New Roman" w:hAnsi="Times New Roman"/>
          <w:sz w:val="20"/>
        </w:rPr>
        <w:t xml:space="preserve">. Nothing has come to the attention of the Company and the Subsidiary Guarantors that has caused the Company and the Subsidiary Guarantors to believe that the statistical and market-related data included or incorporated by reference in each of the Registration Statement, the Time of Sale Information and the Prospectus are not based on or derived from sources that are reliable and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(ww) </w:t>
      </w:r>
      <w:r>
        <w:rPr>
          <w:rFonts w:ascii="Times New Roman" w:hAnsi="Times New Roman"/>
          <w:i/>
          <w:sz w:val="20"/>
        </w:rPr>
        <w:t>Sarbanes-Oxley Act</w:t>
      </w:r>
      <w:r>
        <w:rPr>
          <w:rFonts w:ascii="Times New Roman" w:hAnsi="Times New Roman"/>
          <w:sz w:val="20"/>
        </w:rPr>
        <w:t>. There is and has been no failure on the part of the Company or any of its directors or officers, in their capacities as such, to comply with any provision of the Sarbanes-Oxley Act of 2002, as amended, and the rules and regulations promulgated in connection therewith (the “</w:t>
      </w:r>
      <w:r>
        <w:rPr>
          <w:rFonts w:ascii="Times New Roman" w:hAnsi="Times New Roman"/>
          <w:sz w:val="20"/>
          <w:u w:val="single"/>
        </w:rPr>
        <w:t>Sarbanes-Oxley Act</w:t>
      </w:r>
      <w:r>
        <w:rPr>
          <w:rFonts w:ascii="Times New Roman" w:hAnsi="Times New Roman"/>
          <w:sz w:val="20"/>
        </w:rPr>
        <w:t xml:space="preserve">”), including Section 402 related to loans and Sections 302 and 906 related to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(xx) </w:t>
      </w:r>
      <w:r>
        <w:rPr>
          <w:rFonts w:ascii="Times New Roman" w:hAnsi="Times New Roman"/>
          <w:i/>
          <w:sz w:val="20"/>
        </w:rPr>
        <w:t>Status Under the Securities Act</w:t>
      </w:r>
      <w:r>
        <w:rPr>
          <w:rFonts w:ascii="Times New Roman" w:hAnsi="Times New Roman"/>
          <w:sz w:val="20"/>
        </w:rPr>
        <w:t xml:space="preserve">. The Company is not an ineligible issuer and is a well-known seasoned issuer, in each case as defined under the Securities Act, in each case at the times specified in the Securities Act in connection with the offering of the Securities. The Company has paid or will pay the registration fee for this offering pursuant to Rule 457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Further Agreements of the Company and the Subsidiary Guarantors</w:t>
      </w:r>
      <w:r>
        <w:rPr>
          <w:rFonts w:ascii="Times New Roman" w:hAnsi="Times New Roman"/>
          <w:sz w:val="20"/>
        </w:rPr>
        <w:t xml:space="preserve">. The Company and each of the Subsidiary Guarantors jointly and severally covenant and agree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Filings.</w:t>
      </w:r>
      <w:r>
        <w:rPr>
          <w:rFonts w:ascii="Times New Roman" w:hAnsi="Times New Roman"/>
          <w:sz w:val="20"/>
        </w:rPr>
        <w:t xml:space="preserve"> The Company and the Subsidiary Guarantors will file the final Prospectus with the Commission within the time periods specified by Rule 424(b) and Rule 430A, 430B or 430C under the Securities Act, will file any Issuer Free Writing Prospectus (including the Pricing Term Sheet referred to in Annex B hereto)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has paid or will pay the registration fees for this offering within the time period required by Rule 456(b)(1)(i) under the Securities Act (without giving effect to the proviso therein) and in any event prior to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Copies.</w:t>
      </w:r>
      <w:r>
        <w:rPr>
          <w:rFonts w:ascii="Times New Roman" w:hAnsi="Times New Roman"/>
          <w:sz w:val="20"/>
        </w:rPr>
        <w:t xml:space="preserve"> The Company will deliver, without charge, (i) to the Representatives, two signed copies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in each case including all exhibits and consents filed therewith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Times New Roman" w:hAnsi="Times New Roman"/>
          <w:sz w:val="20"/>
          <w:u w:val="single"/>
        </w:rPr>
        <w:t>Prospectus Delivery Period</w:t>
      </w:r>
      <w:r>
        <w:rPr>
          <w:rFonts w:ascii="Times New Roman" w:hAnsi="Times New Roman"/>
          <w:sz w:val="20"/>
        </w:rPr>
        <w:t xml:space="preserve">”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Amendments or Supplements; Issuer Free Writing Prospectuses.</w:t>
      </w:r>
      <w:r>
        <w:rPr>
          <w:rFonts w:ascii="Times New Roman" w:hAnsi="Times New Roman"/>
          <w:sz w:val="20"/>
        </w:rPr>
        <w:t xml:space="preserve"> Before making, preparing, using, authorizing, approving, referring to or filing 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the Representatives.</w:t>
      </w:r>
      <w:r>
        <w:rPr>
          <w:rFonts w:ascii="Times New Roman" w:hAnsi="Times New Roman"/>
          <w:sz w:val="20"/>
        </w:rPr>
        <w:t xml:space="preserve"> The Company will advise the Representatives promptly, and confirm such advice in writing, (i) when the Registration Statement has become effective; (ii) when any amendment to the Registration Statement has been filed or becomes effective; (iii) when any supplement to the Prospectus or any Issuer Free Writing Prospectus or any amendment to the Prospectus or any Issuer Free Writing Prospectus has been filed;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or any other governmental or regulatory authority of any order suspending the effectiveness of the Registration Statement or preventing or suspending the use of any Preliminary Prospectus, the Prospectus, any Time of Sale Information or any Issuer Free Writing Prospectus or the initiation or threatening of any proceeding for that purpose or pursuant to Section 8A of the Securities Act; (vi) of the occurrence of any event or development within the Prospectus Delivery Period as a result of which the Prospectus, any of the Time of Sale Information or any Issuer Free Writing Prospectus as then amended or supplemented would include any untrue statement of a material fact or omit to state a material fact necessary in order to make the statements therein, in the light of the circumstances existing when the Prospectus, the Time of Sale Information or any such Issuer Free Writing Prospectus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Issuer Free Writing Prospectus or the Prospectus, or suspending any such qualification of the Securities and, if any such order is issued, will obtain as soon as possible the withdrawal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Time of Sale Information.</w:t>
      </w:r>
      <w:r>
        <w:rPr>
          <w:rFonts w:ascii="Times New Roman" w:hAnsi="Times New Roman"/>
          <w:sz w:val="20"/>
        </w:rPr>
        <w:t xml:space="preserve"> If at any time prior to the Closing Date (i) any event shall occur or condition shall exist as a result of which any of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any of the Time of Sale Information as so amended or supplemented (including such documents to be incorporated by reference therein) will not, in the light of the circumstances under which they were made, be misleading or so that any of the Time of Sale Information will comply with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Ongoing Compliance of the Prospectus</w:t>
      </w:r>
      <w:r>
        <w:rPr>
          <w:rFonts w:ascii="Times New Roman" w:hAnsi="Times New Roman"/>
          <w:sz w:val="20"/>
        </w:rPr>
        <w:t>. If during the Prospectus Delivery Period (i) any event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existing when the Prospectus is delivered to a purchaser, be misleading or so that the Prospectus will comply with law</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Blue Sky Compliance.</w:t>
      </w:r>
      <w:r>
        <w:rPr>
          <w:rFonts w:ascii="Times New Roman" w:hAnsi="Times New Roman"/>
          <w:sz w:val="20"/>
        </w:rPr>
        <w:t xml:space="preserve"> The Company will qualify the Securities for offer and sale under the securities or Blue Sky laws of such jurisdictions as the Representatives shall reasonably request and will continue such qualifications in effect so long as required for distribution of the Securities; </w:t>
      </w:r>
      <w:r>
        <w:rPr>
          <w:rFonts w:ascii="Times New Roman" w:hAnsi="Times New Roman"/>
          <w:sz w:val="20"/>
          <w:u w:val="single"/>
        </w:rPr>
        <w:t>provided</w:t>
      </w:r>
      <w:r>
        <w:rPr>
          <w:rFonts w:ascii="Times New Roman" w:hAnsi="Times New Roman"/>
          <w:sz w:val="20"/>
        </w:rPr>
        <w:t xml:space="preserve"> that none of the Company nor any of the Subsidiary Guarantors shall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Earning Statement. </w:t>
      </w:r>
      <w:r>
        <w:rPr>
          <w:rFonts w:ascii="Times New Roman" w:hAnsi="Times New Roman"/>
          <w:sz w:val="20"/>
        </w:rPr>
        <w:t xml:space="preserve">The Company will make generally available to its security holders and the 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Clear Market.</w:t>
      </w:r>
      <w:r>
        <w:rPr>
          <w:rFonts w:ascii="Times New Roman" w:hAnsi="Times New Roman"/>
          <w:sz w:val="20"/>
        </w:rPr>
        <w:t xml:space="preserve"> During the period from the date hereof through and including the Closing Date, the Company and each of the Subsidiary Guarantors will not, without the prior written consent of the Representatives, offer, sell, contract to sell or otherwise dispose of any debt securities issued or guaranteed by the Company or any of the Subsidiary Guarantors and having a tenor of more than one year.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Use of Proceeds.</w:t>
      </w:r>
      <w:r>
        <w:rPr>
          <w:rFonts w:ascii="Times New Roman" w:hAnsi="Times New Roman"/>
          <w:sz w:val="20"/>
        </w:rPr>
        <w:t xml:space="preserve"> The Company will apply the net proceeds from the sale of the Securities as described in each of the Registration Statement, the Time of Sale Information and the Prospectus under the heading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DTC</w:t>
      </w:r>
      <w:r>
        <w:rPr>
          <w:rFonts w:ascii="Times New Roman" w:hAnsi="Times New Roman"/>
          <w:sz w:val="20"/>
        </w:rPr>
        <w:t xml:space="preserve">. The Company will assist the Underwriters in arranging for the Securities to be eligible for clearance and settlement through DTC.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No Stabilization.</w:t>
      </w:r>
      <w:r>
        <w:rPr>
          <w:rFonts w:ascii="Times New Roman" w:hAnsi="Times New Roman"/>
          <w:sz w:val="20"/>
        </w:rPr>
        <w:t xml:space="preserve"> None of the Company nor any of the Subsidiary Guarantors will take, directly or indirectly, any action designed to or that could reasonably be expected to cause or result in any stabilization or manipulation of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Record Retention</w:t>
      </w:r>
      <w:r>
        <w:rPr>
          <w:rFonts w:ascii="Times New Roman" w:hAnsi="Times New Roman"/>
          <w:sz w:val="20"/>
        </w:rPr>
        <w:t xml:space="preserve">.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Perfection of Security Interests</w:t>
      </w:r>
      <w:r>
        <w:rPr>
          <w:rFonts w:ascii="Times New Roman" w:hAnsi="Times New Roman"/>
          <w:sz w:val="20"/>
        </w:rPr>
        <w:t xml:space="preserve">. The Company and each Subsidiary Guarantor (i) shall complete on or prior to the Closing Date all filings and other similar actions required in connection with the perfection of security interests in the Collateral as and to the extent contemplated by the Indenture and the Collateral Documents and (ii) shall take all actions necessary to maintain such security interests and to perfect security interests in any Collateral acquired after the Closing Date, in each case as and to the extent contemplated by the Indenture and the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Agreements of the Underwriters</w:t>
      </w:r>
      <w:r>
        <w:rPr>
          <w:rFonts w:ascii="Times New Roman" w:hAnsi="Times New Roman"/>
          <w:sz w:val="20"/>
        </w:rPr>
        <w:t>. Each Underwriter hereby represents and agrees that 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w:t>
      </w:r>
      <w:r>
        <w:rPr>
          <w:rFonts w:ascii="Times New Roman" w:hAnsi="Times New Roman"/>
          <w:sz w:val="20"/>
          <w:u w:val="single"/>
        </w:rPr>
        <w:t>Underwriter Free Writing Prospectus</w:t>
      </w:r>
      <w:r>
        <w:rPr>
          <w:rFonts w:ascii="Times New Roman" w:hAnsi="Times New Roman"/>
          <w:sz w:val="20"/>
        </w:rPr>
        <w:t xml:space="preserve">”). Notwithstanding the foregoing, the Underwriters may use the Pricing Term Sheet referred to in Annex B hereto without the consent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Securities on the Closing Date as provided herein is subject to the performance by the Company and each of the Subsidiary Guarantors of their respective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Compliance; No Stop Order.</w:t>
      </w:r>
      <w:r>
        <w:rPr>
          <w:rFonts w:ascii="Times New Roman" w:hAnsi="Times New Roman"/>
          <w:sz w:val="20"/>
        </w:rPr>
        <w:t xml:space="preserve">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The representations and warranties of the Company and the Subsidiary Guarantors contained herein shall be true and correct on the date hereof and on and as of the Closing Date; and the statements of the Company, the Subsidiary Guarantors and their respective officers made in any certificates delivered pursuant to this Agreement shall be true and correct on and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Downgrade.</w:t>
      </w:r>
      <w:r>
        <w:rPr>
          <w:rFonts w:ascii="Times New Roman" w:hAnsi="Times New Roman"/>
          <w:sz w:val="20"/>
        </w:rPr>
        <w:t xml:space="preserve"> Subsequent to the earlier of (A) the Time of Sale and (B) the execution and delivery of this Agreement, (i) no downgrading shall have occurred in the rating accorded the Securities or any other debt securities or preferred stock issued or guaranteed by the Company or any of its subsidiaries by any “nationally recognized statistical rating organization,” as such term is defined under Section 3(a)(62) of the Exchange Act and (ii) no such organization shall have publicly announced that it has under surveillance or review, or has changed its outlook with respect to, its rating of the Securities or of any other debt securities or preferred stock issued or guaranteed by the Company or any of its subsidiaries (other than an announcement with positive implications of a possible upgrading).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Material Adverse Change.</w:t>
      </w:r>
      <w:r>
        <w:rPr>
          <w:rFonts w:ascii="Times New Roman" w:hAnsi="Times New Roman"/>
          <w:sz w:val="20"/>
        </w:rPr>
        <w:t xml:space="preserve"> No event or condition of a type described in Section 3(g) hereof shall have occurred or shall exist, which event or condition is not described in each of the Time of Sale Information (excluding any amendment or supplement thereto) and the Prospectus (excluding any amendment or supplement thereto) and the effect of which in the judgment of the Representatives makes it impracticable or inadvisable to proceed with the offering, sale or delivery of the Securities on the terms and in the manner contemplated by this Agreement,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Officers’ Certificate.</w:t>
      </w:r>
      <w:r>
        <w:rPr>
          <w:rFonts w:ascii="Times New Roman" w:hAnsi="Times New Roman"/>
          <w:sz w:val="20"/>
        </w:rPr>
        <w:t xml:space="preserve"> The Representatives shall have received on and as of the Closing Date a certificate or certificates of the chief executive officer and the chief financial officer of the Company and a senior officer of each Subsidiary Guarantor who has specific knowledge of such Subsidiary Guarantor’s financial matters and is satisfactory to the Representatives (i) confirming that such officer has carefully reviewed the Registration Statement, the Time of Sale Information and the Prospectus and, to the best knowledge of such officer, the representations set forth in Sections 3(b) and 3(d) hereof are true and correct, (ii) confirming that the other representations and warranties of the Company and the Subsidiary Guarantors in this Agreement are true and correct and that the Company and the Subsidiary Guarantors have complied with all agreements and satisfied all conditions on their part to be performed or satisfied hereunder at or prior to the Closing Date and (iii) to the effect set forth in paragraphs (a), (c) and (d)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Comfort Letters.</w:t>
      </w:r>
      <w:r>
        <w:rPr>
          <w:rFonts w:ascii="Times New Roman" w:hAnsi="Times New Roman"/>
          <w:sz w:val="20"/>
        </w:rPr>
        <w:t xml:space="preserve"> On the date of this Agreement and on the Closing Date, PricewaterhouseCoopers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Time of Sale Information and the Prospectus; </w:t>
      </w:r>
      <w:r>
        <w:rPr>
          <w:rFonts w:ascii="Times New Roman" w:hAnsi="Times New Roman"/>
          <w:sz w:val="20"/>
          <w:u w:val="single"/>
        </w:rPr>
        <w:t>provided</w:t>
      </w:r>
      <w:r>
        <w:rPr>
          <w:rFonts w:ascii="Times New Roman" w:hAnsi="Times New Roman"/>
          <w:sz w:val="20"/>
        </w:rPr>
        <w:t xml:space="preserve"> that the letter delivered on the Closing Date shall use a “cut-off” date no more than three business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Opinion and 10b-5 Statement of Counsel for the Company.</w:t>
      </w:r>
      <w:r>
        <w:rPr>
          <w:rFonts w:ascii="Times New Roman" w:hAnsi="Times New Roman"/>
          <w:sz w:val="20"/>
        </w:rPr>
        <w:t xml:space="preserve"> Norton Rose Fulbright US LLP, counsel for the Company and the Subsidiary Guarantors, shall have furnished to the Representatives, at the request of the Company, their written opinion and 10b-5 statement, dated the Closing Date and addressed to the Underwriters, in form and substance reasonably satisfactory to the Representatives, to the effect set forth in Annex C 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Opinion of the General Counsel</w:t>
      </w:r>
      <w:r>
        <w:rPr>
          <w:rFonts w:ascii="Times New Roman" w:hAnsi="Times New Roman"/>
          <w:sz w:val="20"/>
        </w:rPr>
        <w:t xml:space="preserve">. Matthew D. Klein, Senior Vice President and General Counsel to the Company, shall have furnished to the Representatives, at the request of the Company, his written opinion, dated the Closing Date and addressed to the Underwriters, in form and substance reasonably satisfactory to the Representatives, to the effect set forth in Annex D hereto.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Opinion of the Local Counsel</w:t>
      </w:r>
      <w:r>
        <w:rPr>
          <w:rFonts w:ascii="Times New Roman" w:hAnsi="Times New Roman"/>
          <w:sz w:val="20"/>
        </w:rPr>
        <w:t xml:space="preserve">. Childs Watson, PLLC, counsel for the Company and the Subsidiary Guarantors in the State of Nevada, shall have furnished to the Representatives, at the request of the Company, its written opinion, dated the Closing Date and addressed to the Underwriters, in form and substance reasonably satisfactory to the Representatives, to the effect set forth in Annex E hereto.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Opinion and 10b-5 Statement of Counsel for the Underwriters.</w:t>
      </w:r>
      <w:r>
        <w:rPr>
          <w:rFonts w:ascii="Times New Roman" w:hAnsi="Times New Roman"/>
          <w:sz w:val="20"/>
        </w:rPr>
        <w:t xml:space="preserve"> The Representatives shall have received on and as of the Closing Date an opinion and 10b-5 statement of Simpson Thacher &amp; Bartlett LLP, counsel for the Underwriters, with respect to such matters as the Representatives may reasonably request, and such counsel shall have received such documents and information as they may reasonably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No Legal Impediment to Issuance.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prevent the issuance or sale of the Securities or the issuance of the Guarantees; and no injunction or order of any federal, state or foreign court shall have been issued that would, as of the Closing Date, prevent the issuance or sale of the Securities or the issuance of the Guarantees.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Good Standing</w:t>
      </w:r>
      <w:r>
        <w:rPr>
          <w:rFonts w:ascii="Times New Roman" w:hAnsi="Times New Roman"/>
          <w:sz w:val="20"/>
        </w:rPr>
        <w:t xml:space="preserve">. The Representatives shall have received on and as of the Closing Date satisfactory evidence as of a then recent date of the good standing (or similar status) of the Company and the Subsidiary Guarantors in their respective jurisdictions of organization and their good standing (or similar status) in such other jurisdictions as the Representatives may reasonably request, in each case in writing or any standard form of telecommunication, from the appropriate governmental authorities of such jurisdictions, except where the appropriate governmental authority of an applicable jurisdiction does not furnish such evidence or where the failure to be in good standing would not, individually or in the aggregate, have a material impact 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DTC</w:t>
      </w:r>
      <w:r>
        <w:rPr>
          <w:rFonts w:ascii="Times New Roman" w:hAnsi="Times New Roman"/>
          <w:sz w:val="20"/>
        </w:rPr>
        <w:t xml:space="preserve">. The Securities shall be eligible for clearance and settlement through DTC.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CFO Certificate</w:t>
      </w:r>
      <w:r>
        <w:rPr>
          <w:rFonts w:ascii="Times New Roman" w:hAnsi="Times New Roman"/>
          <w:sz w:val="20"/>
        </w:rPr>
        <w:t xml:space="preserve">. The Underwriters shall have received on the date of this Agreement and on the Closing Date certificates of the chief financial officer of the Company, in form and substance satisfactory to the Representatives, with respect to certain financial data contained in each of the Time of Sale Information and the Prospectus, providing “management comfort” with respect to such information, in form and substance reasonably satisfactory to the Representatives, to the effect set forth in Exhibit A hereto.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Indenture and Securities</w:t>
      </w:r>
      <w:r>
        <w:rPr>
          <w:rFonts w:ascii="Times New Roman" w:hAnsi="Times New Roman"/>
          <w:sz w:val="20"/>
        </w:rPr>
        <w:t xml:space="preserve">. The Indenture shall have been duly executed and delivered by a duly authorized officer of the Company, each of the Subsidiary Guarantors, the Trustee, and the Securities shall have been duly executed and delivered by a duly authorized officer of the Company and duly authenticated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Lien Searches</w:t>
      </w:r>
      <w:r>
        <w:rPr>
          <w:rFonts w:ascii="Times New Roman" w:hAnsi="Times New Roman"/>
          <w:sz w:val="20"/>
        </w:rPr>
        <w:t xml:space="preserve">. The Representatives shall have received the results of a recent lien search in each of the jurisdictions where assets of the Company and the Subsidiary Guarantors are located (for purposes of the New York UCC) and any jurisdictions in which valid filings with respect to such assets of the Company and the Subsidiary Guarantors may be in effect, and such search shall reveal no liens on any of the assets of the Company and the Subsidiary Guarantors or their respective subsidiaries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Security Agreement and Intellectual Property Security Agreements</w:t>
      </w:r>
      <w:r>
        <w:rPr>
          <w:rFonts w:ascii="Times New Roman" w:hAnsi="Times New Roman"/>
          <w:sz w:val="20"/>
        </w:rPr>
        <w:t xml:space="preserve">. The Underwriters shall have received conformed counterparts of the Security Agreement and each of the Intellectual Property Security Agreements that shall have been executed and delivered by duly authorized officers of each party thereto,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Filings, Registration and Recordings</w:t>
      </w:r>
      <w:r>
        <w:rPr>
          <w:rFonts w:ascii="Times New Roman" w:hAnsi="Times New Roman"/>
          <w:sz w:val="20"/>
        </w:rPr>
        <w:t xml:space="preserve">. Except as otherwise contemplated by any Intellectual Property Security Agreements and the Security Agreement, each document (including any Uniform Commercial Code financing statement and any Intellectual Property Security Agreements) required by such Intellectual Property Security Agreements and the Security Agreement, or under law or reasonably requested by the Representatives, in each case, to be filed, registered or recorded, or delivered for filing on or prior to the Closing Date, including filings, if applicable, in the U.S. Patent and Trademark Office and the U.S. Copyright Office in order to create in favor of the Collateral Agent for the benefit of the First Lien Secured Parties, a perfected first-priority lien and security interest in the Collateral that can be perfected by the making of such filings, registrations or recordations, prior and superior to the right of any other person (other than Permitted Liens), shall be executed if applicable, and in proper form for filing, registration or recordation.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Certificated Securities</w:t>
      </w:r>
      <w:r>
        <w:rPr>
          <w:rFonts w:ascii="Times New Roman" w:hAnsi="Times New Roman"/>
          <w:sz w:val="20"/>
        </w:rPr>
        <w:t xml:space="preserve">. On the Closing Date, the Collateral Agent shall have received all certificated securities and blank, undated stock powers for each of the applicable Subsidiary Guarantors as set forth in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Transactions</w:t>
      </w:r>
      <w:r>
        <w:rPr>
          <w:rFonts w:ascii="Times New Roman" w:hAnsi="Times New Roman"/>
          <w:sz w:val="20"/>
        </w:rPr>
        <w:t xml:space="preserve">. Concurrently with or prior to the Closing Date, the Transactions shall have been consummated in a manner consistent in all material respects with the descriptions thereof in the Registration Statement, Time of Sale Information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Additional Documents.</w:t>
      </w:r>
      <w:r>
        <w:rPr>
          <w:rFonts w:ascii="Times New Roman" w:hAnsi="Times New Roman"/>
          <w:sz w:val="20"/>
        </w:rPr>
        <w:t xml:space="preserve"> On or prior to the Closing Date, the Company and the Subsidiary Guarantors shall have furnished to the Representatives such further certificates and documents as the Representatives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w:t>
      </w:r>
      <w:r>
        <w:rPr>
          <w:rFonts w:ascii="Times New Roman" w:hAnsi="Times New Roman"/>
          <w:sz w:val="20"/>
        </w:rPr>
        <w:t xml:space="preserve"> The Company and each of the Subsidiary Guarantors jointly and severally agree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any Time of Sale Information,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 and the Subsidiary Guarantors.</w:t>
      </w:r>
      <w:r>
        <w:rPr>
          <w:rFonts w:ascii="Times New Roman" w:hAnsi="Times New Roman"/>
          <w:sz w:val="20"/>
        </w:rPr>
        <w:t xml:space="preserve"> Each Underwriter agrees, severally and not jointly, to indemnify and hold harmless the Company, each of the Subsidiary Guarantors, each of their respective directors and officers who signed the Registration Statement and each person, if any, who controls the Company or any of the Subsidiary Guarantors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or any Time of Sale Information, it being understood and agreed that the only such information consists of the following paragraphs in the Preliminary Prospectus and the Prospectus: the fifth paragraph, the ninth paragraph and the eleventh paragraph, in each case, found under the heading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Times New Roman" w:hAnsi="Times New Roman"/>
          <w:sz w:val="20"/>
          <w:u w:val="single"/>
        </w:rPr>
        <w:t>Indemnified Person</w:t>
      </w:r>
      <w:r>
        <w:rPr>
          <w:rFonts w:ascii="Times New Roman" w:hAnsi="Times New Roman"/>
          <w:sz w:val="20"/>
        </w:rPr>
        <w:t>”) shall promptly notify the person against whom such indemnification may be sought (the “</w:t>
      </w:r>
      <w:r>
        <w:rPr>
          <w:rFonts w:ascii="Times New Roman" w:hAnsi="Times New Roman"/>
          <w:sz w:val="20"/>
          <w:u w:val="single"/>
        </w:rPr>
        <w:t>Indemnifying Person</w:t>
      </w:r>
      <w:r>
        <w:rPr>
          <w:rFonts w:ascii="Times New Roman" w:hAnsi="Times New Roman"/>
          <w:sz w:val="20"/>
        </w:rPr>
        <w:t xml:space="preserve">”)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reimbursed as they are incurred. Any such separate firm for any Underwriter, its affiliates, directors and officers and any control persons of such Underwriter shall be designated in writing by the Representatives, and any such separate firm for the Company, the Subsidiary Guarantors, their respective directors and officers who signed the Registration Statement and any control persons of the Company and the Subsidiary Guarantors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w:t>
      </w:r>
      <w:r>
        <w:rPr>
          <w:rFonts w:ascii="Times New Roman" w:hAnsi="Times New Roman"/>
          <w:sz w:val="20"/>
        </w:rPr>
        <w:t xml:space="preserve"> If the indemnification provided for in paragraph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Subsidiary Guarantors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and the Subsidiary Guarantors on the one hand and the Underwriters on the other in connection with the statements or omissions that resulted in such losses, claims, damages or liabilities, as well as any other relevant equitable considerations. The relative benefits received by the Company and the Subsidiary Guarantors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and the Subsidiary Guarantors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any Subsidiary Guarantor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 on Liability.</w:t>
      </w:r>
      <w:r>
        <w:rPr>
          <w:rFonts w:ascii="Times New Roman" w:hAnsi="Times New Roman"/>
          <w:sz w:val="20"/>
        </w:rPr>
        <w:t xml:space="preserve"> The Company, the Subsidiary Guarantors and the Underwriters agree that it would not be just and equitable if contribution pursuant to this Section 7 were determined by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Non-Exclusive Remedies.</w:t>
      </w:r>
      <w:r>
        <w:rPr>
          <w:rFonts w:ascii="Times New Roman" w:hAnsi="Times New Roman"/>
          <w:sz w:val="20"/>
        </w:rPr>
        <w:t xml:space="preserve"> The remedies provided for in this Section 7 are not exclusive and shall not limit any rights or remedies that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Representatives, by notice to the Company, if after the execution and delivery of this Agreement and on or prior to the Closing Date (i) trading generally shall have been suspended or materially limited on the New York Stock Exchange or the over-the-counter market; (ii) trading of any securities issued or guaranteed by the Company or any of the Subsidiary Guarantors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Defaulting Underwriter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on the Closing Date,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any of the non-defaulting Underwriters or the Company may postpone the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w:t>
      </w:r>
      <w:r>
        <w:rPr>
          <w:rFonts w:ascii="Times New Roman" w:hAnsi="Times New Roman"/>
          <w:sz w:val="20"/>
          <w:u w:val="single"/>
        </w:rPr>
        <w:t>Underwriter</w:t>
      </w:r>
      <w:r>
        <w:rPr>
          <w:rFonts w:ascii="Times New Roman" w:hAnsi="Times New Roman"/>
          <w:sz w:val="20"/>
        </w:rPr>
        <w:t xml:space="preserve">” includes, for all purposes of this Agreement unless the context otherwise requires, any person not listed in Schedule 1 hereto that, pursuant to this Section 9, purchases Securities that a defaulting Underwriter agreed but failed to purchase.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Underwriter to purchase the aggregate principal amount of Securities that such Underwriter agreed to purchase hereunder plus such Underwriter’s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share (based on the aggregate principal amount of Securities that such Underwriter agreed to purchase hereunder) of the Securities of such defaulting Underwriter or Underwriters for which such arrangements have not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Underwriters. Any termination of this Agreement pursuant to this Section 9 shall be without liability on the part of the Company or the Subsidiary Guarantors, except that the Company and each of the Subsidiary Guarantors will continue to be liable for the payment of expenses as set forth in Section 10 hereof and except that the provisions of Section 7 hereof shall not terminate and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Company, the Subsidiary Guarantors or any non-defaulting Underwriter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Payment of Expenses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the transactions contemplated by this Agreement are consummated or this Agreement is terminated, the Company and each of the Subsidiary Guarantors jointly and severally agree to pay or cause to be paid all costs and expenses incident to the performance of their respective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and the Subsidiary Guarantors’ counsel and independent accountants;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expenses of the Trustee, the Collateral Agent and any paying agent (including related fees and expenses of any counsel to such parties); (viii) the fees and expenses incurred with respect to creating, documenting and perfecting the security interests in the Collateral as contemplated by the Collateral Documents (including the related fees and expenses of counsel to the Underwriters for all periods prior to and after the Closing Date); (ix) all expenses and application fees incurred in connection with any filing with, and clearance of the offering by, the Financial Industry Regulatory Authority, and the approval of the Securities for book-entry transfer by DTC; and (x) all expenses incurred by the Company in connection with any “road show” presentation to potential investors. </w:t>
      </w:r>
    </w:p>
    <w:p>
      <w:pPr>
        <w:pStyle w:val="TextBody"/>
        <w:bidi w:val="0"/>
        <w:spacing w:before="240" w:after="0"/>
        <w:jc w:val="left"/>
        <w:rPr>
          <w:rFonts w:ascii="Times New Roman" w:hAnsi="Times New Roman"/>
          <w:sz w:val="20"/>
        </w:rPr>
      </w:pPr>
      <w:r>
        <w:rPr>
          <w:rFonts w:ascii="Times New Roman" w:hAnsi="Times New Roman"/>
          <w:sz w:val="20"/>
        </w:rPr>
        <w:t xml:space="preserve">(b) If (i) this Agreement is terminated pursuant to Section 8, (ii) the Company for any reason fails to tender the Securities for delivery to the Underwriters or (iii) the Underwriters decline to purchase the Securities for any reason permitted under this Agreement, the Company and each of the Subsidiary Guarantors jointly and severally agree to reimburse the Underwriters for all out-of-pocket costs and expenses (including the fees and expenses of their counsel) reasonably incurred by the Underwriters in connection with this Agreement and the offering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any controlling persons referred to herein, and the affiliates, officers and directors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the Subsidiary Guarantors and the Underwriters contained in this Agreement or made by or on behalf of the Company, the Subsidiary Guarantors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Subsidiary Guarantors 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Certain Defined Terms</w:t>
      </w:r>
      <w:r>
        <w:rPr>
          <w:rFonts w:ascii="Times New Roman" w:hAnsi="Times New Roman"/>
          <w:sz w:val="20"/>
        </w:rPr>
        <w:t>. For purposes of this Agreement, (a) except where otherwise expressly provided, the term “</w:t>
      </w:r>
      <w:r>
        <w:rPr>
          <w:rFonts w:ascii="Times New Roman" w:hAnsi="Times New Roman"/>
          <w:sz w:val="20"/>
          <w:u w:val="single"/>
        </w:rPr>
        <w:t>affiliate</w:t>
      </w:r>
      <w:r>
        <w:rPr>
          <w:rFonts w:ascii="Times New Roman" w:hAnsi="Times New Roman"/>
          <w:sz w:val="20"/>
        </w:rPr>
        <w:t>” has the meaning set forth in Rule 405 under the Securities Act; (b) the term “</w:t>
      </w:r>
      <w:r>
        <w:rPr>
          <w:rFonts w:ascii="Times New Roman" w:hAnsi="Times New Roman"/>
          <w:sz w:val="20"/>
          <w:u w:val="single"/>
        </w:rPr>
        <w:t>business day</w:t>
      </w:r>
      <w:r>
        <w:rPr>
          <w:rFonts w:ascii="Times New Roman" w:hAnsi="Times New Roman"/>
          <w:sz w:val="20"/>
        </w:rPr>
        <w:t>” means any day other than a day on which banks are permitted or required to be closed in New York City; and (c) the term “</w:t>
      </w:r>
      <w:r>
        <w:rPr>
          <w:rFonts w:ascii="Times New Roman" w:hAnsi="Times New Roman"/>
          <w:sz w:val="20"/>
          <w:u w:val="single"/>
        </w:rPr>
        <w:t>subsidiary</w:t>
      </w:r>
      <w:r>
        <w:rPr>
          <w:rFonts w:ascii="Times New Roman" w:hAnsi="Times New Roman"/>
          <w:sz w:val="20"/>
        </w:rPr>
        <w:t xml:space="preserve">” has the meaning set forth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Compliance with 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Authority of the Representatives.</w:t>
      </w:r>
      <w:r>
        <w:rPr>
          <w:rFonts w:ascii="Times New Roman" w:hAnsi="Times New Roman"/>
          <w:sz w:val="20"/>
        </w:rPr>
        <w:t xml:space="preserve"> Any action by the Underwriters hereunder may be taken by the Representatives on behalf of the Underwriters, and any such action taken by the Representatives shall be binding upon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 J.P. Morgan Securities LLC, 270 Park Avenue, New York, New York 10017, Attention: Investment Grade Syndicate Desk—3rd Floor, Facsimile: (212) 834-6081; c/o BofA Securities, Inc., 114 West 47th Street, NY8-114-07-01, New York, New York 10036 (fax: 212-901-7881), Attention: High Grade Debt Capital Markets Transaction Management/Legal; c/o Truist Securities, Inc., 50 Hudson Yards, 70th Floor, New York, New York 10001 (fax: 404-926-9027); Attention: Investment Grade Debt Capital Markets; c/o U.S. Bancorp Investments, Inc., 214 North Tryon Street, 26th Floor, Charlotte, North Carolina 28202, Attention: Debt Capital Markets, (facsimile/fax: 877-774-3462); c/o Wells Fargo Securities, LLC, 550 South Tryon Street, 5th Floor, Charlotte, North Carolina 28202, Attention: Transaction Management, Facsimile No. (704) 410-0325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such facsimile to be confirmed by telephone to (704) 410-4792), Email: tmgcapitalmarkets@wellsfargo.com. Notices to the Company and the Subsidiary Guarantors shall be given to them at 367 South Gulph Road, P.O. Box 61558, King of Prussia, PA 19406-0958 (fax: (610) 382-4407), Attention: Chief Financial Officer. The Company shall be entitled to act and rely upon any request, consent, notice or agreement given or made on behalf of the Underwriters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Submission to Jurisdiction</w:t>
      </w:r>
      <w:r>
        <w:rPr>
          <w:rFonts w:ascii="Times New Roman" w:hAnsi="Times New Roman"/>
          <w:sz w:val="20"/>
        </w:rPr>
        <w:t xml:space="preserve">. The Company and each of the Subsidiary Guarantors hereby submit to the exclusive jurisdiction of the U.S. federal and New York state courts in the Borough of Manhattan in The City of New York in any suit or proceeding arising out of or relating to this Agreement or the Transactions. The Company and each of the Subsidiary Guarantors waive any objection which it may now or hereafter have to the laying of venue of any such suit or proceeding in such courts. Each of the Company and each of the Subsidiary Guarantors agrees that final judgment in any such suit, action or proceeding brought in such court shall be conclusive and binding upon the Company and each Subsidiary Guarantor, as applicable, and may be enforced in any court to the jurisdiction of which Company and each Subsidiary Guarantor, as applicable, is subject by a suit upon such judgment.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Waiver of Jury Trial</w:t>
      </w:r>
      <w:r>
        <w:rPr>
          <w:rFonts w:ascii="Times New Roman" w:hAnsi="Times New Roman"/>
          <w:sz w:val="20"/>
        </w:rPr>
        <w:t xml:space="preserve">. Each of the parties hereto hereby waives any right to trial by jury in any suit or proceeding arising out of or relating to this Agreement or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Counterparts.</w:t>
      </w:r>
      <w:r>
        <w:rPr>
          <w:rFonts w:ascii="Times New Roman" w:hAnsi="Times New Roman"/>
          <w:sz w:val="20"/>
        </w:rPr>
        <w:t xml:space="preserve"> This Agreement may be signed in counterparts (which may include counterparts delivered by any standard form of telecommunication), each of which shall be an original and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15(g): </w:t>
      </w:r>
    </w:p>
    <w:p>
      <w:pPr>
        <w:pStyle w:val="TextBody"/>
        <w:bidi w:val="0"/>
        <w:spacing w:before="120" w:after="0"/>
        <w:jc w:val="left"/>
        <w:rPr/>
      </w:pPr>
      <w:r>
        <w:rPr/>
        <w:t>“</w:t>
      </w:r>
      <w:r>
        <w:rPr>
          <w:rFonts w:ascii="Times New Roman" w:hAnsi="Times New Roman"/>
          <w:sz w:val="20"/>
          <w:u w:val="single"/>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5"/>
        <w:gridCol w:w="60"/>
        <w:gridCol w:w="3717"/>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UNIVERSAL HEALTH SERVICES, INC.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17"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Name: Steve Filton</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Title: Executive Vice President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Each of the Subsidiary Guarantors Listed on Schedule 2 hereto</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17"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Name: Steve Filton</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26"/>
        <w:gridCol w:w="60"/>
        <w:gridCol w:w="3696"/>
      </w:tblGrid>
      <w:tr>
        <w:trPr/>
        <w:tc>
          <w:tcPr>
            <w:tcW w:w="32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J.P. MORGAN SECURITIES LLC</w:t>
            </w:r>
          </w:p>
        </w:tc>
      </w:tr>
      <w:tr>
        <w:trPr/>
        <w:tc>
          <w:tcPr>
            <w:tcW w:w="4082" w:type="dxa"/>
            <w:gridSpan w:val="3"/>
            <w:tcBorders/>
          </w:tcPr>
          <w:p>
            <w:pPr>
              <w:pStyle w:val="TableContents"/>
              <w:bidi w:val="0"/>
              <w:spacing w:before="0" w:after="283"/>
              <w:jc w:val="left"/>
              <w:rPr/>
            </w:pPr>
            <w:r>
              <w:rPr/>
              <w:t>For itself and on behalf of the several Underwriters listed in Schedule 1 hereto.</w:t>
            </w:r>
          </w:p>
        </w:tc>
      </w:tr>
      <w:tr>
        <w:trPr>
          <w:trHeight w:val="240" w:hRule="atLeast"/>
        </w:trPr>
        <w:tc>
          <w:tcPr>
            <w:tcW w:w="326" w:type="dxa"/>
            <w:tcBorders/>
            <w:vAlign w:val="center"/>
          </w:tcPr>
          <w:p>
            <w:pPr>
              <w:pStyle w:val="TableContents"/>
              <w:bidi w:val="0"/>
              <w:spacing w:before="0" w:after="283"/>
              <w:jc w:val="left"/>
              <w:rPr>
                <w:sz w:val="4"/>
                <w:szCs w:val="4"/>
              </w:rPr>
            </w:pPr>
            <w:r>
              <w:rPr>
                <w:sz w:val="4"/>
                <w:szCs w:val="4"/>
              </w:rPr>
            </w:r>
          </w:p>
        </w:tc>
        <w:tc>
          <w:tcPr>
            <w:tcW w:w="3756" w:type="dxa"/>
            <w:gridSpan w:val="2"/>
            <w:tcBorders/>
            <w:vAlign w:val="center"/>
          </w:tcPr>
          <w:p>
            <w:pPr>
              <w:pStyle w:val="TableContents"/>
              <w:bidi w:val="0"/>
              <w:spacing w:before="0" w:after="283"/>
              <w:jc w:val="left"/>
              <w:rPr>
                <w:sz w:val="4"/>
                <w:szCs w:val="4"/>
              </w:rPr>
            </w:pPr>
            <w:r>
              <w:rPr>
                <w:sz w:val="4"/>
                <w:szCs w:val="4"/>
              </w:rPr>
            </w:r>
          </w:p>
        </w:tc>
      </w:tr>
      <w:tr>
        <w:trPr/>
        <w:tc>
          <w:tcPr>
            <w:tcW w:w="326"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6" w:type="dxa"/>
            <w:tcBorders>
              <w:bottom w:val="single" w:sz="2" w:space="0" w:color="000000"/>
            </w:tcBorders>
            <w:tcMar>
              <w:bottom w:w="28" w:type="dxa"/>
            </w:tcMar>
            <w:vAlign w:val="bottom"/>
          </w:tcPr>
          <w:p>
            <w:pPr>
              <w:pStyle w:val="TableContents"/>
              <w:bidi w:val="0"/>
              <w:spacing w:before="0" w:after="283"/>
              <w:jc w:val="left"/>
              <w:rPr/>
            </w:pPr>
            <w:r>
              <w:rPr/>
              <w:t>/s/ Som Bhattacharyya</w:t>
            </w:r>
          </w:p>
        </w:tc>
      </w:tr>
      <w:tr>
        <w:trPr/>
        <w:tc>
          <w:tcPr>
            <w:tcW w:w="32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6" w:type="dxa"/>
            <w:tcBorders/>
            <w:vAlign w:val="bottom"/>
          </w:tcPr>
          <w:p>
            <w:pPr>
              <w:pStyle w:val="TableContents"/>
              <w:bidi w:val="0"/>
              <w:spacing w:before="0" w:after="283"/>
              <w:jc w:val="left"/>
              <w:rPr/>
            </w:pPr>
            <w:r>
              <w:rPr/>
              <w:t>Name: Som Bhattacharyya</w:t>
            </w:r>
          </w:p>
        </w:tc>
      </w:tr>
      <w:tr>
        <w:trPr/>
        <w:tc>
          <w:tcPr>
            <w:tcW w:w="32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6" w:type="dxa"/>
            <w:tcBorders/>
            <w:vAlign w:val="bottom"/>
          </w:tcPr>
          <w:p>
            <w:pPr>
              <w:pStyle w:val="TableContents"/>
              <w:bidi w:val="0"/>
              <w:spacing w:before="0" w:after="283"/>
              <w:jc w:val="left"/>
              <w:rPr/>
            </w:pPr>
            <w:r>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BOFA SECURITIES, INC.</w:t>
            </w:r>
          </w:p>
        </w:tc>
      </w:tr>
      <w:tr>
        <w:trPr/>
        <w:tc>
          <w:tcPr>
            <w:tcW w:w="4082" w:type="dxa"/>
            <w:gridSpan w:val="3"/>
            <w:tcBorders/>
          </w:tcPr>
          <w:p>
            <w:pPr>
              <w:pStyle w:val="TableContents"/>
              <w:bidi w:val="0"/>
              <w:spacing w:before="0" w:after="283"/>
              <w:jc w:val="left"/>
              <w:rPr/>
            </w:pPr>
            <w:r>
              <w:rPr/>
              <w:t>For itself and on behalf of the several Underwriters listed in Schedule 1 hereto.</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vAlign w:val="bottom"/>
          </w:tcPr>
          <w:p>
            <w:pPr>
              <w:pStyle w:val="TableContents"/>
              <w:bidi w:val="0"/>
              <w:spacing w:before="0" w:after="283"/>
              <w:jc w:val="left"/>
              <w:rPr/>
            </w:pPr>
            <w:r>
              <w:rPr/>
              <w:t>/s/ Sandeep Chawla</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Sandeep Chawla</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TRUIST SECURITIES, INC.</w:t>
            </w:r>
          </w:p>
        </w:tc>
      </w:tr>
      <w:tr>
        <w:trPr/>
        <w:tc>
          <w:tcPr>
            <w:tcW w:w="4082" w:type="dxa"/>
            <w:gridSpan w:val="3"/>
            <w:tcBorders/>
          </w:tcPr>
          <w:p>
            <w:pPr>
              <w:pStyle w:val="TableContents"/>
              <w:bidi w:val="0"/>
              <w:spacing w:before="0" w:after="283"/>
              <w:jc w:val="left"/>
              <w:rPr/>
            </w:pPr>
            <w:r>
              <w:rPr/>
              <w:t>For itself and on behalf of the several Underwriters listed in Schedule 1 hereto.</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vAlign w:val="bottom"/>
          </w:tcPr>
          <w:p>
            <w:pPr>
              <w:pStyle w:val="TableContents"/>
              <w:bidi w:val="0"/>
              <w:spacing w:before="0" w:after="283"/>
              <w:jc w:val="left"/>
              <w:rPr/>
            </w:pPr>
            <w:r>
              <w:rPr/>
              <w:t>/s/ Rob Nordlinger</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Rob Nordlinger</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28"/>
        <w:gridCol w:w="60"/>
        <w:gridCol w:w="3694"/>
      </w:tblGrid>
      <w:tr>
        <w:trPr/>
        <w:tc>
          <w:tcPr>
            <w:tcW w:w="3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U.S. BANCORP INVESTMENTS, INC.</w:t>
            </w:r>
          </w:p>
        </w:tc>
      </w:tr>
      <w:tr>
        <w:trPr/>
        <w:tc>
          <w:tcPr>
            <w:tcW w:w="4082" w:type="dxa"/>
            <w:gridSpan w:val="3"/>
            <w:tcBorders/>
          </w:tcPr>
          <w:p>
            <w:pPr>
              <w:pStyle w:val="TableContents"/>
              <w:bidi w:val="0"/>
              <w:spacing w:before="0" w:after="283"/>
              <w:jc w:val="left"/>
              <w:rPr/>
            </w:pPr>
            <w:r>
              <w:rPr/>
              <w:t>For itself and on behalf of the several Underwriters listed in Schedule 1 hereto.</w:t>
            </w:r>
          </w:p>
        </w:tc>
      </w:tr>
      <w:tr>
        <w:trPr>
          <w:trHeight w:val="240" w:hRule="atLeast"/>
        </w:trPr>
        <w:tc>
          <w:tcPr>
            <w:tcW w:w="328" w:type="dxa"/>
            <w:tcBorders/>
            <w:vAlign w:val="center"/>
          </w:tcPr>
          <w:p>
            <w:pPr>
              <w:pStyle w:val="TableContents"/>
              <w:bidi w:val="0"/>
              <w:spacing w:before="0" w:after="283"/>
              <w:jc w:val="left"/>
              <w:rPr>
                <w:sz w:val="4"/>
                <w:szCs w:val="4"/>
              </w:rPr>
            </w:pPr>
            <w:r>
              <w:rPr>
                <w:sz w:val="4"/>
                <w:szCs w:val="4"/>
              </w:rPr>
            </w:r>
          </w:p>
        </w:tc>
        <w:tc>
          <w:tcPr>
            <w:tcW w:w="3754" w:type="dxa"/>
            <w:gridSpan w:val="2"/>
            <w:tcBorders/>
            <w:vAlign w:val="center"/>
          </w:tcPr>
          <w:p>
            <w:pPr>
              <w:pStyle w:val="TableContents"/>
              <w:bidi w:val="0"/>
              <w:spacing w:before="0" w:after="283"/>
              <w:jc w:val="left"/>
              <w:rPr>
                <w:sz w:val="4"/>
                <w:szCs w:val="4"/>
              </w:rPr>
            </w:pPr>
            <w:r>
              <w:rPr>
                <w:sz w:val="4"/>
                <w:szCs w:val="4"/>
              </w:rPr>
            </w:r>
          </w:p>
        </w:tc>
      </w:tr>
      <w:tr>
        <w:trPr/>
        <w:tc>
          <w:tcPr>
            <w:tcW w:w="32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4" w:type="dxa"/>
            <w:tcBorders>
              <w:bottom w:val="single" w:sz="2" w:space="0" w:color="000000"/>
            </w:tcBorders>
            <w:tcMar>
              <w:bottom w:w="28" w:type="dxa"/>
            </w:tcMar>
            <w:vAlign w:val="bottom"/>
          </w:tcPr>
          <w:p>
            <w:pPr>
              <w:pStyle w:val="TableContents"/>
              <w:bidi w:val="0"/>
              <w:spacing w:before="0" w:after="283"/>
              <w:jc w:val="left"/>
              <w:rPr/>
            </w:pPr>
            <w:r>
              <w:rPr/>
              <w:t>/s/ William Carney</w:t>
            </w:r>
          </w:p>
        </w:tc>
      </w:tr>
      <w:tr>
        <w:trPr/>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4" w:type="dxa"/>
            <w:tcBorders/>
            <w:vAlign w:val="bottom"/>
          </w:tcPr>
          <w:p>
            <w:pPr>
              <w:pStyle w:val="TableContents"/>
              <w:bidi w:val="0"/>
              <w:spacing w:before="0" w:after="283"/>
              <w:jc w:val="left"/>
              <w:rPr/>
            </w:pPr>
            <w:r>
              <w:rPr/>
              <w:t>Name: William Carney</w:t>
            </w:r>
          </w:p>
        </w:tc>
      </w:tr>
      <w:tr>
        <w:trPr/>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4"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WELLS FARGO SECURITIES, LLC</w:t>
            </w:r>
          </w:p>
        </w:tc>
      </w:tr>
      <w:tr>
        <w:trPr/>
        <w:tc>
          <w:tcPr>
            <w:tcW w:w="4082" w:type="dxa"/>
            <w:gridSpan w:val="3"/>
            <w:tcBorders/>
          </w:tcPr>
          <w:p>
            <w:pPr>
              <w:pStyle w:val="TableContents"/>
              <w:bidi w:val="0"/>
              <w:spacing w:before="0" w:after="283"/>
              <w:jc w:val="left"/>
              <w:rPr/>
            </w:pPr>
            <w:r>
              <w:rPr/>
              <w:t>For itself and on behalf of the several Underwriters listed in Schedule 1 hereto.</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vAlign w:val="bottom"/>
          </w:tcPr>
          <w:p>
            <w:pPr>
              <w:pStyle w:val="TableContents"/>
              <w:bidi w:val="0"/>
              <w:spacing w:before="0" w:after="283"/>
              <w:jc w:val="left"/>
              <w:rPr/>
            </w:pPr>
            <w:r>
              <w:rPr/>
              <w:t>/s/ Carolyn Hurley</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Carolyn Hurley</w:t>
            </w:r>
          </w:p>
        </w:tc>
      </w:tr>
      <w:tr>
        <w:trPr/>
        <w:tc>
          <w:tcPr>
            <w:tcW w:w="32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10"/>
        <w:gridCol w:w="227"/>
        <w:gridCol w:w="144"/>
        <w:gridCol w:w="1265"/>
        <w:gridCol w:w="60"/>
        <w:gridCol w:w="227"/>
        <w:gridCol w:w="144"/>
        <w:gridCol w:w="1265"/>
        <w:gridCol w:w="63"/>
      </w:tblGrid>
      <w:tr>
        <w:trPr/>
        <w:tc>
          <w:tcPr>
            <w:tcW w:w="681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227" w:type="dxa"/>
            <w:tcBorders/>
            <w:vAlign w:val="bottom"/>
          </w:tcPr>
          <w:p>
            <w:pPr>
              <w:pStyle w:val="TableContents"/>
              <w:bidi w:val="0"/>
              <w:spacing w:before="0" w:after="283"/>
              <w:jc w:val="left"/>
              <w:rPr/>
            </w:pPr>
            <w:r>
              <w:rPr/>
              <w:t>  </w:t>
            </w:r>
          </w:p>
        </w:tc>
        <w:tc>
          <w:tcPr>
            <w:tcW w:w="1409"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Principal</w:t>
              <w:br/>
              <w:t>Amount of</w:t>
              <w:br/>
              <w:t>2031 Notes to</w:t>
              <w:br/>
              <w:t>be Purchased</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9"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Principal</w:t>
              <w:br/>
              <w:t>Amount of</w:t>
              <w:br/>
              <w:t>2036 Notes to</w:t>
              <w:br/>
              <w:t>be Purchased</w:t>
            </w:r>
          </w:p>
        </w:tc>
        <w:tc>
          <w:tcPr>
            <w:tcW w:w="63" w:type="dxa"/>
            <w:tcBorders/>
            <w:vAlign w:val="bottom"/>
          </w:tcPr>
          <w:p>
            <w:pPr>
              <w:pStyle w:val="TableContents"/>
              <w:bidi w:val="0"/>
              <w:spacing w:before="0" w:after="283"/>
              <w:jc w:val="left"/>
              <w:rPr/>
            </w:pPr>
            <w:r>
              <w:rPr/>
              <w:t> </w:t>
            </w:r>
          </w:p>
        </w:tc>
      </w:tr>
      <w:tr>
        <w:trPr/>
        <w:tc>
          <w:tcPr>
            <w:tcW w:w="6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2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118,500,000</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98,750,000</w:t>
            </w:r>
          </w:p>
        </w:tc>
        <w:tc>
          <w:tcPr>
            <w:tcW w:w="63" w:type="dxa"/>
            <w:tcBorders/>
            <w:shd w:fill="CCEEFF" w:val="clear"/>
            <w:vAlign w:val="bottom"/>
          </w:tcPr>
          <w:p>
            <w:pPr>
              <w:pStyle w:val="TableContents"/>
              <w:bidi w:val="0"/>
              <w:spacing w:before="0" w:after="283"/>
              <w:jc w:val="left"/>
              <w:rPr/>
            </w:pPr>
            <w:r>
              <w:rPr/>
              <w:t> </w:t>
            </w:r>
          </w:p>
        </w:tc>
      </w:tr>
      <w:tr>
        <w:trPr/>
        <w:tc>
          <w:tcPr>
            <w:tcW w:w="6810"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2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81,000,000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67,500,000</w:t>
            </w:r>
          </w:p>
        </w:tc>
        <w:tc>
          <w:tcPr>
            <w:tcW w:w="63" w:type="dxa"/>
            <w:tcBorders/>
            <w:vAlign w:val="bottom"/>
          </w:tcPr>
          <w:p>
            <w:pPr>
              <w:pStyle w:val="TableContents"/>
              <w:bidi w:val="0"/>
              <w:spacing w:before="0" w:after="283"/>
              <w:jc w:val="left"/>
              <w:rPr/>
            </w:pPr>
            <w:r>
              <w:rPr/>
              <w:t> </w:t>
            </w:r>
          </w:p>
        </w:tc>
      </w:tr>
      <w:tr>
        <w:trPr/>
        <w:tc>
          <w:tcPr>
            <w:tcW w:w="6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22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72,000,000</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60,000,000</w:t>
            </w:r>
          </w:p>
        </w:tc>
        <w:tc>
          <w:tcPr>
            <w:tcW w:w="63" w:type="dxa"/>
            <w:tcBorders/>
            <w:shd w:fill="CCEEFF" w:val="clear"/>
            <w:vAlign w:val="bottom"/>
          </w:tcPr>
          <w:p>
            <w:pPr>
              <w:pStyle w:val="TableContents"/>
              <w:bidi w:val="0"/>
              <w:spacing w:before="0" w:after="283"/>
              <w:jc w:val="left"/>
              <w:rPr/>
            </w:pPr>
            <w:r>
              <w:rPr/>
              <w:t> </w:t>
            </w:r>
          </w:p>
        </w:tc>
      </w:tr>
      <w:tr>
        <w:trPr/>
        <w:tc>
          <w:tcPr>
            <w:tcW w:w="6810"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22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72,000,000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60,000,000</w:t>
            </w:r>
          </w:p>
        </w:tc>
        <w:tc>
          <w:tcPr>
            <w:tcW w:w="63" w:type="dxa"/>
            <w:tcBorders/>
            <w:vAlign w:val="bottom"/>
          </w:tcPr>
          <w:p>
            <w:pPr>
              <w:pStyle w:val="TableContents"/>
              <w:bidi w:val="0"/>
              <w:spacing w:before="0" w:after="283"/>
              <w:jc w:val="left"/>
              <w:rPr/>
            </w:pPr>
            <w:r>
              <w:rPr/>
              <w:t> </w:t>
            </w:r>
          </w:p>
        </w:tc>
      </w:tr>
      <w:tr>
        <w:trPr/>
        <w:tc>
          <w:tcPr>
            <w:tcW w:w="6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22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72,000,000</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60,000,000</w:t>
            </w:r>
          </w:p>
        </w:tc>
        <w:tc>
          <w:tcPr>
            <w:tcW w:w="63" w:type="dxa"/>
            <w:tcBorders/>
            <w:shd w:fill="CCEEFF" w:val="clear"/>
            <w:vAlign w:val="bottom"/>
          </w:tcPr>
          <w:p>
            <w:pPr>
              <w:pStyle w:val="TableContents"/>
              <w:bidi w:val="0"/>
              <w:spacing w:before="0" w:after="283"/>
              <w:jc w:val="left"/>
              <w:rPr/>
            </w:pPr>
            <w:r>
              <w:rPr/>
              <w:t> </w:t>
            </w:r>
          </w:p>
        </w:tc>
      </w:tr>
      <w:tr>
        <w:trPr/>
        <w:tc>
          <w:tcPr>
            <w:tcW w:w="6810"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2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36,000,000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30,000,000</w:t>
            </w:r>
          </w:p>
        </w:tc>
        <w:tc>
          <w:tcPr>
            <w:tcW w:w="63" w:type="dxa"/>
            <w:tcBorders/>
            <w:vAlign w:val="bottom"/>
          </w:tcPr>
          <w:p>
            <w:pPr>
              <w:pStyle w:val="TableContents"/>
              <w:bidi w:val="0"/>
              <w:spacing w:before="0" w:after="283"/>
              <w:jc w:val="left"/>
              <w:rPr/>
            </w:pPr>
            <w:r>
              <w:rPr/>
              <w:t> </w:t>
            </w:r>
          </w:p>
        </w:tc>
      </w:tr>
      <w:tr>
        <w:trPr/>
        <w:tc>
          <w:tcPr>
            <w:tcW w:w="6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NatWest Markets Securities Inc.</w:t>
            </w:r>
          </w:p>
        </w:tc>
        <w:tc>
          <w:tcPr>
            <w:tcW w:w="22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36,000,000</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30,000,000</w:t>
            </w:r>
          </w:p>
        </w:tc>
        <w:tc>
          <w:tcPr>
            <w:tcW w:w="63" w:type="dxa"/>
            <w:tcBorders/>
            <w:shd w:fill="CCEEFF" w:val="clear"/>
            <w:vAlign w:val="bottom"/>
          </w:tcPr>
          <w:p>
            <w:pPr>
              <w:pStyle w:val="TableContents"/>
              <w:bidi w:val="0"/>
              <w:spacing w:before="0" w:after="283"/>
              <w:jc w:val="left"/>
              <w:rPr/>
            </w:pPr>
            <w:r>
              <w:rPr/>
              <w:t> </w:t>
            </w:r>
          </w:p>
        </w:tc>
      </w:tr>
      <w:tr>
        <w:trPr/>
        <w:tc>
          <w:tcPr>
            <w:tcW w:w="6810"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22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36,000,000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30,000,000</w:t>
            </w:r>
          </w:p>
        </w:tc>
        <w:tc>
          <w:tcPr>
            <w:tcW w:w="63" w:type="dxa"/>
            <w:tcBorders/>
            <w:vAlign w:val="bottom"/>
          </w:tcPr>
          <w:p>
            <w:pPr>
              <w:pStyle w:val="TableContents"/>
              <w:bidi w:val="0"/>
              <w:spacing w:before="0" w:after="283"/>
              <w:jc w:val="left"/>
              <w:rPr/>
            </w:pPr>
            <w:r>
              <w:rPr/>
              <w:t> </w:t>
            </w:r>
          </w:p>
        </w:tc>
      </w:tr>
      <w:tr>
        <w:trPr/>
        <w:tc>
          <w:tcPr>
            <w:tcW w:w="6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2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36,000,000</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30,000,000</w:t>
            </w:r>
          </w:p>
        </w:tc>
        <w:tc>
          <w:tcPr>
            <w:tcW w:w="63" w:type="dxa"/>
            <w:tcBorders/>
            <w:shd w:fill="CCEEFF" w:val="clear"/>
            <w:vAlign w:val="bottom"/>
          </w:tcPr>
          <w:p>
            <w:pPr>
              <w:pStyle w:val="TableContents"/>
              <w:bidi w:val="0"/>
              <w:spacing w:before="0" w:after="283"/>
              <w:jc w:val="left"/>
              <w:rPr/>
            </w:pPr>
            <w:r>
              <w:rPr/>
              <w:t> </w:t>
            </w:r>
          </w:p>
        </w:tc>
      </w:tr>
      <w:tr>
        <w:trPr/>
        <w:tc>
          <w:tcPr>
            <w:tcW w:w="6810" w:type="dxa"/>
            <w:tcBorders/>
          </w:tcPr>
          <w:p>
            <w:pPr>
              <w:pStyle w:val="TableContents"/>
              <w:bidi w:val="0"/>
              <w:spacing w:before="0" w:after="0"/>
              <w:jc w:val="left"/>
              <w:rPr>
                <w:rFonts w:ascii="Times New Roman" w:hAnsi="Times New Roman"/>
                <w:sz w:val="20"/>
              </w:rPr>
            </w:pPr>
            <w:r>
              <w:rPr>
                <w:rFonts w:ascii="Times New Roman" w:hAnsi="Times New Roman"/>
                <w:sz w:val="20"/>
              </w:rPr>
              <w:t>Fifth Third Securities, Inc.</w:t>
            </w:r>
          </w:p>
        </w:tc>
        <w:tc>
          <w:tcPr>
            <w:tcW w:w="22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13,500,000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11,250,000</w:t>
            </w:r>
          </w:p>
        </w:tc>
        <w:tc>
          <w:tcPr>
            <w:tcW w:w="63" w:type="dxa"/>
            <w:tcBorders/>
            <w:vAlign w:val="bottom"/>
          </w:tcPr>
          <w:p>
            <w:pPr>
              <w:pStyle w:val="TableContents"/>
              <w:bidi w:val="0"/>
              <w:spacing w:before="0" w:after="283"/>
              <w:jc w:val="left"/>
              <w:rPr/>
            </w:pPr>
            <w:r>
              <w:rPr/>
              <w:t> </w:t>
            </w:r>
          </w:p>
        </w:tc>
      </w:tr>
      <w:tr>
        <w:trPr/>
        <w:tc>
          <w:tcPr>
            <w:tcW w:w="6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KeyBanc Capital Markets Inc.</w:t>
            </w:r>
          </w:p>
        </w:tc>
        <w:tc>
          <w:tcPr>
            <w:tcW w:w="22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13,500,000</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11,250,000</w:t>
            </w:r>
          </w:p>
        </w:tc>
        <w:tc>
          <w:tcPr>
            <w:tcW w:w="63" w:type="dxa"/>
            <w:tcBorders/>
            <w:shd w:fill="CCEEFF" w:val="clear"/>
            <w:vAlign w:val="bottom"/>
          </w:tcPr>
          <w:p>
            <w:pPr>
              <w:pStyle w:val="TableContents"/>
              <w:bidi w:val="0"/>
              <w:spacing w:before="0" w:after="283"/>
              <w:jc w:val="left"/>
              <w:rPr/>
            </w:pPr>
            <w:r>
              <w:rPr/>
              <w:t> </w:t>
            </w:r>
          </w:p>
        </w:tc>
      </w:tr>
      <w:tr>
        <w:trPr/>
        <w:tc>
          <w:tcPr>
            <w:tcW w:w="6810" w:type="dxa"/>
            <w:tcBorders/>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22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13,500,000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11,250,000</w:t>
            </w:r>
          </w:p>
        </w:tc>
        <w:tc>
          <w:tcPr>
            <w:tcW w:w="63" w:type="dxa"/>
            <w:tcBorders/>
            <w:vAlign w:val="bottom"/>
          </w:tcPr>
          <w:p>
            <w:pPr>
              <w:pStyle w:val="TableContents"/>
              <w:bidi w:val="0"/>
              <w:spacing w:before="0" w:after="283"/>
              <w:jc w:val="left"/>
              <w:rPr/>
            </w:pPr>
            <w:r>
              <w:rPr/>
              <w:t> </w:t>
            </w:r>
          </w:p>
        </w:tc>
      </w:tr>
      <w:tr>
        <w:trPr/>
        <w:tc>
          <w:tcPr>
            <w:tcW w:w="6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600,000,000</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500,000,000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UHS Subsidiary Guarantors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7"/>
        <w:gridCol w:w="120"/>
        <w:gridCol w:w="4529"/>
        <w:gridCol w:w="120"/>
        <w:gridCol w:w="4259"/>
      </w:tblGrid>
      <w:tr>
        <w:trPr/>
        <w:tc>
          <w:tcPr>
            <w:tcW w:w="11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59" w:type="dxa"/>
            <w:tcBorders/>
            <w:vAlign w:val="center"/>
          </w:tcPr>
          <w:p>
            <w:pPr>
              <w:pStyle w:val="TableContents"/>
              <w:bidi w:val="0"/>
              <w:spacing w:before="0" w:after="283"/>
              <w:jc w:val="left"/>
              <w:rPr>
                <w:sz w:val="4"/>
                <w:szCs w:val="4"/>
              </w:rPr>
            </w:pPr>
            <w:r>
              <w:rPr>
                <w:sz w:val="4"/>
                <w:szCs w:val="4"/>
              </w:rPr>
            </w:r>
          </w:p>
        </w:tc>
      </w:tr>
      <w:tr>
        <w:trPr/>
        <w:tc>
          <w:tcPr>
            <w:tcW w:w="117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 Name</w:t>
            </w:r>
          </w:p>
        </w:tc>
        <w:tc>
          <w:tcPr>
            <w:tcW w:w="120" w:type="dxa"/>
            <w:tcBorders/>
            <w:vAlign w:val="bottom"/>
          </w:tcPr>
          <w:p>
            <w:pPr>
              <w:pStyle w:val="TableContents"/>
              <w:bidi w:val="0"/>
              <w:spacing w:before="0" w:after="283"/>
              <w:jc w:val="left"/>
              <w:rPr/>
            </w:pPr>
            <w:r>
              <w:rPr/>
              <w:t>  </w:t>
            </w:r>
          </w:p>
        </w:tc>
        <w:tc>
          <w:tcPr>
            <w:tcW w:w="42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 of Formation</w:t>
            </w:r>
          </w:p>
        </w:tc>
      </w:tr>
      <w:tr>
        <w:trPr/>
        <w:tc>
          <w:tcPr>
            <w:tcW w:w="1177" w:type="dxa"/>
            <w:tcBorders/>
          </w:tcPr>
          <w:p>
            <w:pPr>
              <w:pStyle w:val="TableContents"/>
              <w:bidi w:val="0"/>
              <w:spacing w:before="0" w:after="283"/>
              <w:jc w:val="center"/>
              <w:rPr/>
            </w:pPr>
            <w:r>
              <w:rPr/>
              <w:t>1.</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ABS LINCS KY, LLC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Virginia</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2.</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ABS LINCS SC,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South Carolina</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3.</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Aiken Regional Medical Centers, LLC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South Carolina</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4.</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Alliance Health Center,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Mississippi</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5.</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Alternative Behavioral Services,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Virginia</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6.</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Ascend Health Corporation</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Delaware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7.</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Atlantic Shores Hospital, LLC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Delaware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8.</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AZ Holding 4, LLC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Arizona</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9.</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Beach 77 LP</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Delaware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10.</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Behavioral Health Management, LLC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Delaware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11.</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Behavioral Health Realty, LLC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Delaware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12.</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Behavioral Healthcare LLC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Delaware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13.</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Benchmark Behavioral Health System,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Utah</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14.</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Alhambra Hospital,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Tennessee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15.</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Belmont Pines Hospital,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Tennessee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16.</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Fairfax Hospital,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Tennessee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17.</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Fox Run Hospital,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Tennessee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18.</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Fremont Hospital,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Tennessee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19.</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Health Services of Nevada,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Nevada</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20.</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Heritage Oaks Hospital,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Tennessee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21.</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Holdings,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Delaware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22.</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Intermountain Hospital,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Tennessee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23.</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of Indiana, General Partnership</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Tennessee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24.</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Mesilla Valley Hospital, LLC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Delaware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25.</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Montevista Hospital,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Nevada</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26.</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Northwest Psychiatric Hospital, LLC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Delaware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27.</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Pinnacle Pointe Hospital, LLC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Tennessee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28.</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Properties, LLC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Tennessee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29.</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Sierra Vista Hospital,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Tennessee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30.</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BHC Streamwood Hospital,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Tennessee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31.</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Bloomington Meadows, General Partnership</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Tennessee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32.</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Brentwood Acquisition,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Tennessee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33.</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Brentwood Acquisition-Shreveport,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Delaware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34.</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Brynn Marr Hospital,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North Carolina</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35.</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Calvary Center,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Delaware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36.</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Canyon Ridge Hospital,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California</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37.</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CAT Realty, LLC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Delaware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38.</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CAT Seattle, LLC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Delaware</w:t>
            </w:r>
          </w:p>
        </w:tc>
      </w:tr>
      <w:tr>
        <w:trPr>
          <w:trHeight w:val="120" w:hRule="atLeast"/>
        </w:trPr>
        <w:tc>
          <w:tcPr>
            <w:tcW w:w="1177"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4379" w:type="dxa"/>
            <w:gridSpan w:val="2"/>
            <w:tcBorders/>
            <w:vAlign w:val="center"/>
          </w:tcPr>
          <w:p>
            <w:pPr>
              <w:pStyle w:val="TableContents"/>
              <w:bidi w:val="0"/>
              <w:spacing w:before="0" w:after="283"/>
              <w:jc w:val="left"/>
              <w:rPr>
                <w:sz w:val="4"/>
                <w:szCs w:val="4"/>
              </w:rPr>
            </w:pPr>
            <w:r>
              <w:rPr>
                <w:sz w:val="4"/>
                <w:szCs w:val="4"/>
              </w:rPr>
            </w:r>
          </w:p>
        </w:tc>
      </w:tr>
      <w:tr>
        <w:trPr/>
        <w:tc>
          <w:tcPr>
            <w:tcW w:w="1177" w:type="dxa"/>
            <w:tcBorders/>
          </w:tcPr>
          <w:p>
            <w:pPr>
              <w:pStyle w:val="TableContents"/>
              <w:bidi w:val="0"/>
              <w:spacing w:before="0" w:after="283"/>
              <w:jc w:val="center"/>
              <w:rPr/>
            </w:pPr>
            <w:r>
              <w:rPr/>
              <w:t>39.</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283"/>
              <w:jc w:val="left"/>
              <w:rPr/>
            </w:pPr>
            <w:r>
              <w:rPr/>
              <w:t>CCS/Lansing, Inc.</w:t>
            </w:r>
          </w:p>
        </w:tc>
        <w:tc>
          <w:tcPr>
            <w:tcW w:w="120" w:type="dxa"/>
            <w:tcBorders/>
            <w:vAlign w:val="bottom"/>
          </w:tcPr>
          <w:p>
            <w:pPr>
              <w:pStyle w:val="TableContents"/>
              <w:bidi w:val="0"/>
              <w:spacing w:before="0" w:after="283"/>
              <w:jc w:val="left"/>
              <w:rPr/>
            </w:pPr>
            <w:r>
              <w:rPr/>
              <w:t>  </w:t>
            </w:r>
          </w:p>
        </w:tc>
        <w:tc>
          <w:tcPr>
            <w:tcW w:w="4259" w:type="dxa"/>
            <w:tcBorders/>
          </w:tcPr>
          <w:p>
            <w:pPr>
              <w:pStyle w:val="TableContents"/>
              <w:bidi w:val="0"/>
              <w:spacing w:before="0" w:after="283"/>
              <w:jc w:val="left"/>
              <w:rPr/>
            </w:pPr>
            <w:r>
              <w:rPr/>
              <w:t>Michigan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194"/>
        <w:gridCol w:w="120"/>
        <w:gridCol w:w="4408"/>
        <w:gridCol w:w="120"/>
        <w:gridCol w:w="4363"/>
      </w:tblGrid>
      <w:tr>
        <w:trPr/>
        <w:tc>
          <w:tcPr>
            <w:tcW w:w="11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63" w:type="dxa"/>
            <w:tcBorders/>
            <w:vAlign w:val="center"/>
          </w:tcPr>
          <w:p>
            <w:pPr>
              <w:pStyle w:val="TableContents"/>
              <w:bidi w:val="0"/>
              <w:spacing w:before="0" w:after="283"/>
              <w:jc w:val="left"/>
              <w:rPr>
                <w:sz w:val="4"/>
                <w:szCs w:val="4"/>
              </w:rPr>
            </w:pPr>
            <w:r>
              <w:rPr>
                <w:sz w:val="4"/>
                <w:szCs w:val="4"/>
              </w:rPr>
            </w:r>
          </w:p>
        </w:tc>
      </w:tr>
      <w:tr>
        <w:trPr/>
        <w:tc>
          <w:tcPr>
            <w:tcW w:w="119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0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 Name</w:t>
            </w:r>
          </w:p>
        </w:tc>
        <w:tc>
          <w:tcPr>
            <w:tcW w:w="120" w:type="dxa"/>
            <w:tcBorders/>
            <w:vAlign w:val="bottom"/>
          </w:tcPr>
          <w:p>
            <w:pPr>
              <w:pStyle w:val="TableContents"/>
              <w:bidi w:val="0"/>
              <w:spacing w:before="0" w:after="283"/>
              <w:jc w:val="left"/>
              <w:rPr/>
            </w:pPr>
            <w:r>
              <w:rPr/>
              <w:t>  </w:t>
            </w:r>
          </w:p>
        </w:tc>
        <w:tc>
          <w:tcPr>
            <w:tcW w:w="43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 of Formation</w:t>
            </w:r>
          </w:p>
        </w:tc>
      </w:tr>
      <w:tr>
        <w:trPr/>
        <w:tc>
          <w:tcPr>
            <w:tcW w:w="1194" w:type="dxa"/>
            <w:tcBorders/>
          </w:tcPr>
          <w:p>
            <w:pPr>
              <w:pStyle w:val="TableContents"/>
              <w:bidi w:val="0"/>
              <w:spacing w:before="0" w:after="283"/>
              <w:jc w:val="center"/>
              <w:rPr/>
            </w:pPr>
            <w:r>
              <w:rPr/>
              <w:t>40.</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Cedar Springs Hospital,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41.</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Children’s Comprehensive Services,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Tennessee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42.</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Columbus Hospital Partners,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Tennessee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43.</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Coral Shores Behavioral Health,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44.</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Cumberland Hospital,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45.</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Cumberland Hospital Partners,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46.</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Del Amo Hospital,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California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47.</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DHP 2131 K St,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48.</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Diamond Grove Center,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49.</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District Hospital Partners, L.P.</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District of Columbia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50.</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DVH Hospital Alliance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51.</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Emerald Coast Behavioral Hospital,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52.</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Fannin Management Services,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Texas</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53.</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First Hospital Corporation of Virginia Beach</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Virginia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54.</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Fort Duncan Medical Center, L.P.</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55.</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Forest View Psychiatric Hospital,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Michigan</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56.</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Fort Lauderdale Hospital,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Florida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57.</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FRN,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58.</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Frontline Behavioral Health,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59.</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Frontline Hospital,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60.</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Frontline Residential Treatment Center,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61.</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Garfield Park Hospital,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Illinois</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62.</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Great Plains Hospital,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Missouri</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63.</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Gulf Coast Treatment Center,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Florida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64.</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Gulph Mills Associates,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Pennsylvania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65.</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H.C. Corporation</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Alabama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66.</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H.C. Partnership</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Alabama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67.</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Harbor Point Behavioral Health Center,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Virginia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68.</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Havenwyck Hospital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Michigan</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69.</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HHC Augusta,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Georgia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70.</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HHC Delaware,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71.</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HHC Indiana,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Indiana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72.</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HHC Ohio,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Ohio</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73.</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HHC Pennsylvania,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74.</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HHC Poplar Springs,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Virginia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75.</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HHC River Park,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West Virginia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76.</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HHC South Carolina,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South Carolina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77.</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HHC St. Simons,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Georgia</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78.</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Hickory Trail Hospital, L.P.</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79.</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Holly Hill Hospital,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Tennessee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80.</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Horizon Health Austin, Inc.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Texas</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81.</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Horizon Health Corporation</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4528" w:type="dxa"/>
            <w:gridSpan w:val="2"/>
            <w:tcBorders/>
            <w:vAlign w:val="center"/>
          </w:tcPr>
          <w:p>
            <w:pPr>
              <w:pStyle w:val="TableContents"/>
              <w:bidi w:val="0"/>
              <w:spacing w:before="0" w:after="283"/>
              <w:jc w:val="left"/>
              <w:rPr>
                <w:sz w:val="4"/>
                <w:szCs w:val="4"/>
              </w:rPr>
            </w:pPr>
            <w:r>
              <w:rPr>
                <w:sz w:val="4"/>
                <w:szCs w:val="4"/>
              </w:rPr>
            </w:r>
          </w:p>
        </w:tc>
        <w:tc>
          <w:tcPr>
            <w:tcW w:w="448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center"/>
              <w:rPr/>
            </w:pPr>
            <w:r>
              <w:rPr/>
              <w:t>82.</w:t>
            </w:r>
          </w:p>
        </w:tc>
        <w:tc>
          <w:tcPr>
            <w:tcW w:w="120"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Horizon Health Hospital Services, LLC</w:t>
            </w:r>
          </w:p>
        </w:tc>
        <w:tc>
          <w:tcPr>
            <w:tcW w:w="120" w:type="dxa"/>
            <w:tcBorders/>
            <w:vAlign w:val="bottom"/>
          </w:tcPr>
          <w:p>
            <w:pPr>
              <w:pStyle w:val="TableContents"/>
              <w:bidi w:val="0"/>
              <w:spacing w:before="0" w:after="283"/>
              <w:jc w:val="left"/>
              <w:rPr/>
            </w:pPr>
            <w:r>
              <w:rPr/>
              <w:t>  </w:t>
            </w:r>
          </w:p>
        </w:tc>
        <w:tc>
          <w:tcPr>
            <w:tcW w:w="4363" w:type="dxa"/>
            <w:tcBorders/>
          </w:tcPr>
          <w:p>
            <w:pPr>
              <w:pStyle w:val="TableContents"/>
              <w:bidi w:val="0"/>
              <w:spacing w:before="0" w:after="283"/>
              <w:jc w:val="left"/>
              <w:rPr/>
            </w:pPr>
            <w:r>
              <w:rPr/>
              <w:t>Delaware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229"/>
        <w:gridCol w:w="122"/>
        <w:gridCol w:w="4403"/>
        <w:gridCol w:w="122"/>
        <w:gridCol w:w="4329"/>
      </w:tblGrid>
      <w:tr>
        <w:trPr/>
        <w:tc>
          <w:tcPr>
            <w:tcW w:w="122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4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29"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440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 Name</w:t>
            </w:r>
          </w:p>
        </w:tc>
        <w:tc>
          <w:tcPr>
            <w:tcW w:w="122" w:type="dxa"/>
            <w:tcBorders/>
            <w:vAlign w:val="bottom"/>
          </w:tcPr>
          <w:p>
            <w:pPr>
              <w:pStyle w:val="TableContents"/>
              <w:bidi w:val="0"/>
              <w:spacing w:before="0" w:after="283"/>
              <w:jc w:val="left"/>
              <w:rPr/>
            </w:pPr>
            <w:r>
              <w:rPr/>
              <w:t>  </w:t>
            </w:r>
          </w:p>
        </w:tc>
        <w:tc>
          <w:tcPr>
            <w:tcW w:w="43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 of Formation</w:t>
            </w:r>
          </w:p>
        </w:tc>
      </w:tr>
      <w:tr>
        <w:trPr/>
        <w:tc>
          <w:tcPr>
            <w:tcW w:w="1229" w:type="dxa"/>
            <w:tcBorders/>
          </w:tcPr>
          <w:p>
            <w:pPr>
              <w:pStyle w:val="TableContents"/>
              <w:bidi w:val="0"/>
              <w:spacing w:before="0" w:after="283"/>
              <w:jc w:val="center"/>
              <w:rPr/>
            </w:pPr>
            <w:r>
              <w:rPr/>
              <w:t>83.</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Horizon Mental Health Management,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Texas</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84.</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HSA Hill Crest Corporation</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Alabama</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85.</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Hughes Center,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Virginia</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86.</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Independence Physician Management,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Delaware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87.</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KEYS Group Holdings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Delaware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88.</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Keystone/CCS Partners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Delaware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89.</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Keystone Continuum,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Tennessee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90.</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Keystone Education and Youth Services,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Tennessee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91.</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Keystone Marion,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Virginia</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92.</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Keystone Memphis,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Tennessee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93.</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Keystone Newport News,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Virginia</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94.</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Keystone NPS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California</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95.</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Keystone Richland Center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Ohio</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96.</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Keystone WSNC,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North Carolina</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97.</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Kids Behavioral Health of Utah, Inc.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Utah</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98.</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Kingwood Pines Hospital,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Texas</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99.</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KMI Acquisition,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Delaware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100.</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La Amistad Residential Treatment Center,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Florida</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101.</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Lancaster Hospital Corporation</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California</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102.</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Laurel Oaks Behavioral Health Center, Inc.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Delaware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103.</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Lebanon Hospital Partners,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Tennessee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104.</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Liberty Point Behavioral Healthcare,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Delaware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105.</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Manatee Memorial Hospital, L.P.</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Delaware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106.</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Mayhill Behavioral Health,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Texas</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107.</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McAllen Hospitals, L.P.</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Delaware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108.</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McAllen Medical Center, Inc.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Delaware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109.</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Merion Building Management, Inc.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Delaware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110.</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Meridell Achievement Center, Inc.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Texas</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111.</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Michigan Psychiatric Services, Inc.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Michigan</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112.</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Millwood Hospital, L.P.</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Texas</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113.</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Milwaukee Behavioral Health,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Wisconsin</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114.</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Neuro Institute of Austin, L.P.</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Texas</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115.</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North Spring Behavioral Healthcare, Inc.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Tennessee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116.</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Northern Indiana Partners,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Tennessee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117.</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Northwest Texas Healthcare System, Inc.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Texas</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118.</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Oak Plains Academy of Tennessee, Inc.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Tennessee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119.</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Ocala Behavioral Health,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Delaware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120.</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Palm Point Behavioral Health,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Florida</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121.</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Palmetto Behavioral Health Holdings,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Delaware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122.</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Palmetto Behavioral Health System,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South Carolina</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123.</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Palmetto Lowcountry Behavioral Health,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South Carolina</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124.</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Park Healthcare Company</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Tennessee</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4525" w:type="dxa"/>
            <w:gridSpan w:val="2"/>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283"/>
              <w:jc w:val="center"/>
              <w:rPr/>
            </w:pPr>
            <w:r>
              <w:rPr/>
              <w:t>125.</w:t>
            </w:r>
          </w:p>
        </w:tc>
        <w:tc>
          <w:tcPr>
            <w:tcW w:w="122" w:type="dxa"/>
            <w:tcBorders/>
            <w:vAlign w:val="bottom"/>
          </w:tcPr>
          <w:p>
            <w:pPr>
              <w:pStyle w:val="TableContents"/>
              <w:bidi w:val="0"/>
              <w:spacing w:before="0" w:after="283"/>
              <w:jc w:val="left"/>
              <w:rPr/>
            </w:pPr>
            <w:r>
              <w:rPr/>
              <w:t>  </w:t>
            </w:r>
          </w:p>
        </w:tc>
        <w:tc>
          <w:tcPr>
            <w:tcW w:w="4403" w:type="dxa"/>
            <w:tcBorders/>
          </w:tcPr>
          <w:p>
            <w:pPr>
              <w:pStyle w:val="TableContents"/>
              <w:bidi w:val="0"/>
              <w:spacing w:before="0" w:after="283"/>
              <w:jc w:val="left"/>
              <w:rPr/>
            </w:pPr>
            <w:r>
              <w:rPr/>
              <w:t>Pasteur Healthcare Properties, LLC</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283"/>
              <w:jc w:val="left"/>
              <w:rPr/>
            </w:pPr>
            <w:r>
              <w:rPr/>
              <w:t>Delaware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220"/>
        <w:gridCol w:w="120"/>
        <w:gridCol w:w="4361"/>
        <w:gridCol w:w="120"/>
        <w:gridCol w:w="4384"/>
      </w:tblGrid>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84"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3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 Name</w:t>
            </w:r>
          </w:p>
        </w:tc>
        <w:tc>
          <w:tcPr>
            <w:tcW w:w="120" w:type="dxa"/>
            <w:tcBorders/>
            <w:vAlign w:val="bottom"/>
          </w:tcPr>
          <w:p>
            <w:pPr>
              <w:pStyle w:val="TableContents"/>
              <w:bidi w:val="0"/>
              <w:spacing w:before="0" w:after="283"/>
              <w:jc w:val="left"/>
              <w:rPr/>
            </w:pPr>
            <w:r>
              <w:rPr/>
              <w:t>  </w:t>
            </w:r>
          </w:p>
        </w:tc>
        <w:tc>
          <w:tcPr>
            <w:tcW w:w="43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 of Formation</w:t>
            </w:r>
          </w:p>
        </w:tc>
      </w:tr>
      <w:tr>
        <w:trPr/>
        <w:tc>
          <w:tcPr>
            <w:tcW w:w="1220" w:type="dxa"/>
            <w:tcBorders/>
          </w:tcPr>
          <w:p>
            <w:pPr>
              <w:pStyle w:val="TableContents"/>
              <w:bidi w:val="0"/>
              <w:spacing w:before="0" w:after="283"/>
              <w:jc w:val="center"/>
              <w:rPr/>
            </w:pPr>
            <w:r>
              <w:rPr/>
              <w:t>126.</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Pendleton Methodist Hospital,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127.</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Pennsylvania Clinical Schools,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Pennsylvania</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128.</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Premier Behavioral Solutions,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129.</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Premier Behavioral Solutions of Florida,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130.</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PSJ Acquisition,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North Dakota</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131.</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Psychiatric Realty,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132.</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Psychiatric Solutions,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133.</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Psychiatric Solutions Hospitals,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134.</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Psychiatric Solutions of Virginia,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Tennessee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135.</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Ramsay Managed Care,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136.</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Ramsay Youth Services of Georgia,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137.</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Ridge Outpatient Counseling,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Kentucky</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138.</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River Oaks,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Louisiana</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139.</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Riveredge Hospital Holdings,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140.</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Riverside Medical Clinic Patient Services,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California</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141.</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Rolling Hills Hospital,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Tennessee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142.</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RR Recovery,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143.</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Salt Lake Behavioral Health,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144.</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Salt Lake Psychiatric Realty,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145.</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Samson Properties,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Florida</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146.</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Schick Shadel of Florida,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Florida</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147.</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Shadow Mountain Behavioral Health System,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148.</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SHC-KPH, LP</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Texas</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149.</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Southeastern Hospital Corporation</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Tennessee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150.</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SP Behavioral,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Florida</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151.</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Sparks Family Hospital,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Nevada</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152.</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Springfield Hospital,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153.</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Stonington Behavioral Health,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154.</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Summit Oaks Hospital,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New Jersey</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155.</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Sunstone Behavioral Health,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Tennessee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156.</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TBD Acquisition,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157.</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TBD Acquisition II,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158.</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TBJ Behavioral Center,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159.</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Temecula Valley Hospital,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California</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160.</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Temple Behavioral Healthcare Hospital,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Texas</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161.</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Tennessee Clinical Schools, LLC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Tennessee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162.</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Texas Cypress Creek Hospital, L.P.</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Texas</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163.</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Texas Hospital Holdings,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Delaware</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164.</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Texas Laurel Ridge Hospital, L.P.</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Texas</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165.</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Texas Oaks Psychiatric Hospital, L.P.</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Texas</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166.</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Texas San Marcos Treatment Center, L.P.</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Texas</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167.</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Texas West Oaks Hospital, L.P.</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Texas</w:t>
            </w:r>
          </w:p>
        </w:tc>
      </w:tr>
      <w:tr>
        <w:trPr>
          <w:trHeight w:val="120" w:hRule="atLeast"/>
        </w:trPr>
        <w:tc>
          <w:tcPr>
            <w:tcW w:w="1220"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4504" w:type="dxa"/>
            <w:gridSpan w:val="2"/>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center"/>
              <w:rPr/>
            </w:pPr>
            <w:r>
              <w:rPr/>
              <w:t>168.</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283"/>
              <w:jc w:val="left"/>
              <w:rPr/>
            </w:pPr>
            <w:r>
              <w:rPr/>
              <w:t>The Arbour, Inc.</w:t>
            </w:r>
          </w:p>
        </w:tc>
        <w:tc>
          <w:tcPr>
            <w:tcW w:w="120"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Massachusetts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187"/>
        <w:gridCol w:w="120"/>
        <w:gridCol w:w="4516"/>
        <w:gridCol w:w="120"/>
        <w:gridCol w:w="4262"/>
      </w:tblGrid>
      <w:tr>
        <w:trPr/>
        <w:tc>
          <w:tcPr>
            <w:tcW w:w="11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62" w:type="dxa"/>
            <w:tcBorders/>
            <w:vAlign w:val="center"/>
          </w:tcPr>
          <w:p>
            <w:pPr>
              <w:pStyle w:val="TableContents"/>
              <w:bidi w:val="0"/>
              <w:spacing w:before="0" w:after="283"/>
              <w:jc w:val="left"/>
              <w:rPr>
                <w:sz w:val="4"/>
                <w:szCs w:val="4"/>
              </w:rPr>
            </w:pPr>
            <w:r>
              <w:rPr>
                <w:sz w:val="4"/>
                <w:szCs w:val="4"/>
              </w:rPr>
            </w:r>
          </w:p>
        </w:tc>
      </w:tr>
      <w:tr>
        <w:trPr/>
        <w:tc>
          <w:tcPr>
            <w:tcW w:w="118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 Name</w:t>
            </w:r>
          </w:p>
        </w:tc>
        <w:tc>
          <w:tcPr>
            <w:tcW w:w="120" w:type="dxa"/>
            <w:tcBorders/>
            <w:vAlign w:val="bottom"/>
          </w:tcPr>
          <w:p>
            <w:pPr>
              <w:pStyle w:val="TableContents"/>
              <w:bidi w:val="0"/>
              <w:spacing w:before="0" w:after="283"/>
              <w:jc w:val="left"/>
              <w:rPr/>
            </w:pPr>
            <w:r>
              <w:rPr/>
              <w:t>  </w:t>
            </w:r>
          </w:p>
        </w:tc>
        <w:tc>
          <w:tcPr>
            <w:tcW w:w="42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 of Formation</w:t>
            </w:r>
          </w:p>
        </w:tc>
      </w:tr>
      <w:tr>
        <w:trPr/>
        <w:tc>
          <w:tcPr>
            <w:tcW w:w="1187" w:type="dxa"/>
            <w:tcBorders/>
          </w:tcPr>
          <w:p>
            <w:pPr>
              <w:pStyle w:val="TableContents"/>
              <w:bidi w:val="0"/>
              <w:spacing w:before="0" w:after="283"/>
              <w:jc w:val="center"/>
              <w:rPr/>
            </w:pPr>
            <w:r>
              <w:rPr/>
              <w:t>169.</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The Bridgeway,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Arkansas</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170.</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The National Deaf Academy,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Florida</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171.</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Three Rivers Behavioral Health,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South Carolina</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172.</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Three Rivers Healthcare Group,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South Carolina</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173.</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Toledo Holding Co.,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174.</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Turning Point Care Center,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Georgia</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175.</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Two Rivers Psychiatric Hospital,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176.</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UBH of Oregon,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177.</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UBH of Phoenix,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178.</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UBH of Phoenix Realty,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179.</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UHP LP</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180.</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Capitol Acquisition,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181.</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Children Services,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182.</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East End Corporation</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District of Columbia</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183.</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East End Sub,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District of Columbia</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184.</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Funding,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185.</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Holding Company,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Nevada</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186.</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Kentucky Holdings,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187.</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Midwest Behavioral Health,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188.</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Anchor, L.P.</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189.</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Benton,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190.</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Bowling Green,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191.</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Centennial Peaks,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192.</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Cornerstone,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193.</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Cornerstone Holdings,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194.</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D.C.,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195.</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Delaware,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196.</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Denver,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197.</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Dover,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198.</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Doylestown,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199.</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Fairmount,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200.</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Fuller,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Massachusetts</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201.</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Georgia,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202.</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Georgia Holdings,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203.</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Greenville,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204.</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Hampton,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New Jersey</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205.</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Hartgrove,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Illinois</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206.</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Kansas City,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207.</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Lakeside,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208.</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Lancaster,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Pennsylvania</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209.</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Laurel Heights, L.P.</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210.</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Madera, Inc.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Delaware</w:t>
            </w:r>
          </w:p>
        </w:tc>
      </w:tr>
      <w:tr>
        <w:trPr>
          <w:trHeight w:val="120" w:hRule="atLeast"/>
        </w:trPr>
        <w:tc>
          <w:tcPr>
            <w:tcW w:w="1187" w:type="dxa"/>
            <w:tcBorders/>
            <w:vAlign w:val="center"/>
          </w:tcPr>
          <w:p>
            <w:pPr>
              <w:pStyle w:val="TableContents"/>
              <w:bidi w:val="0"/>
              <w:spacing w:before="0" w:after="283"/>
              <w:jc w:val="left"/>
              <w:rPr>
                <w:sz w:val="4"/>
                <w:szCs w:val="4"/>
              </w:rPr>
            </w:pPr>
            <w:r>
              <w:rPr>
                <w:sz w:val="4"/>
                <w:szCs w:val="4"/>
              </w:rPr>
            </w:r>
          </w:p>
        </w:tc>
        <w:tc>
          <w:tcPr>
            <w:tcW w:w="4636" w:type="dxa"/>
            <w:gridSpan w:val="2"/>
            <w:tcBorders/>
            <w:vAlign w:val="center"/>
          </w:tcPr>
          <w:p>
            <w:pPr>
              <w:pStyle w:val="TableContents"/>
              <w:bidi w:val="0"/>
              <w:spacing w:before="0" w:after="283"/>
              <w:jc w:val="left"/>
              <w:rPr>
                <w:sz w:val="4"/>
                <w:szCs w:val="4"/>
              </w:rPr>
            </w:pPr>
            <w:r>
              <w:rPr>
                <w:sz w:val="4"/>
                <w:szCs w:val="4"/>
              </w:rPr>
            </w:r>
          </w:p>
        </w:tc>
        <w:tc>
          <w:tcPr>
            <w:tcW w:w="4382" w:type="dxa"/>
            <w:gridSpan w:val="2"/>
            <w:tcBorders/>
            <w:vAlign w:val="center"/>
          </w:tcPr>
          <w:p>
            <w:pPr>
              <w:pStyle w:val="TableContents"/>
              <w:bidi w:val="0"/>
              <w:spacing w:before="0" w:after="283"/>
              <w:jc w:val="left"/>
              <w:rPr>
                <w:sz w:val="4"/>
                <w:szCs w:val="4"/>
              </w:rPr>
            </w:pPr>
            <w:r>
              <w:rPr>
                <w:sz w:val="4"/>
                <w:szCs w:val="4"/>
              </w:rPr>
            </w:r>
          </w:p>
        </w:tc>
      </w:tr>
      <w:tr>
        <w:trPr/>
        <w:tc>
          <w:tcPr>
            <w:tcW w:w="1187" w:type="dxa"/>
            <w:tcBorders/>
          </w:tcPr>
          <w:p>
            <w:pPr>
              <w:pStyle w:val="TableContents"/>
              <w:bidi w:val="0"/>
              <w:spacing w:before="0" w:after="283"/>
              <w:jc w:val="center"/>
              <w:rPr/>
            </w:pPr>
            <w:r>
              <w:rPr/>
              <w:t>211.</w:t>
            </w:r>
          </w:p>
        </w:tc>
        <w:tc>
          <w:tcPr>
            <w:tcW w:w="120" w:type="dxa"/>
            <w:tcBorders/>
            <w:vAlign w:val="bottom"/>
          </w:tcPr>
          <w:p>
            <w:pPr>
              <w:pStyle w:val="TableContents"/>
              <w:bidi w:val="0"/>
              <w:spacing w:before="0" w:after="283"/>
              <w:jc w:val="left"/>
              <w:rPr/>
            </w:pPr>
            <w:r>
              <w:rPr/>
              <w:t>  </w:t>
            </w:r>
          </w:p>
        </w:tc>
        <w:tc>
          <w:tcPr>
            <w:tcW w:w="4516" w:type="dxa"/>
            <w:tcBorders/>
          </w:tcPr>
          <w:p>
            <w:pPr>
              <w:pStyle w:val="TableContents"/>
              <w:bidi w:val="0"/>
              <w:spacing w:before="0" w:after="283"/>
              <w:jc w:val="left"/>
              <w:rPr/>
            </w:pPr>
            <w:r>
              <w:rPr/>
              <w:t>UHS of New Orleans, LLC</w:t>
            </w:r>
          </w:p>
        </w:tc>
        <w:tc>
          <w:tcPr>
            <w:tcW w:w="120" w:type="dxa"/>
            <w:tcBorders/>
            <w:vAlign w:val="bottom"/>
          </w:tcPr>
          <w:p>
            <w:pPr>
              <w:pStyle w:val="TableContents"/>
              <w:bidi w:val="0"/>
              <w:spacing w:before="0" w:after="283"/>
              <w:jc w:val="left"/>
              <w:rPr/>
            </w:pPr>
            <w:r>
              <w:rPr/>
              <w:t>  </w:t>
            </w:r>
          </w:p>
        </w:tc>
        <w:tc>
          <w:tcPr>
            <w:tcW w:w="4262" w:type="dxa"/>
            <w:tcBorders/>
          </w:tcPr>
          <w:p>
            <w:pPr>
              <w:pStyle w:val="TableContents"/>
              <w:bidi w:val="0"/>
              <w:spacing w:before="0" w:after="283"/>
              <w:jc w:val="left"/>
              <w:rPr/>
            </w:pPr>
            <w:r>
              <w:rPr/>
              <w:t>Louisiana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218"/>
        <w:gridCol w:w="120"/>
        <w:gridCol w:w="4374"/>
        <w:gridCol w:w="120"/>
        <w:gridCol w:w="4373"/>
      </w:tblGrid>
      <w:tr>
        <w:trPr/>
        <w:tc>
          <w:tcPr>
            <w:tcW w:w="12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73" w:type="dxa"/>
            <w:tcBorders/>
            <w:vAlign w:val="center"/>
          </w:tcPr>
          <w:p>
            <w:pPr>
              <w:pStyle w:val="TableContents"/>
              <w:bidi w:val="0"/>
              <w:spacing w:before="0" w:after="283"/>
              <w:jc w:val="left"/>
              <w:rPr>
                <w:sz w:val="4"/>
                <w:szCs w:val="4"/>
              </w:rPr>
            </w:pPr>
            <w:r>
              <w:rPr>
                <w:sz w:val="4"/>
                <w:szCs w:val="4"/>
              </w:rPr>
            </w:r>
          </w:p>
        </w:tc>
      </w:tr>
      <w:tr>
        <w:trPr/>
        <w:tc>
          <w:tcPr>
            <w:tcW w:w="121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3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 Name</w:t>
            </w:r>
          </w:p>
        </w:tc>
        <w:tc>
          <w:tcPr>
            <w:tcW w:w="120" w:type="dxa"/>
            <w:tcBorders/>
            <w:vAlign w:val="bottom"/>
          </w:tcPr>
          <w:p>
            <w:pPr>
              <w:pStyle w:val="TableContents"/>
              <w:bidi w:val="0"/>
              <w:spacing w:before="0" w:after="283"/>
              <w:jc w:val="left"/>
              <w:rPr/>
            </w:pPr>
            <w:r>
              <w:rPr/>
              <w:t>  </w:t>
            </w:r>
          </w:p>
        </w:tc>
        <w:tc>
          <w:tcPr>
            <w:tcW w:w="43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 of Formation</w:t>
            </w:r>
          </w:p>
        </w:tc>
      </w:tr>
      <w:tr>
        <w:trPr/>
        <w:tc>
          <w:tcPr>
            <w:tcW w:w="1218" w:type="dxa"/>
            <w:tcBorders/>
          </w:tcPr>
          <w:p>
            <w:pPr>
              <w:pStyle w:val="TableContents"/>
              <w:bidi w:val="0"/>
              <w:spacing w:before="0" w:after="283"/>
              <w:jc w:val="center"/>
              <w:rPr/>
            </w:pPr>
            <w:r>
              <w:rPr/>
              <w:t>212.</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Oklahoma,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Oklahoma</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213.</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Parkwood,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214.</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Peachford, L.P.</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215.</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Pennsylvania,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Pennsylvania</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216.</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Phoenix,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217.</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Provo Canyon,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218.</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Puerto Rico,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219.</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Ridge,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220.</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River Parishes,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Louisiana</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221.</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Rockford,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222.</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Salt Lake City,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223.</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Savannah,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224.</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Spring Mountain,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225.</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Springwoods,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226.</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SummitRidge,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227.</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Texoma,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228.</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Timberlawn,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Texas</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229.</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Timpanogos,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230.</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Tucson,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231.</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Westwood Pembroke,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Massachusetts</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232.</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of Wyoming,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233.</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Oklahoma City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Oklahoma</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234.</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Sahara,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235.</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 Sub III,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236.</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UHS-Corona,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237.</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UHSL,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Nevada</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238.</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UHSD,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Nevada</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239.</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United HealthCare of Hardin,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Tennessee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240.</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University Behavioral,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Florida</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241.</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Universal Health Services of Palmdale,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242.</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Universal Health Services of Rancho Springs,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California</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243.</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University Behavioral Health of El Paso,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244.</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Valle Vista,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245.</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Valle Vista Hospital Partners,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Tennessee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246.</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Valley Health System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247.</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Valley Hospital Medical Center,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Nevada</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248.</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Wekiva Springs Center,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249.</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Wellington Regional Medical Center,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Florida</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250.</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Wellstone Regional Hospital Acquisition,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Indiana</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251.</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Willow Springs,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252.</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Windmoor Healthcare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Florida</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253.</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Windmoor Healthcare of Pinellas Park,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254.</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Wisconsin Avenue Psychiatric Center, Inc.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Delaware</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4494" w:type="dxa"/>
            <w:gridSpan w:val="2"/>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center"/>
              <w:rPr/>
            </w:pPr>
            <w:r>
              <w:rPr/>
              <w:t>255.</w:t>
            </w:r>
          </w:p>
        </w:tc>
        <w:tc>
          <w:tcPr>
            <w:tcW w:w="120"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283"/>
              <w:jc w:val="left"/>
              <w:rPr/>
            </w:pPr>
            <w:r>
              <w:rPr/>
              <w:t>Zeus Endeavors, LLC</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Florida</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240" w:after="0"/>
        <w:jc w:val="left"/>
        <w:rPr>
          <w:rFonts w:ascii="Times New Roman" w:hAnsi="Times New Roman"/>
          <w:b/>
          <w:sz w:val="20"/>
        </w:rPr>
      </w:pPr>
      <w:r>
        <w:rPr>
          <w:rFonts w:ascii="Times New Roman" w:hAnsi="Times New Roman"/>
          <w:b/>
          <w:sz w:val="20"/>
        </w:rPr>
        <w:t xml:space="preserve">Time of Sale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Term Sheet, dated August 11, 2026, substantially in the form of Annex B.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Pricing Term Sheet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Registration Statement No. 333-282135 </w:t>
      </w:r>
    </w:p>
    <w:p>
      <w:pPr>
        <w:pStyle w:val="TextBody"/>
        <w:bidi w:val="0"/>
        <w:spacing w:before="480" w:after="0"/>
        <w:jc w:val="center"/>
        <w:rPr>
          <w:rFonts w:ascii="Times New Roman" w:hAnsi="Times New Roman"/>
          <w:b/>
          <w:sz w:val="20"/>
        </w:rPr>
      </w:pPr>
      <w:r>
        <w:rPr>
          <w:rFonts w:ascii="Times New Roman" w:hAnsi="Times New Roman"/>
          <w:b/>
          <w:sz w:val="20"/>
        </w:rPr>
        <w:t xml:space="preserve">Pricing Supplement dated August 11, 2026 </w:t>
      </w:r>
    </w:p>
    <w:p>
      <w:pPr>
        <w:pStyle w:val="TextBody"/>
        <w:bidi w:val="0"/>
        <w:spacing w:before="0" w:after="0"/>
        <w:jc w:val="center"/>
        <w:rPr>
          <w:rFonts w:ascii="Times New Roman" w:hAnsi="Times New Roman"/>
          <w:b/>
          <w:sz w:val="20"/>
        </w:rPr>
      </w:pPr>
      <w:r>
        <w:rPr>
          <w:rFonts w:ascii="Times New Roman" w:hAnsi="Times New Roman"/>
          <w:b/>
          <w:sz w:val="20"/>
        </w:rPr>
        <w:t xml:space="preserve">to Preliminary Prospectus Supplement dated August 10,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18478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847850" cy="7620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UNIVERSAL HEALTH SERVICES, INC. </w:t>
      </w:r>
    </w:p>
    <w:p>
      <w:pPr>
        <w:pStyle w:val="TextBody"/>
        <w:bidi w:val="0"/>
        <w:spacing w:before="120" w:after="0"/>
        <w:jc w:val="center"/>
        <w:rPr>
          <w:rFonts w:ascii="Times New Roman" w:hAnsi="Times New Roman"/>
          <w:b/>
          <w:i/>
          <w:sz w:val="20"/>
        </w:rPr>
      </w:pPr>
      <w:r>
        <w:rPr>
          <w:rFonts w:ascii="Times New Roman" w:hAnsi="Times New Roman"/>
          <w:b/>
          <w:i/>
          <w:sz w:val="20"/>
        </w:rPr>
        <w:t xml:space="preserve">$600,000,000 5.500% Senior Secured Notes due 2031 </w:t>
      </w:r>
    </w:p>
    <w:p>
      <w:pPr>
        <w:pStyle w:val="TextBody"/>
        <w:bidi w:val="0"/>
        <w:spacing w:before="0" w:after="0"/>
        <w:jc w:val="center"/>
        <w:rPr>
          <w:rFonts w:ascii="Times New Roman" w:hAnsi="Times New Roman"/>
          <w:b/>
          <w:i/>
          <w:sz w:val="20"/>
        </w:rPr>
      </w:pPr>
      <w:r>
        <w:rPr>
          <w:rFonts w:ascii="Times New Roman" w:hAnsi="Times New Roman"/>
          <w:b/>
          <w:i/>
          <w:sz w:val="20"/>
        </w:rPr>
        <w:t xml:space="preserve">$500,000,000 6.000% Senior Secured Notes due 2036 </w:t>
      </w:r>
    </w:p>
    <w:p>
      <w:pPr>
        <w:pStyle w:val="TextBody"/>
        <w:bidi w:val="0"/>
        <w:spacing w:before="240" w:after="0"/>
        <w:jc w:val="left"/>
        <w:rPr>
          <w:rFonts w:ascii="Times New Roman" w:hAnsi="Times New Roman"/>
          <w:sz w:val="20"/>
        </w:rPr>
      </w:pPr>
      <w:r>
        <w:rPr>
          <w:rFonts w:ascii="Times New Roman" w:hAnsi="Times New Roman"/>
          <w:sz w:val="20"/>
        </w:rPr>
        <w:t xml:space="preserve">This Pricing Supplement is qualified in its entirety by reference to the preliminary prospectus supplement dated August 10, 2026 (the “Preliminary Prospectus Supplement”) supplementing the base prospectus dated September 16, 2024 (the “Base Prospectus”) included in registration statement (File No. 333-282135) filed with the Securities and Exchange Commission (the “SEC”). The information in this Pricing Supplement supplements the Preliminary Prospectus Supplement and updates and supersedes the information in the Preliminary Prospectus Supplement and the Base Prospectus to the extent inconsistent with the information therein. Terms used but not defined herein have the meanings assigned in the Preliminary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5"/>
        <w:gridCol w:w="123"/>
        <w:gridCol w:w="7107"/>
      </w:tblGrid>
      <w:tr>
        <w:trPr/>
        <w:tc>
          <w:tcPr>
            <w:tcW w:w="29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07" w:type="dxa"/>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Issuer:</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283"/>
              <w:jc w:val="left"/>
              <w:rPr/>
            </w:pPr>
            <w:r>
              <w:rPr/>
              <w:t>Universal Health Services, Inc.</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Security Description:</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5.500% Senior Secured Notes due 2031 (“2031 notes”)</w:t>
            </w:r>
          </w:p>
          <w:p>
            <w:pPr>
              <w:pStyle w:val="TableContents"/>
              <w:bidi w:val="0"/>
              <w:spacing w:before="0" w:after="20"/>
              <w:jc w:val="left"/>
              <w:rPr>
                <w:rFonts w:ascii="Times New Roman" w:hAnsi="Times New Roman"/>
                <w:sz w:val="20"/>
              </w:rPr>
            </w:pPr>
            <w:r>
              <w:rPr>
                <w:rFonts w:ascii="Times New Roman" w:hAnsi="Times New Roman"/>
                <w:sz w:val="20"/>
              </w:rPr>
              <w:t>6.000% Senior Secured Notes due 2036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Aggregate Principal Amount:</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$600,000,000 of 2031 notes</w:t>
            </w:r>
          </w:p>
          <w:p>
            <w:pPr>
              <w:pStyle w:val="TableContents"/>
              <w:bidi w:val="0"/>
              <w:spacing w:before="0" w:after="20"/>
              <w:jc w:val="left"/>
              <w:rPr>
                <w:rFonts w:ascii="Times New Roman" w:hAnsi="Times New Roman"/>
                <w:sz w:val="20"/>
              </w:rPr>
            </w:pPr>
            <w:r>
              <w:rPr>
                <w:rFonts w:ascii="Times New Roman" w:hAnsi="Times New Roman"/>
                <w:sz w:val="20"/>
              </w:rPr>
              <w:t>$500,000,000 of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Coupon:</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5.500% for the 2031 notes</w:t>
            </w:r>
          </w:p>
          <w:p>
            <w:pPr>
              <w:pStyle w:val="TableContents"/>
              <w:bidi w:val="0"/>
              <w:spacing w:before="0" w:after="20"/>
              <w:jc w:val="left"/>
              <w:rPr>
                <w:rFonts w:ascii="Times New Roman" w:hAnsi="Times New Roman"/>
                <w:sz w:val="20"/>
              </w:rPr>
            </w:pPr>
            <w:r>
              <w:rPr>
                <w:rFonts w:ascii="Times New Roman" w:hAnsi="Times New Roman"/>
                <w:sz w:val="20"/>
              </w:rPr>
              <w:t>6.000% for the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Maturity:</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September 1, 2031 for the 2031 notes</w:t>
            </w:r>
          </w:p>
          <w:p>
            <w:pPr>
              <w:pStyle w:val="TableContents"/>
              <w:bidi w:val="0"/>
              <w:spacing w:before="0" w:after="20"/>
              <w:jc w:val="left"/>
              <w:rPr>
                <w:rFonts w:ascii="Times New Roman" w:hAnsi="Times New Roman"/>
                <w:sz w:val="20"/>
              </w:rPr>
            </w:pPr>
            <w:r>
              <w:rPr>
                <w:rFonts w:ascii="Times New Roman" w:hAnsi="Times New Roman"/>
                <w:sz w:val="20"/>
              </w:rPr>
              <w:t>September 1, 2036 for the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Public Offering Price:</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99.937% of the principal amount for the 2031 notes</w:t>
            </w:r>
          </w:p>
          <w:p>
            <w:pPr>
              <w:pStyle w:val="TableContents"/>
              <w:bidi w:val="0"/>
              <w:spacing w:before="0" w:after="20"/>
              <w:jc w:val="left"/>
              <w:rPr>
                <w:rFonts w:ascii="Times New Roman" w:hAnsi="Times New Roman"/>
                <w:sz w:val="20"/>
              </w:rPr>
            </w:pPr>
            <w:r>
              <w:rPr>
                <w:rFonts w:ascii="Times New Roman" w:hAnsi="Times New Roman"/>
                <w:sz w:val="20"/>
              </w:rPr>
              <w:t>99.359% of the principal amount for the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Yield to Maturity:</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5.514% for the 2031 notes</w:t>
            </w:r>
          </w:p>
          <w:p>
            <w:pPr>
              <w:pStyle w:val="TableContents"/>
              <w:bidi w:val="0"/>
              <w:spacing w:before="0" w:after="20"/>
              <w:jc w:val="left"/>
              <w:rPr>
                <w:rFonts w:ascii="Times New Roman" w:hAnsi="Times New Roman"/>
                <w:sz w:val="20"/>
              </w:rPr>
            </w:pPr>
            <w:r>
              <w:rPr>
                <w:rFonts w:ascii="Times New Roman" w:hAnsi="Times New Roman"/>
                <w:sz w:val="20"/>
              </w:rPr>
              <w:t>6.086% for the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Spread to Treasury:</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+112.5 basis points for the 2031 notes</w:t>
            </w:r>
          </w:p>
          <w:p>
            <w:pPr>
              <w:pStyle w:val="TableContents"/>
              <w:bidi w:val="0"/>
              <w:spacing w:before="0" w:after="20"/>
              <w:jc w:val="left"/>
              <w:rPr>
                <w:rFonts w:ascii="Times New Roman" w:hAnsi="Times New Roman"/>
                <w:sz w:val="20"/>
              </w:rPr>
            </w:pPr>
            <w:r>
              <w:rPr>
                <w:rFonts w:ascii="Times New Roman" w:hAnsi="Times New Roman"/>
                <w:sz w:val="20"/>
              </w:rPr>
              <w:t>+140 basis points for the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Benchmark Treasury:</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4.375% UST due July 31, 2031 for the 2031 notes</w:t>
            </w:r>
          </w:p>
          <w:p>
            <w:pPr>
              <w:pStyle w:val="TableContents"/>
              <w:bidi w:val="0"/>
              <w:spacing w:before="0" w:after="20"/>
              <w:jc w:val="left"/>
              <w:rPr>
                <w:rFonts w:ascii="Times New Roman" w:hAnsi="Times New Roman"/>
                <w:sz w:val="20"/>
              </w:rPr>
            </w:pPr>
            <w:r>
              <w:rPr>
                <w:rFonts w:ascii="Times New Roman" w:hAnsi="Times New Roman"/>
                <w:sz w:val="20"/>
              </w:rPr>
              <w:t>4.375% UST due May 15, 2036 for the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b/>
              </w:rPr>
            </w:pPr>
            <w:r>
              <w:rPr>
                <w:b/>
              </w:rPr>
              <w:t>Benchmark Treasury Yield:</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4.389% for the 2031 notes</w:t>
            </w:r>
          </w:p>
          <w:p>
            <w:pPr>
              <w:pStyle w:val="TableContents"/>
              <w:bidi w:val="0"/>
              <w:spacing w:before="0" w:after="20"/>
              <w:jc w:val="left"/>
              <w:rPr>
                <w:rFonts w:ascii="Times New Roman" w:hAnsi="Times New Roman"/>
                <w:sz w:val="20"/>
              </w:rPr>
            </w:pPr>
            <w:r>
              <w:rPr>
                <w:rFonts w:ascii="Times New Roman" w:hAnsi="Times New Roman"/>
                <w:sz w:val="20"/>
              </w:rPr>
              <w:t>4.686% for the 2036 notes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88"/>
        <w:gridCol w:w="123"/>
        <w:gridCol w:w="7094"/>
      </w:tblGrid>
      <w:tr>
        <w:trPr/>
        <w:tc>
          <w:tcPr>
            <w:tcW w:w="298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094" w:type="dxa"/>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b/>
              </w:rPr>
            </w:pPr>
            <w:r>
              <w:rPr>
                <w:b/>
              </w:rPr>
              <w:t>Interest Payment Dates:</w:t>
            </w:r>
          </w:p>
        </w:tc>
        <w:tc>
          <w:tcPr>
            <w:tcW w:w="123" w:type="dxa"/>
            <w:tcBorders/>
            <w:vAlign w:val="bottom"/>
          </w:tcPr>
          <w:p>
            <w:pPr>
              <w:pStyle w:val="TableContents"/>
              <w:bidi w:val="0"/>
              <w:spacing w:before="0" w:after="283"/>
              <w:jc w:val="left"/>
              <w:rPr/>
            </w:pPr>
            <w:r>
              <w:rPr/>
              <w:t>  </w:t>
            </w:r>
          </w:p>
        </w:tc>
        <w:tc>
          <w:tcPr>
            <w:tcW w:w="7094" w:type="dxa"/>
            <w:tcBorders/>
          </w:tcPr>
          <w:p>
            <w:pPr>
              <w:pStyle w:val="TableContents"/>
              <w:bidi w:val="0"/>
              <w:spacing w:before="0" w:after="0"/>
              <w:jc w:val="left"/>
              <w:rPr>
                <w:rFonts w:ascii="Times New Roman" w:hAnsi="Times New Roman"/>
                <w:sz w:val="20"/>
              </w:rPr>
            </w:pPr>
            <w:r>
              <w:rPr>
                <w:rFonts w:ascii="Times New Roman" w:hAnsi="Times New Roman"/>
                <w:sz w:val="20"/>
              </w:rPr>
              <w:t>March 1 and September 1 of each year, beginning on March 1, 2027 for the 2031 notes</w:t>
            </w:r>
          </w:p>
          <w:p>
            <w:pPr>
              <w:pStyle w:val="TableContents"/>
              <w:bidi w:val="0"/>
              <w:spacing w:before="0" w:after="20"/>
              <w:jc w:val="left"/>
              <w:rPr>
                <w:rFonts w:ascii="Times New Roman" w:hAnsi="Times New Roman"/>
                <w:sz w:val="20"/>
              </w:rPr>
            </w:pPr>
            <w:r>
              <w:rPr>
                <w:rFonts w:ascii="Times New Roman" w:hAnsi="Times New Roman"/>
                <w:sz w:val="20"/>
              </w:rPr>
              <w:t>March 1 and September 1 of each year, beginning on March 1, 2027 for the 2036 notes</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b/>
              </w:rPr>
            </w:pPr>
            <w:r>
              <w:rPr>
                <w:b/>
              </w:rPr>
              <w:t>Optional Redemption:</w:t>
            </w:r>
          </w:p>
        </w:tc>
        <w:tc>
          <w:tcPr>
            <w:tcW w:w="123" w:type="dxa"/>
            <w:tcBorders/>
            <w:vAlign w:val="bottom"/>
          </w:tcPr>
          <w:p>
            <w:pPr>
              <w:pStyle w:val="TableContents"/>
              <w:bidi w:val="0"/>
              <w:spacing w:before="0" w:after="283"/>
              <w:jc w:val="left"/>
              <w:rPr/>
            </w:pPr>
            <w:r>
              <w:rPr/>
              <w:t>  </w:t>
            </w:r>
          </w:p>
        </w:tc>
        <w:tc>
          <w:tcPr>
            <w:tcW w:w="7094" w:type="dxa"/>
            <w:tcBorders/>
          </w:tcPr>
          <w:p>
            <w:pPr>
              <w:pStyle w:val="TableContents"/>
              <w:bidi w:val="0"/>
              <w:spacing w:before="0" w:after="0"/>
              <w:jc w:val="left"/>
              <w:rPr>
                <w:rFonts w:ascii="Times New Roman" w:hAnsi="Times New Roman"/>
                <w:sz w:val="20"/>
              </w:rPr>
            </w:pPr>
            <w:r>
              <w:rPr>
                <w:rFonts w:ascii="Times New Roman" w:hAnsi="Times New Roman"/>
                <w:sz w:val="20"/>
              </w:rPr>
              <w:t>The 2031 notes may be redeemed, in whole or in part, at any time prior to August 1, 2031 (one month prior to the maturity date of the 2031 notes) (the “2031 Notes Par Call Date”) at the option of the Issuer, at a redemption price equal to the greater of: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 (a) the sum of the present values of the remaining scheduled payments of principal and interest thereon discounted to the redemption date (assuming such notes matured on the 2031 Notes Par Call Date) on a semiannual basis (assuming a 360-day year consisting of twelve 30-day months) at the Treasury Rate plus 20 basis points, less (b) interest accrued to, but excluding, the redemption date,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 100% of the principal amount of the 2031 notes to be redeemed, plus, in either case, accrued and unpaid interest on the principal amount being redeemed to, but excluding, the redemption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On or after the 2031 Notes Par Call Date, the 2031 notes may be redeemed, in whole or in part, at any time and from time to time at the option of the Issuer, at a redemption price equal to 100% of the principal amount of such 2031 notes being redeemed plus accrued and unpaid interest on the principal amount being redeemed to, but excluding, the redemption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2036 notes may be redeemed, in whole or in part, at any time prior to June 1, 2036 (three months prior to the maturity date of the 2036 notes) (the “2036 Notes Par Call Date”) at the option of the Issuer, at a redemption price equal to the greater of: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 (a) the sum of the present values of the remaining scheduled payments of principal and interest thereon discounted to the redemption date (assuming such notes matured on the 2036 Notes Par Call Date) on a semiannual basis (assuming a 360-day year consisting of twelve 30-day months) at the Treasury Rate plus 25 basis points, less (b) interest accrued to, but excluding, the redemption date,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 100% of the principal amount of the 2036 notes to be redeemed, plus, in either case, accrued and unpaid interest on the principal amount being redeemed to, but excluding,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the 2036 Notes Par Call Date, the 2036 notes may be redeemed, in whole or in part, at any time and from time to time at the option of the Issuer, at a redemption price equal to 100% of the principal amount of such 2036 notes being redeemed plus accrued and unpaid interest on the principal amount being redeemed to, but excluding, the redemption 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007"/>
        <w:gridCol w:w="120"/>
        <w:gridCol w:w="7078"/>
      </w:tblGrid>
      <w:tr>
        <w:trPr/>
        <w:tc>
          <w:tcPr>
            <w:tcW w:w="30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78" w:type="dxa"/>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Change of Control Offer Following Downgrade from Investment Grade Ratings:</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283"/>
              <w:jc w:val="left"/>
              <w:rPr/>
            </w:pPr>
            <w:r>
              <w:rPr/>
              <w:t>Upon certain change of control events, if the notes have ceased to have investment grade ratings (including as a result of entering into an agreement that would result in such a change of control), each holder may require the Issuer to repurchase at 101%, plus accrued and unpaid interest, if any, as described in the Preliminary Prospectus Supplement.</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CUSIP:</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2031 notes: 913903 BD1</w:t>
            </w:r>
          </w:p>
          <w:p>
            <w:pPr>
              <w:pStyle w:val="TableContents"/>
              <w:bidi w:val="0"/>
              <w:spacing w:before="0" w:after="20"/>
              <w:jc w:val="left"/>
              <w:rPr>
                <w:rFonts w:ascii="Times New Roman" w:hAnsi="Times New Roman"/>
                <w:sz w:val="20"/>
              </w:rPr>
            </w:pPr>
            <w:r>
              <w:rPr>
                <w:rFonts w:ascii="Times New Roman" w:hAnsi="Times New Roman"/>
                <w:sz w:val="20"/>
              </w:rPr>
              <w:t>2036 notes: 913903 BE9</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ISIN:</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2031 notes: US913903BD14</w:t>
            </w:r>
          </w:p>
          <w:p>
            <w:pPr>
              <w:pStyle w:val="TableContents"/>
              <w:bidi w:val="0"/>
              <w:spacing w:before="0" w:after="20"/>
              <w:jc w:val="left"/>
              <w:rPr>
                <w:rFonts w:ascii="Times New Roman" w:hAnsi="Times New Roman"/>
                <w:sz w:val="20"/>
              </w:rPr>
            </w:pPr>
            <w:r>
              <w:rPr>
                <w:rFonts w:ascii="Times New Roman" w:hAnsi="Times New Roman"/>
                <w:sz w:val="20"/>
              </w:rPr>
              <w:t>2036 notes: US913903BE96</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Distribution:</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283"/>
              <w:jc w:val="left"/>
              <w:rPr/>
            </w:pPr>
            <w:r>
              <w:rPr/>
              <w:t>SEC-Registered</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Trade Date:</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283"/>
              <w:jc w:val="left"/>
              <w:rPr/>
            </w:pPr>
            <w:r>
              <w:rPr/>
              <w:t>August 11, 2026</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Settlement:</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T+7 (August 20, 2026)</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Rule 15c6-1 of the Securities Exchange Act of 1934, as amended, trades in the secondary market generally are required to settle in one business day, unless the parties to any such trade expressly agree otherwise. Accordingly, purchasers who wish to trade notes prior to the date that is one business day before the closing off the offering will be required, by virtue of the fact that the notes initially will settle T+7, to specify an alternate settlement cycle at the time of any such trade to prevent a failed settlement. Purchasers of notes who make such trades should consult their own advisors.</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Denominations/Multiple:</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283"/>
              <w:jc w:val="left"/>
              <w:rPr/>
            </w:pPr>
            <w:r>
              <w:rPr/>
              <w:t>$2,000 and integral multiples of $1,000 in excess thereof</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Joint Book-Running Managers:</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283"/>
              <w:jc w:val="left"/>
              <w:rPr/>
            </w:pPr>
            <w:r>
              <w:rPr/>
              <w:t>J.P. Morgan Securities LLC, BofA Securities, Inc., Truist Securities, Inc., U.S. Bancorp Investments, Inc., Wells Fargo Securities LLC, Goldman Sachs &amp; Co. LLC, NatWest Markets Securities Inc., PNC Capital Markets LLC and TD Securities (USA) LLC</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Senior Co-Managers:</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283"/>
              <w:jc w:val="left"/>
              <w:rPr/>
            </w:pPr>
            <w:r>
              <w:rPr/>
              <w:t>Fifth Third Securities, Inc., KeyBanc Capital Markets Inc. and Mizuho Securities USA LLC</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Expected Ratings*:</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0"/>
              <w:jc w:val="left"/>
              <w:rPr>
                <w:rFonts w:ascii="Times New Roman" w:hAnsi="Times New Roman"/>
                <w:sz w:val="20"/>
              </w:rPr>
            </w:pPr>
            <w:r>
              <w:rPr>
                <w:rFonts w:ascii="Times New Roman" w:hAnsi="Times New Roman"/>
                <w:sz w:val="20"/>
              </w:rPr>
              <w:t>Moody’s: Baa3</w:t>
            </w:r>
          </w:p>
          <w:p>
            <w:pPr>
              <w:pStyle w:val="TableContents"/>
              <w:bidi w:val="0"/>
              <w:spacing w:before="0" w:after="0"/>
              <w:jc w:val="left"/>
              <w:rPr>
                <w:rFonts w:ascii="Times New Roman" w:hAnsi="Times New Roman"/>
                <w:sz w:val="20"/>
              </w:rPr>
            </w:pPr>
            <w:r>
              <w:rPr>
                <w:rFonts w:ascii="Times New Roman" w:hAnsi="Times New Roman"/>
                <w:sz w:val="20"/>
              </w:rPr>
              <w:t>S&amp;P: BBB-</w:t>
            </w:r>
          </w:p>
          <w:p>
            <w:pPr>
              <w:pStyle w:val="TableContents"/>
              <w:bidi w:val="0"/>
              <w:spacing w:before="0" w:after="20"/>
              <w:jc w:val="left"/>
              <w:rPr>
                <w:rFonts w:ascii="Times New Roman" w:hAnsi="Times New Roman"/>
                <w:sz w:val="20"/>
              </w:rPr>
            </w:pPr>
            <w:r>
              <w:rPr>
                <w:rFonts w:ascii="Times New Roman" w:hAnsi="Times New Roman"/>
                <w:sz w:val="20"/>
              </w:rPr>
              <w:t>Fitch: BBB-</w:t>
            </w:r>
          </w:p>
        </w:tc>
      </w:tr>
      <w:tr>
        <w:trPr>
          <w:trHeight w:val="120" w:hRule="atLeast"/>
        </w:trPr>
        <w:tc>
          <w:tcPr>
            <w:tcW w:w="3007" w:type="dxa"/>
            <w:tcBorders/>
            <w:vAlign w:val="center"/>
          </w:tcPr>
          <w:p>
            <w:pPr>
              <w:pStyle w:val="TableContents"/>
              <w:bidi w:val="0"/>
              <w:spacing w:before="0" w:after="283"/>
              <w:jc w:val="left"/>
              <w:rPr>
                <w:sz w:val="4"/>
                <w:szCs w:val="4"/>
              </w:rPr>
            </w:pPr>
            <w:r>
              <w:rPr>
                <w:sz w:val="4"/>
                <w:szCs w:val="4"/>
              </w:rPr>
            </w:r>
          </w:p>
        </w:tc>
        <w:tc>
          <w:tcPr>
            <w:tcW w:w="7198" w:type="dxa"/>
            <w:gridSpan w:val="2"/>
            <w:tcBorders/>
            <w:vAlign w:val="center"/>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283"/>
              <w:jc w:val="left"/>
              <w:rPr>
                <w:b/>
              </w:rPr>
            </w:pPr>
            <w:r>
              <w:rPr>
                <w:b/>
              </w:rPr>
              <w:t>Trustee:</w:t>
            </w:r>
          </w:p>
        </w:tc>
        <w:tc>
          <w:tcPr>
            <w:tcW w:w="120" w:type="dxa"/>
            <w:tcBorders/>
            <w:vAlign w:val="bottom"/>
          </w:tcPr>
          <w:p>
            <w:pPr>
              <w:pStyle w:val="TableContents"/>
              <w:bidi w:val="0"/>
              <w:spacing w:before="0" w:after="283"/>
              <w:jc w:val="left"/>
              <w:rPr/>
            </w:pPr>
            <w:r>
              <w:rPr/>
              <w:t>  </w:t>
            </w:r>
          </w:p>
        </w:tc>
        <w:tc>
          <w:tcPr>
            <w:tcW w:w="7078" w:type="dxa"/>
            <w:tcBorders/>
          </w:tcPr>
          <w:p>
            <w:pPr>
              <w:pStyle w:val="TableContents"/>
              <w:bidi w:val="0"/>
              <w:spacing w:before="0" w:after="283"/>
              <w:jc w:val="left"/>
              <w:rPr/>
            </w:pPr>
            <w:r>
              <w:rPr/>
              <w:t>U.S. Bank Trust Company, National Association</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 securities rating is not a recommendation to buy, sell or hold securities and may be subject to revision or withdrawal at any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communication does not constitute an offer to sell or the solicitation of an offer to buy any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b/>
          <w:sz w:val="20"/>
        </w:rPr>
        <w:t>The Issuer has filed a registration statement, including a base prospectus and a preliminary prospectus supplement, with the SEC for the offering to which this communication relates. Before you invest, you should read the base prospectus in that registration statement, the preliminary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base prospectus and preliminary prospectus supplement if you request it by calling J.P. Morgan Securities LLC collect at (212) 834-4533, BofA Securities, Inc. toll-free at (800) 294-1322, Truist Securities, Inc. toll-free at (800) 685-4786, U.S. Bancorp Investments, Inc. toll-free at (877) 558-2607 and Wells Fargo Securities, LLC toll-free at (800) 645-3751</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Any disclaimer or other notice that may appear below is not applicable to this communication and should be disregarded. Such disclaimer or notice was automatically generated as a result of this communication being sent by Bloomberg or another email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Opinion of Norton Rose Fulbright US LLP </w:t>
      </w:r>
    </w:p>
    <w:p>
      <w:pPr>
        <w:pStyle w:val="TextBody"/>
        <w:bidi w:val="0"/>
        <w:spacing w:before="240" w:after="0"/>
        <w:jc w:val="center"/>
        <w:rPr>
          <w:rFonts w:ascii="Times New Roman" w:hAnsi="Times New Roman"/>
          <w:sz w:val="20"/>
        </w:rPr>
      </w:pPr>
      <w:r>
        <w:rPr>
          <w:rFonts w:ascii="Times New Roman" w:hAnsi="Times New Roman"/>
          <w:sz w:val="20"/>
        </w:rPr>
        <w:t xml:space="preserve">[omitted.]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D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Opinion of the General Counsel </w:t>
      </w:r>
    </w:p>
    <w:p>
      <w:pPr>
        <w:pStyle w:val="TextBody"/>
        <w:bidi w:val="0"/>
        <w:spacing w:before="240" w:after="0"/>
        <w:jc w:val="center"/>
        <w:rPr>
          <w:rFonts w:ascii="Times New Roman" w:hAnsi="Times New Roman"/>
          <w:sz w:val="20"/>
        </w:rPr>
      </w:pPr>
      <w:r>
        <w:rPr>
          <w:rFonts w:ascii="Times New Roman" w:hAnsi="Times New Roman"/>
          <w:sz w:val="20"/>
        </w:rPr>
        <w:t xml:space="preserve">[omitted.]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Local Counsel Opinion </w:t>
      </w:r>
    </w:p>
    <w:p>
      <w:pPr>
        <w:pStyle w:val="TextBody"/>
        <w:bidi w:val="0"/>
        <w:spacing w:before="240" w:after="0"/>
        <w:jc w:val="center"/>
        <w:rPr>
          <w:rFonts w:ascii="Times New Roman" w:hAnsi="Times New Roman"/>
          <w:sz w:val="20"/>
        </w:rPr>
      </w:pPr>
      <w:r>
        <w:rPr>
          <w:rFonts w:ascii="Times New Roman" w:hAnsi="Times New Roman"/>
          <w:sz w:val="20"/>
        </w:rPr>
        <w:t xml:space="preserve">[omitted.]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Chief Financial Officer Certificate </w:t>
      </w:r>
    </w:p>
    <w:p>
      <w:pPr>
        <w:pStyle w:val="TextBody"/>
        <w:bidi w:val="0"/>
        <w:spacing w:before="240" w:after="0"/>
        <w:jc w:val="center"/>
        <w:rPr>
          <w:rFonts w:ascii="Times New Roman" w:hAnsi="Times New Roman"/>
          <w:sz w:val="20"/>
        </w:rPr>
      </w:pPr>
      <w:r>
        <w:rPr>
          <w:rFonts w:ascii="Times New Roman" w:hAnsi="Times New Roman"/>
          <w:sz w:val="20"/>
        </w:rPr>
        <w:t xml:space="preserve">[omitted.]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52915/000119312526071676/uhs-ex23_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24510</Words>
  <Characters>132974</Characters>
  <CharactersWithSpaces>157829</CharactersWithSpaces>
  <Paragraphs>2057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EX-1.1</dc:title>
</cp:coreProperties>
</file>